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AS FILED WITH THE SECURITIES AND EXCHANGE COMMISSION ON OCTOBER 25, 1995</w:t>
      </w:r>
    </w:p>
    <w:p>
      <w:pPr>
        <w:spacing w:after="0" w:line="203" w:lineRule="exact"/>
        <w:rPr>
          <w:sz w:val="24"/>
          <w:szCs w:val="24"/>
          <w:color w:val="auto"/>
        </w:rPr>
      </w:pPr>
    </w:p>
    <w:p>
      <w:pPr>
        <w:ind w:left="5560"/>
        <w:spacing w:after="0"/>
        <w:rPr>
          <w:sz w:val="20"/>
          <w:szCs w:val="20"/>
          <w:color w:val="auto"/>
        </w:rPr>
      </w:pPr>
      <w:r>
        <w:rPr>
          <w:rFonts w:ascii="Courier New" w:cs="Courier New" w:eastAsia="Courier New" w:hAnsi="Courier New"/>
          <w:sz w:val="17"/>
          <w:szCs w:val="17"/>
          <w:color w:val="auto"/>
        </w:rPr>
        <w:t>REGISTRATION NO. 33-</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WASHINGTON, D.C. 20549</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S-3</w:t>
      </w:r>
    </w:p>
    <w:p>
      <w:pPr>
        <w:spacing w:after="0" w:line="5"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REGISTRATION STATEMENT</w:t>
      </w:r>
    </w:p>
    <w:p>
      <w:pPr>
        <w:spacing w:after="0" w:line="5"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THE SECURITIES ACT OF 1933</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820"/>
        <w:spacing w:after="0"/>
        <w:tabs>
          <w:tab w:leader="none" w:pos="534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52-0782497</w:t>
      </w:r>
    </w:p>
    <w:p>
      <w:pPr>
        <w:spacing w:after="0" w:line="5" w:lineRule="exact"/>
        <w:rPr>
          <w:sz w:val="24"/>
          <w:szCs w:val="24"/>
          <w:color w:val="auto"/>
        </w:rPr>
      </w:pPr>
    </w:p>
    <w:p>
      <w:pPr>
        <w:ind w:left="220"/>
        <w:spacing w:after="0"/>
        <w:tabs>
          <w:tab w:leader="none" w:pos="390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7"/>
          <w:szCs w:val="17"/>
          <w:color w:val="auto"/>
        </w:rPr>
        <w:t>(I.R.S. EMPLOYER IDENTIFICATION NUMBER)</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4800 HAMPDEN LANE</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BETHESDA, MARYLAND 20814</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(301) 652-3360</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PRESIDENT AND TRUSTEE</w:t>
      </w: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4800 HAMPDEN LANE</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BETHESDA, MARYLAND 20814</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(301) 652-3360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OF AGENT FOR SERVICE)</w:t>
      </w:r>
    </w:p>
    <w:p>
      <w:pPr>
        <w:spacing w:after="0" w:line="39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COPIES TO:</w:t>
      </w:r>
    </w:p>
    <w:p>
      <w:pPr>
        <w:spacing w:after="0" w:line="5" w:lineRule="exact"/>
        <w:rPr>
          <w:sz w:val="24"/>
          <w:szCs w:val="24"/>
          <w:color w:val="auto"/>
        </w:rPr>
      </w:pPr>
    </w:p>
    <w:p>
      <w:pPr>
        <w:ind w:left="420"/>
        <w:spacing w:after="0"/>
        <w:tabs>
          <w:tab w:leader="none" w:pos="4520" w:val="left"/>
        </w:tabs>
        <w:rPr>
          <w:sz w:val="20"/>
          <w:szCs w:val="20"/>
          <w:color w:val="auto"/>
        </w:rPr>
      </w:pPr>
      <w:r>
        <w:rPr>
          <w:rFonts w:ascii="Courier New" w:cs="Courier New" w:eastAsia="Courier New" w:hAnsi="Courier New"/>
          <w:sz w:val="17"/>
          <w:szCs w:val="17"/>
          <w:color w:val="auto"/>
        </w:rPr>
        <w:t>THOMAS F. COONEY, III, ESQ.</w:t>
      </w:r>
      <w:r>
        <w:rPr>
          <w:sz w:val="20"/>
          <w:szCs w:val="20"/>
          <w:color w:val="auto"/>
        </w:rPr>
        <w:tab/>
      </w:r>
      <w:r>
        <w:rPr>
          <w:rFonts w:ascii="Courier New" w:cs="Courier New" w:eastAsia="Courier New" w:hAnsi="Courier New"/>
          <w:sz w:val="17"/>
          <w:szCs w:val="17"/>
          <w:color w:val="auto"/>
        </w:rPr>
        <w:t>HOWARD G. GODWIN, JR., ESQ.</w:t>
      </w:r>
    </w:p>
    <w:p>
      <w:pPr>
        <w:spacing w:after="0" w:line="5" w:lineRule="exact"/>
        <w:rPr>
          <w:sz w:val="24"/>
          <w:szCs w:val="24"/>
          <w:color w:val="auto"/>
        </w:rPr>
      </w:pPr>
    </w:p>
    <w:p>
      <w:pPr>
        <w:ind w:left="520"/>
        <w:spacing w:after="0"/>
        <w:tabs>
          <w:tab w:leader="none" w:pos="5240" w:val="left"/>
        </w:tabs>
        <w:rPr>
          <w:sz w:val="20"/>
          <w:szCs w:val="20"/>
          <w:color w:val="auto"/>
        </w:rPr>
      </w:pPr>
      <w:r>
        <w:rPr>
          <w:rFonts w:ascii="Courier New" w:cs="Courier New" w:eastAsia="Courier New" w:hAnsi="Courier New"/>
          <w:sz w:val="17"/>
          <w:szCs w:val="17"/>
          <w:color w:val="auto"/>
        </w:rPr>
        <w:t>KIRKPATRICK &amp; LOCKHART LLP</w:t>
      </w:r>
      <w:r>
        <w:rPr>
          <w:sz w:val="20"/>
          <w:szCs w:val="20"/>
          <w:color w:val="auto"/>
        </w:rPr>
        <w:tab/>
      </w:r>
      <w:r>
        <w:rPr>
          <w:rFonts w:ascii="Courier New" w:cs="Courier New" w:eastAsia="Courier New" w:hAnsi="Courier New"/>
          <w:sz w:val="17"/>
          <w:szCs w:val="17"/>
          <w:color w:val="auto"/>
        </w:rPr>
        <w:t>BROWN &amp; WOOD</w:t>
      </w:r>
    </w:p>
    <w:p>
      <w:pPr>
        <w:spacing w:after="0" w:line="5" w:lineRule="exact"/>
        <w:rPr>
          <w:sz w:val="24"/>
          <w:szCs w:val="24"/>
          <w:color w:val="auto"/>
        </w:rPr>
      </w:pPr>
    </w:p>
    <w:p>
      <w:pPr>
        <w:ind w:left="820"/>
        <w:spacing w:after="0"/>
        <w:tabs>
          <w:tab w:leader="none" w:pos="4720" w:val="left"/>
        </w:tabs>
        <w:rPr>
          <w:sz w:val="20"/>
          <w:szCs w:val="20"/>
          <w:color w:val="auto"/>
        </w:rPr>
      </w:pPr>
      <w:r>
        <w:rPr>
          <w:rFonts w:ascii="Courier New" w:cs="Courier New" w:eastAsia="Courier New" w:hAnsi="Courier New"/>
          <w:sz w:val="17"/>
          <w:szCs w:val="17"/>
          <w:color w:val="auto"/>
        </w:rPr>
        <w:t>1800 M. STREET, N.W.</w:t>
      </w:r>
      <w:r>
        <w:rPr>
          <w:sz w:val="20"/>
          <w:szCs w:val="20"/>
          <w:color w:val="auto"/>
        </w:rPr>
        <w:tab/>
      </w:r>
      <w:r>
        <w:rPr>
          <w:rFonts w:ascii="Courier New" w:cs="Courier New" w:eastAsia="Courier New" w:hAnsi="Courier New"/>
          <w:sz w:val="17"/>
          <w:szCs w:val="17"/>
          <w:color w:val="auto"/>
        </w:rPr>
        <w:t>ONE WORLD TRADE CENTER</w:t>
      </w:r>
    </w:p>
    <w:p>
      <w:pPr>
        <w:spacing w:after="0" w:line="5" w:lineRule="exact"/>
        <w:rPr>
          <w:sz w:val="24"/>
          <w:szCs w:val="24"/>
          <w:color w:val="auto"/>
        </w:rPr>
      </w:pPr>
    </w:p>
    <w:p>
      <w:pPr>
        <w:ind w:left="720"/>
        <w:spacing w:after="0"/>
        <w:tabs>
          <w:tab w:leader="none" w:pos="4620" w:val="left"/>
        </w:tabs>
        <w:rPr>
          <w:sz w:val="20"/>
          <w:szCs w:val="20"/>
          <w:color w:val="auto"/>
        </w:rPr>
      </w:pPr>
      <w:r>
        <w:rPr>
          <w:rFonts w:ascii="Courier New" w:cs="Courier New" w:eastAsia="Courier New" w:hAnsi="Courier New"/>
          <w:sz w:val="17"/>
          <w:szCs w:val="17"/>
          <w:color w:val="auto"/>
        </w:rPr>
        <w:t>WASHINGTON, D.C. 20036</w:t>
      </w:r>
      <w:r>
        <w:rPr>
          <w:sz w:val="20"/>
          <w:szCs w:val="20"/>
          <w:color w:val="auto"/>
        </w:rPr>
        <w:tab/>
      </w:r>
      <w:r>
        <w:rPr>
          <w:rFonts w:ascii="Courier New" w:cs="Courier New" w:eastAsia="Courier New" w:hAnsi="Courier New"/>
          <w:sz w:val="17"/>
          <w:szCs w:val="17"/>
          <w:color w:val="auto"/>
        </w:rPr>
        <w:t>NEW YORK, N.Y. 10048-0557</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both"/>
        <w:ind w:right="2399" w:firstLine="206"/>
        <w:spacing w:after="0" w:line="246"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the effective date of the Registration Statement as determined by market conditions and other factors.</w:t>
      </w:r>
    </w:p>
    <w:p>
      <w:pPr>
        <w:spacing w:after="0" w:line="2" w:lineRule="exact"/>
        <w:rPr>
          <w:sz w:val="24"/>
          <w:szCs w:val="24"/>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[_]</w:t>
      </w:r>
    </w:p>
    <w:p>
      <w:pPr>
        <w:spacing w:after="0" w:line="2" w:lineRule="exact"/>
        <w:rPr>
          <w:sz w:val="24"/>
          <w:szCs w:val="24"/>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 w:lineRule="exact"/>
        <w:rPr>
          <w:sz w:val="24"/>
          <w:szCs w:val="24"/>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If this Form is a post-effective amendment filed pursuant to Rule 462(b) under the Securities Act of 1933,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[X]</w:t>
      </w:r>
    </w:p>
    <w:p>
      <w:pPr>
        <w:spacing w:after="0" w:line="198"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5"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PROPOSED</w:t>
            </w:r>
          </w:p>
        </w:tc>
        <w:tc>
          <w:tcPr>
            <w:tcW w:w="1340" w:type="dxa"/>
            <w:vAlign w:val="bottom"/>
          </w:tcPr>
          <w:p>
            <w:pPr>
              <w:spacing w:after="0"/>
              <w:rPr>
                <w:sz w:val="16"/>
                <w:szCs w:val="16"/>
                <w:color w:val="auto"/>
              </w:rPr>
            </w:pPr>
          </w:p>
        </w:tc>
      </w:tr>
      <w:tr>
        <w:trPr>
          <w:trHeight w:val="198"/>
        </w:trPr>
        <w:tc>
          <w:tcPr>
            <w:tcW w:w="1760" w:type="dxa"/>
            <w:vAlign w:val="bottom"/>
          </w:tcPr>
          <w:p>
            <w:pPr>
              <w:ind w:left="100"/>
              <w:spacing w:after="0"/>
              <w:rPr>
                <w:sz w:val="20"/>
                <w:szCs w:val="20"/>
                <w:color w:val="auto"/>
              </w:rPr>
            </w:pPr>
            <w:r>
              <w:rPr>
                <w:rFonts w:ascii="Courier New" w:cs="Courier New" w:eastAsia="Courier New" w:hAnsi="Courier New"/>
                <w:sz w:val="17"/>
                <w:szCs w:val="17"/>
                <w:color w:val="auto"/>
              </w:rPr>
              <w:t>TITLE OF EACH</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AGGREGATE</w:t>
            </w:r>
          </w:p>
        </w:tc>
        <w:tc>
          <w:tcPr>
            <w:tcW w:w="1560" w:type="dxa"/>
            <w:vAlign w:val="bottom"/>
          </w:tcPr>
          <w:p>
            <w:pPr>
              <w:ind w:left="360"/>
              <w:spacing w:after="0"/>
              <w:rPr>
                <w:sz w:val="20"/>
                <w:szCs w:val="20"/>
                <w:color w:val="auto"/>
              </w:rPr>
            </w:pPr>
            <w:r>
              <w:rPr>
                <w:rFonts w:ascii="Courier New" w:cs="Courier New" w:eastAsia="Courier New" w:hAnsi="Courier New"/>
                <w:sz w:val="17"/>
                <w:szCs w:val="17"/>
                <w:color w:val="auto"/>
              </w:rPr>
              <w:t>PROPOSED</w:t>
            </w: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MAXIMUM</w:t>
            </w:r>
          </w:p>
        </w:tc>
        <w:tc>
          <w:tcPr>
            <w:tcW w:w="1340" w:type="dxa"/>
            <w:vAlign w:val="bottom"/>
          </w:tcPr>
          <w:p>
            <w:pPr>
              <w:spacing w:after="0"/>
              <w:rPr>
                <w:sz w:val="17"/>
                <w:szCs w:val="17"/>
                <w:color w:val="auto"/>
              </w:rPr>
            </w:pPr>
          </w:p>
        </w:tc>
      </w:tr>
      <w:tr>
        <w:trPr>
          <w:trHeight w:val="198"/>
        </w:trPr>
        <w:tc>
          <w:tcPr>
            <w:tcW w:w="17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CLASS OF</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AMOUNT</w:t>
            </w:r>
          </w:p>
        </w:tc>
        <w:tc>
          <w:tcPr>
            <w:tcW w:w="1560" w:type="dxa"/>
            <w:vAlign w:val="bottom"/>
          </w:tcPr>
          <w:p>
            <w:pPr>
              <w:ind w:left="360"/>
              <w:spacing w:after="0"/>
              <w:rPr>
                <w:sz w:val="20"/>
                <w:szCs w:val="20"/>
                <w:color w:val="auto"/>
              </w:rPr>
            </w:pPr>
            <w:r>
              <w:rPr>
                <w:rFonts w:ascii="Courier New" w:cs="Courier New" w:eastAsia="Courier New" w:hAnsi="Courier New"/>
                <w:sz w:val="17"/>
                <w:szCs w:val="17"/>
                <w:color w:val="auto"/>
              </w:rPr>
              <w:t>MAXIMUM</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AGGREGATE</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AMOUNT OF</w:t>
            </w:r>
          </w:p>
        </w:tc>
      </w:tr>
      <w:tr>
        <w:trPr>
          <w:trHeight w:val="198"/>
        </w:trPr>
        <w:tc>
          <w:tcPr>
            <w:tcW w:w="17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SECURITIES TO BE</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w w:val="97"/>
              </w:rPr>
              <w:t>TO BE</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OFFERING PRICE</w:t>
            </w: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OFFERING</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REGISTRATION</w:t>
            </w:r>
          </w:p>
        </w:tc>
      </w:tr>
      <w:tr>
        <w:trPr>
          <w:trHeight w:val="198"/>
        </w:trPr>
        <w:tc>
          <w:tcPr>
            <w:tcW w:w="1760" w:type="dxa"/>
            <w:vAlign w:val="bottom"/>
          </w:tcPr>
          <w:p>
            <w:pPr>
              <w:ind w:left="100"/>
              <w:spacing w:after="0"/>
              <w:rPr>
                <w:sz w:val="20"/>
                <w:szCs w:val="20"/>
                <w:color w:val="auto"/>
              </w:rPr>
            </w:pPr>
            <w:r>
              <w:rPr>
                <w:rFonts w:ascii="Courier New" w:cs="Courier New" w:eastAsia="Courier New" w:hAnsi="Courier New"/>
                <w:sz w:val="17"/>
                <w:szCs w:val="17"/>
                <w:color w:val="auto"/>
              </w:rPr>
              <w:t>REGISTERED(1)</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REGISTERED(2)</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PER UNIT(3)</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PRICE(2)(3)</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FEE(5)(6)</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Debt Securities</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Preferred Shares  $400,000,000</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w:t>
            </w:r>
          </w:p>
        </w:tc>
        <w:tc>
          <w:tcPr>
            <w:tcW w:w="17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$400,000,000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$137,931</w:t>
            </w: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Common Shares</w:t>
            </w:r>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3"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right="2499" w:hanging="412"/>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This registration statement also covers delayed delivery contracts that may be issued by the registrant under which the party purchasing such</w:t>
      </w:r>
    </w:p>
    <w:p>
      <w:pPr>
        <w:sectPr>
          <w:pgSz w:w="11900" w:h="16881" w:orient="portrait"/>
          <w:cols w:equalWidth="0" w:num="1">
            <w:col w:w="10219"/>
          </w:cols>
          <w:pgMar w:left="240" w:top="643" w:right="1440" w:bottom="0" w:gutter="0" w:footer="0" w:header="0"/>
        </w:sectPr>
      </w:pPr>
    </w:p>
    <w:bookmarkStart w:id="1" w:name="page2"/>
    <w:bookmarkEnd w:id="1"/>
    <w:p>
      <w:pPr>
        <w:ind w:left="420" w:right="2179"/>
        <w:spacing w:after="0" w:line="246" w:lineRule="auto"/>
        <w:rPr>
          <w:sz w:val="20"/>
          <w:szCs w:val="20"/>
          <w:color w:val="auto"/>
        </w:rPr>
      </w:pPr>
      <w:r>
        <w:rPr>
          <w:rFonts w:ascii="Courier New" w:cs="Courier New" w:eastAsia="Courier New" w:hAnsi="Courier New"/>
          <w:sz w:val="17"/>
          <w:szCs w:val="17"/>
          <w:color w:val="auto"/>
        </w:rPr>
        <w:t>contracts may be required to purchase Debt Securities, Preferred Shares or Common Shares. Such contracts may be issued together with the specific Securities to which they relate. In addition, Securities registered hereunder either may be sold separately or as units comprised of more than one type of security registered hereunder.</w:t>
      </w:r>
    </w:p>
    <w:p>
      <w:pPr>
        <w:spacing w:after="0" w:line="3" w:lineRule="exact"/>
        <w:rPr>
          <w:sz w:val="20"/>
          <w:szCs w:val="20"/>
          <w:color w:val="auto"/>
        </w:rPr>
      </w:pPr>
    </w:p>
    <w:p>
      <w:pPr>
        <w:ind w:left="420" w:right="29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U.S. dollars or the equivalent thereof in one or more foreign currencies or units of two or more foreign currencies or composite currencies (such as European Currency Units).</w:t>
      </w:r>
    </w:p>
    <w:p>
      <w:pPr>
        <w:spacing w:after="0" w:line="1" w:lineRule="exact"/>
        <w:rPr>
          <w:rFonts w:ascii="Courier New" w:cs="Courier New" w:eastAsia="Courier New" w:hAnsi="Courier New"/>
          <w:sz w:val="17"/>
          <w:szCs w:val="17"/>
          <w:color w:val="auto"/>
        </w:rPr>
      </w:pPr>
    </w:p>
    <w:p>
      <w:pPr>
        <w:ind w:left="420" w:right="25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purposes of calculating the registration fee. No separate consideration will be received for Common Shares or Preferred Shares as may from time to time be issued upon conversion of Debt Securities or Preferred Shares.</w:t>
      </w:r>
    </w:p>
    <w:p>
      <w:pPr>
        <w:spacing w:after="0" w:line="2" w:lineRule="exact"/>
        <w:rPr>
          <w:rFonts w:ascii="Courier New" w:cs="Courier New" w:eastAsia="Courier New" w:hAnsi="Courier New"/>
          <w:sz w:val="17"/>
          <w:szCs w:val="17"/>
          <w:color w:val="auto"/>
        </w:rPr>
      </w:pPr>
    </w:p>
    <w:p>
      <w:pPr>
        <w:ind w:left="420" w:right="29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Omitted pursuant to General Instruction II-D of Form S-3 under the Securities Act of 1933.</w:t>
      </w:r>
    </w:p>
    <w:p>
      <w:pPr>
        <w:spacing w:after="0" w:line="1" w:lineRule="exact"/>
        <w:rPr>
          <w:rFonts w:ascii="Courier New" w:cs="Courier New" w:eastAsia="Courier New" w:hAnsi="Courier New"/>
          <w:sz w:val="17"/>
          <w:szCs w:val="17"/>
          <w:color w:val="auto"/>
        </w:rPr>
      </w:pPr>
    </w:p>
    <w:p>
      <w:pPr>
        <w:ind w:left="420" w:right="24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fee has been calculated in accordance with Rule 457(o) under the Securities Act of 1933.</w:t>
      </w:r>
    </w:p>
    <w:p>
      <w:pPr>
        <w:spacing w:after="0" w:line="1"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429 under the Securities Act of 1933, $80,000,000 of Offered Securities are being carried forward from registration statement No. 33-51029. The amount of the registration fee associated with such Offered Securities that was previously paid with registration statement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No. 33-51029 is $27,586.</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Pursuant to Rule 429 under the Securities Act of 1933, the prospectus included in this registration statement is a combined prospectus relating also to registration statement No. 33-51029. This registration statement also constitutes Post-Effective Amendment No. 2 to registration statement No. 33-51029, and such Post-Effective Amendment shall hereafter become effective concurrently with the effectiveness of this registration statement and in accordance with Section 8(c) of the Securities Act of 1933. This registration statement and the registration statement amended hereby are collectively referred to hereunder as the "registration statement".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2" w:lineRule="exact"/>
        <w:rPr>
          <w:sz w:val="20"/>
          <w:szCs w:val="20"/>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+INFORMATION CONTAINED HEREIN IS</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SUBJECT TO COMPLETION OR AMENDMENT. 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+REGISTRATION STATEMENT RELATING</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TO THESE SECURITIES HAS BEEN FILED WITH THE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040" w:type="dxa"/>
            <w:vAlign w:val="bottom"/>
            <w:gridSpan w:val="2"/>
          </w:tcPr>
          <w:p>
            <w:pPr>
              <w:spacing w:after="0"/>
              <w:rPr>
                <w:sz w:val="20"/>
                <w:szCs w:val="20"/>
                <w:color w:val="auto"/>
              </w:rPr>
            </w:pPr>
            <w:r>
              <w:rPr>
                <w:rFonts w:ascii="Courier New" w:cs="Courier New" w:eastAsia="Courier New" w:hAnsi="Courier New"/>
                <w:sz w:val="17"/>
                <w:szCs w:val="17"/>
                <w:color w:val="auto"/>
              </w:rPr>
              <w:t>+SECURITIES AND EXCHANGE COMMISSION. THESE SECURITIES MAY NOT BE SOLD NOR MAY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+OFFERS TO BUY BE ACCEPTED PRIOR</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TO THE TIME THE REGISTRATION STATEMENT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040" w:type="dxa"/>
            <w:vAlign w:val="bottom"/>
            <w:gridSpan w:val="2"/>
          </w:tcPr>
          <w:p>
            <w:pPr>
              <w:spacing w:after="0"/>
              <w:rPr>
                <w:sz w:val="20"/>
                <w:szCs w:val="20"/>
                <w:color w:val="auto"/>
              </w:rPr>
            </w:pPr>
            <w:r>
              <w:rPr>
                <w:rFonts w:ascii="Courier New" w:cs="Courier New" w:eastAsia="Courier New" w:hAnsi="Courier New"/>
                <w:sz w:val="17"/>
                <w:szCs w:val="17"/>
                <w:color w:val="auto"/>
              </w:rPr>
              <w:t>+BECOMES EFFECTIVE. THIS PROSPECTUS SHALL NOT CONSTITUTE AN OFFER TO SELL OR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+THE SOLICITATION OF AN OFFER TO</w:t>
            </w:r>
          </w:p>
        </w:tc>
        <w:tc>
          <w:tcPr>
            <w:tcW w:w="4680" w:type="dxa"/>
            <w:vAlign w:val="bottom"/>
          </w:tcPr>
          <w:p>
            <w:pPr>
              <w:ind w:left="40"/>
              <w:spacing w:after="0"/>
              <w:rPr>
                <w:sz w:val="20"/>
                <w:szCs w:val="20"/>
                <w:color w:val="auto"/>
              </w:rPr>
            </w:pPr>
            <w:r>
              <w:rPr>
                <w:rFonts w:ascii="Courier New" w:cs="Courier New" w:eastAsia="Courier New" w:hAnsi="Courier New"/>
                <w:sz w:val="17"/>
                <w:szCs w:val="17"/>
                <w:color w:val="auto"/>
              </w:rPr>
              <w:t>BUY NOR SHALL THERE BE ANY SALE OF THESE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040" w:type="dxa"/>
            <w:vAlign w:val="bottom"/>
            <w:gridSpan w:val="2"/>
          </w:tcPr>
          <w:p>
            <w:pPr>
              <w:spacing w:after="0"/>
              <w:rPr>
                <w:sz w:val="20"/>
                <w:szCs w:val="20"/>
                <w:color w:val="auto"/>
              </w:rPr>
            </w:pPr>
            <w:r>
              <w:rPr>
                <w:rFonts w:ascii="Courier New" w:cs="Courier New" w:eastAsia="Courier New" w:hAnsi="Courier New"/>
                <w:sz w:val="17"/>
                <w:szCs w:val="17"/>
                <w:color w:val="auto"/>
              </w:rPr>
              <w:t>+SECURITIES IN ANY STATE IN WHICH SUCH OFFER, SOLICITATION OR SALE WOULD BE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040" w:type="dxa"/>
            <w:vAlign w:val="bottom"/>
            <w:gridSpan w:val="2"/>
          </w:tcPr>
          <w:p>
            <w:pPr>
              <w:spacing w:after="0"/>
              <w:rPr>
                <w:sz w:val="20"/>
                <w:szCs w:val="20"/>
                <w:color w:val="auto"/>
              </w:rPr>
            </w:pPr>
            <w:r>
              <w:rPr>
                <w:rFonts w:ascii="Courier New" w:cs="Courier New" w:eastAsia="Courier New" w:hAnsi="Courier New"/>
                <w:sz w:val="17"/>
                <w:szCs w:val="17"/>
                <w:color w:val="auto"/>
              </w:rPr>
              <w:t>+UNLAWFUL PRIOR TO REGISTRATION OR QUALIFICATION UNDER THE SECURITIES LAWS OF</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+ANY SUCH STATE.</w:t>
            </w:r>
          </w:p>
        </w:tc>
        <w:tc>
          <w:tcPr>
            <w:tcW w:w="46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SUBJECT TO COMPLETION, DATED OCTOBER 25, 1995</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$480,000,000</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DEBT SECURITIES, PREFERRED SHARES AND COMMON SHARES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left="520" w:hanging="514"/>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preferred shares (the "Preferred Shares"), and (iii) its common</w:t>
      </w:r>
    </w:p>
    <w:p>
      <w:pPr>
        <w:spacing w:after="0" w:line="5" w:lineRule="exact"/>
        <w:rPr>
          <w:rFonts w:ascii="Courier New" w:cs="Courier New" w:eastAsia="Courier New" w:hAnsi="Courier New"/>
          <w:sz w:val="17"/>
          <w:szCs w:val="17"/>
          <w:color w:val="auto"/>
        </w:rPr>
      </w:pPr>
    </w:p>
    <w:p>
      <w:pPr>
        <w:ind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8"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9" w:right="1440" w:bottom="0" w:gutter="0" w:footer="0" w:header="0"/>
        </w:sectPr>
      </w:pPr>
    </w:p>
    <w:bookmarkStart w:id="3" w:name="page4"/>
    <w:bookmarkEnd w:id="3"/>
    <w:p>
      <w:pPr>
        <w:ind w:right="2079"/>
        <w:spacing w:after="0" w:line="247" w:lineRule="auto"/>
        <w:rPr>
          <w:sz w:val="20"/>
          <w:szCs w:val="20"/>
          <w:color w:val="auto"/>
        </w:rPr>
      </w:pPr>
      <w:r>
        <w:rPr>
          <w:rFonts w:ascii="Courier New" w:cs="Courier New" w:eastAsia="Courier New" w:hAnsi="Courier New"/>
          <w:sz w:val="17"/>
          <w:szCs w:val="17"/>
          <w:color w:val="auto"/>
        </w:rPr>
        <w:t>THE ATTORNEY GENERAL OF THE STATE OF NEW YORK HAS NOT PASSED ON OR ENDORSED THE MERITS OF THIS OFFERING. ANY REPRESENTATION TO THE CONTRARY IS UNLAWFUL.</w:t>
      </w:r>
    </w:p>
    <w:p>
      <w:pPr>
        <w:spacing w:after="0" w:line="198" w:lineRule="exact"/>
        <w:rPr>
          <w:sz w:val="20"/>
          <w:szCs w:val="20"/>
          <w:color w:val="auto"/>
        </w:rPr>
      </w:pPr>
    </w:p>
    <w:tbl>
      <w:tblPr>
        <w:tblLayout w:type="fixed"/>
        <w:tblInd w:w="1660" w:type="dxa"/>
        <w:tblCellMar>
          <w:top w:w="0" w:type="dxa"/>
          <w:left w:w="0" w:type="dxa"/>
          <w:bottom w:w="0" w:type="dxa"/>
          <w:right w:w="0" w:type="dxa"/>
        </w:tblCellMar>
      </w:tblPr>
      <w:tr>
        <w:trPr>
          <w:trHeight w:val="193"/>
        </w:trPr>
        <w:tc>
          <w:tcPr>
            <w:tcW w:w="3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6"/>
                <w:szCs w:val="16"/>
                <w:color w:val="auto"/>
              </w:rPr>
            </w:pPr>
          </w:p>
        </w:tc>
      </w:tr>
      <w:tr>
        <w:trPr>
          <w:trHeight w:val="396"/>
        </w:trPr>
        <w:tc>
          <w:tcPr>
            <w:tcW w:w="360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9"/>
              </w:rPr>
              <w:t>The date of this Prospectus is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1995.</w:t>
            </w:r>
          </w:p>
        </w:tc>
      </w:tr>
    </w:tbl>
    <w:p>
      <w:pPr>
        <w:sectPr>
          <w:pgSz w:w="11900" w:h="16838" w:orient="portrait"/>
          <w:cols w:equalWidth="0" w:num="1">
            <w:col w:w="10219"/>
          </w:cols>
          <w:pgMar w:left="240" w:top="142" w:right="1440" w:bottom="1440" w:gutter="0" w:footer="0" w:header="0"/>
        </w:sectPr>
      </w:pPr>
    </w:p>
    <w:bookmarkStart w:id="4" w:name="page5"/>
    <w:bookmarkEnd w:id="4"/>
    <w:p>
      <w:pPr>
        <w:ind w:left="3000"/>
        <w:spacing w:after="0"/>
        <w:rPr>
          <w:sz w:val="20"/>
          <w:szCs w:val="20"/>
          <w:color w:val="auto"/>
        </w:rPr>
      </w:pPr>
      <w:r>
        <w:rPr>
          <w:rFonts w:ascii="Courier New" w:cs="Courier New" w:eastAsia="Courier New" w:hAnsi="Courier New"/>
          <w:sz w:val="17"/>
          <w:szCs w:val="17"/>
          <w:color w:val="auto"/>
        </w:rPr>
        <w:t>AVAILABLE INFORMATION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3" w:lineRule="exact"/>
        <w:rPr>
          <w:sz w:val="20"/>
          <w:szCs w:val="20"/>
          <w:color w:val="auto"/>
        </w:rPr>
      </w:pPr>
    </w:p>
    <w:p>
      <w:pPr>
        <w:ind w:right="2799" w:firstLine="206"/>
        <w:spacing w:after="0" w:line="247" w:lineRule="auto"/>
        <w:rPr>
          <w:sz w:val="20"/>
          <w:szCs w:val="20"/>
          <w:color w:val="auto"/>
        </w:rPr>
      </w:pPr>
      <w:r>
        <w:rPr>
          <w:rFonts w:ascii="Courier New" w:cs="Courier New" w:eastAsia="Courier New" w:hAnsi="Courier New"/>
          <w:sz w:val="17"/>
          <w:szCs w:val="17"/>
          <w:color w:val="auto"/>
        </w:rPr>
        <w:t>The following documents filed by the Trust with the Commission are incorporated in this Prospectus by reference and are made a part hereof:</w:t>
      </w:r>
    </w:p>
    <w:p>
      <w:pPr>
        <w:spacing w:after="0" w:line="198" w:lineRule="exact"/>
        <w:rPr>
          <w:sz w:val="20"/>
          <w:szCs w:val="20"/>
          <w:color w:val="auto"/>
        </w:rPr>
      </w:pPr>
    </w:p>
    <w:p>
      <w:pPr>
        <w:ind w:left="220" w:right="2699" w:firstLine="197"/>
        <w:spacing w:after="0" w:line="247" w:lineRule="auto"/>
        <w:tabs>
          <w:tab w:leader="none" w:pos="73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Annual Report on Form 10-K, as amended, for the fiscal year ended December 31, 1994.</w:t>
      </w:r>
    </w:p>
    <w:p>
      <w:pPr>
        <w:spacing w:after="0" w:line="197" w:lineRule="exact"/>
        <w:rPr>
          <w:rFonts w:ascii="Courier New" w:cs="Courier New" w:eastAsia="Courier New" w:hAnsi="Courier New"/>
          <w:sz w:val="17"/>
          <w:szCs w:val="17"/>
          <w:color w:val="auto"/>
        </w:rPr>
      </w:pPr>
    </w:p>
    <w:p>
      <w:pPr>
        <w:ind w:left="220" w:right="2799" w:firstLine="197"/>
        <w:spacing w:after="0" w:line="247" w:lineRule="auto"/>
        <w:tabs>
          <w:tab w:leader="none" w:pos="73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Quarterly Reports on Form 10-Q for the quarters ended March 31, 1995 and June 30, 1995.</w:t>
      </w:r>
    </w:p>
    <w:p>
      <w:pPr>
        <w:spacing w:after="0" w:line="197" w:lineRule="exact"/>
        <w:rPr>
          <w:rFonts w:ascii="Courier New" w:cs="Courier New" w:eastAsia="Courier New" w:hAnsi="Courier New"/>
          <w:sz w:val="17"/>
          <w:szCs w:val="17"/>
          <w:color w:val="auto"/>
        </w:rPr>
      </w:pPr>
    </w:p>
    <w:p>
      <w:pPr>
        <w:ind w:left="220" w:right="2499" w:firstLine="197"/>
        <w:spacing w:after="0" w:line="247" w:lineRule="auto"/>
        <w:tabs>
          <w:tab w:leader="none" w:pos="73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Current Reports on Form 8-K filed with the Commission on March 31, 1995, May 26, 1995, August 16, 1995 and September 22, 1995.</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5" w:name="page6"/>
    <w:bookmarkEnd w:id="5"/>
    <w:p>
      <w:pPr>
        <w:ind w:left="3600"/>
        <w:spacing w:after="0"/>
        <w:rPr>
          <w:sz w:val="20"/>
          <w:szCs w:val="20"/>
          <w:color w:val="auto"/>
        </w:rPr>
      </w:pPr>
      <w:r>
        <w:rPr>
          <w:rFonts w:ascii="Courier New" w:cs="Courier New" w:eastAsia="Courier New" w:hAnsi="Courier New"/>
          <w:sz w:val="17"/>
          <w:szCs w:val="17"/>
          <w:color w:val="auto"/>
        </w:rPr>
        <w:t>THE TRUST</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0"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The Trust, a District of Columbia business trust of unlimited duration, maintains its offices at 4800 Hampden Lane, Bethesda, Maryland 20814 (telephone 301/652-3360).</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6" w:name="page7"/>
    <w:bookmarkEnd w:id="6"/>
    <w:p>
      <w:pPr>
        <w:jc w:val="center"/>
        <w:ind w:right="2079"/>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03"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SIX</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MONTHS</w:t>
            </w:r>
          </w:p>
        </w:tc>
      </w:tr>
      <w:tr>
        <w:trPr>
          <w:trHeight w:val="198"/>
        </w:trPr>
        <w:tc>
          <w:tcPr>
            <w:tcW w:w="102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Courier New" w:cs="Courier New" w:eastAsia="Courier New" w:hAnsi="Courier New"/>
                <w:sz w:val="17"/>
                <w:szCs w:val="17"/>
                <w:color w:val="auto"/>
              </w:rPr>
              <w:t>YEARS ENDED DECEMBER 31,</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ENDED</w:t>
            </w:r>
          </w:p>
        </w:tc>
        <w:tc>
          <w:tcPr>
            <w:tcW w:w="2000" w:type="dxa"/>
            <w:vAlign w:val="bottom"/>
          </w:tcPr>
          <w:p>
            <w:pPr>
              <w:ind w:left="40"/>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212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020" w:type="dxa"/>
            <w:vAlign w:val="bottom"/>
          </w:tcPr>
          <w:p>
            <w:pPr>
              <w:spacing w:after="0"/>
              <w:rPr>
                <w:sz w:val="20"/>
                <w:szCs w:val="20"/>
                <w:color w:val="auto"/>
              </w:rPr>
            </w:pPr>
            <w:r>
              <w:rPr>
                <w:rFonts w:ascii="Courier New" w:cs="Courier New" w:eastAsia="Courier New" w:hAnsi="Courier New"/>
                <w:sz w:val="17"/>
                <w:szCs w:val="17"/>
                <w:color w:val="auto"/>
              </w:rPr>
              <w:t>1990</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1991</w:t>
            </w: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1992</w:t>
            </w: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10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396"/>
        </w:trPr>
        <w:tc>
          <w:tcPr>
            <w:tcW w:w="1020" w:type="dxa"/>
            <w:vAlign w:val="bottom"/>
          </w:tcPr>
          <w:p>
            <w:pPr>
              <w:spacing w:after="0"/>
              <w:rPr>
                <w:sz w:val="20"/>
                <w:szCs w:val="20"/>
                <w:color w:val="auto"/>
              </w:rPr>
            </w:pPr>
            <w:r>
              <w:rPr>
                <w:rFonts w:ascii="Courier New" w:cs="Courier New" w:eastAsia="Courier New" w:hAnsi="Courier New"/>
                <w:sz w:val="17"/>
                <w:szCs w:val="17"/>
                <w:color w:val="auto"/>
              </w:rPr>
              <w:t>1.06X</w:t>
            </w:r>
          </w:p>
        </w:tc>
        <w:tc>
          <w:tcPr>
            <w:tcW w:w="1100" w:type="dxa"/>
            <w:vAlign w:val="bottom"/>
          </w:tcPr>
          <w:p>
            <w:pPr>
              <w:ind w:left="120"/>
              <w:spacing w:after="0"/>
              <w:rPr>
                <w:sz w:val="20"/>
                <w:szCs w:val="20"/>
                <w:color w:val="auto"/>
              </w:rPr>
            </w:pPr>
            <w:r>
              <w:rPr>
                <w:rFonts w:ascii="Courier New" w:cs="Courier New" w:eastAsia="Courier New" w:hAnsi="Courier New"/>
                <w:sz w:val="17"/>
                <w:szCs w:val="17"/>
                <w:color w:val="auto"/>
              </w:rPr>
              <w:t>1.09X</w:t>
            </w: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1.19X</w:t>
            </w: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1.50X</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1.61X</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1.56X</w:t>
            </w:r>
          </w:p>
        </w:tc>
        <w:tc>
          <w:tcPr>
            <w:tcW w:w="20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1.61X</w:t>
            </w:r>
          </w:p>
        </w:tc>
      </w:tr>
    </w:tbl>
    <w:p>
      <w:pPr>
        <w:spacing w:after="0" w:line="200" w:lineRule="exact"/>
        <w:rPr>
          <w:sz w:val="20"/>
          <w:szCs w:val="20"/>
          <w:color w:val="auto"/>
        </w:rPr>
      </w:pP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DESCRIPTION OF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7" w:name="page8"/>
    <w:bookmarkEnd w:id="7"/>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Reference is made to the Prospectus Supplement relating to the series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being offered for the specific terms thereof, including:</w:t>
      </w:r>
    </w:p>
    <w:p>
      <w:pPr>
        <w:spacing w:after="0" w:line="203" w:lineRule="exact"/>
        <w:rPr>
          <w:sz w:val="20"/>
          <w:szCs w:val="20"/>
          <w:color w:val="auto"/>
        </w:rPr>
      </w:pPr>
    </w:p>
    <w:p>
      <w:pPr>
        <w:ind w:left="220" w:right="2499" w:firstLine="300"/>
        <w:spacing w:after="0" w:line="247"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Debt Securities and whether such Debt Securities are Senior Securities or Subordinated Securities;</w:t>
      </w:r>
    </w:p>
    <w:p>
      <w:pPr>
        <w:spacing w:after="0" w:line="197" w:lineRule="exact"/>
        <w:rPr>
          <w:rFonts w:ascii="Courier New" w:cs="Courier New" w:eastAsia="Courier New" w:hAnsi="Courier New"/>
          <w:sz w:val="17"/>
          <w:szCs w:val="17"/>
          <w:color w:val="auto"/>
        </w:rPr>
      </w:pPr>
    </w:p>
    <w:p>
      <w:pPr>
        <w:ind w:left="220" w:right="2279" w:firstLine="300"/>
        <w:spacing w:after="0" w:line="247"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such Debt Securities and any limit on such aggregate principal amount;</w:t>
      </w:r>
    </w:p>
    <w:p>
      <w:pPr>
        <w:spacing w:after="0" w:line="197" w:lineRule="exact"/>
        <w:rPr>
          <w:rFonts w:ascii="Courier New" w:cs="Courier New" w:eastAsia="Courier New" w:hAnsi="Courier New"/>
          <w:sz w:val="17"/>
          <w:szCs w:val="17"/>
          <w:color w:val="auto"/>
        </w:rPr>
      </w:pPr>
    </w:p>
    <w:p>
      <w:pPr>
        <w:ind w:left="220" w:right="227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02" w:lineRule="exact"/>
        <w:rPr>
          <w:rFonts w:ascii="Courier New" w:cs="Courier New" w:eastAsia="Courier New" w:hAnsi="Courier New"/>
          <w:sz w:val="17"/>
          <w:szCs w:val="17"/>
          <w:color w:val="auto"/>
        </w:rPr>
      </w:pPr>
    </w:p>
    <w:p>
      <w:pPr>
        <w:ind w:left="220" w:right="249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0" w:lineRule="exact"/>
        <w:rPr>
          <w:rFonts w:ascii="Courier New" w:cs="Courier New" w:eastAsia="Courier New" w:hAnsi="Courier New"/>
          <w:sz w:val="17"/>
          <w:szCs w:val="17"/>
          <w:color w:val="auto"/>
        </w:rPr>
      </w:pPr>
    </w:p>
    <w:p>
      <w:pPr>
        <w:ind w:left="220" w:right="2279" w:firstLine="300"/>
        <w:spacing w:after="0" w:line="247"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on which the principal of such Debt Securities will be payable;</w:t>
      </w:r>
    </w:p>
    <w:p>
      <w:pPr>
        <w:spacing w:after="0" w:line="197" w:lineRule="exact"/>
        <w:rPr>
          <w:rFonts w:ascii="Courier New" w:cs="Courier New" w:eastAsia="Courier New" w:hAnsi="Courier New"/>
          <w:sz w:val="17"/>
          <w:szCs w:val="17"/>
          <w:color w:val="auto"/>
        </w:rPr>
      </w:pPr>
    </w:p>
    <w:p>
      <w:pPr>
        <w:jc w:val="both"/>
        <w:ind w:left="220" w:right="227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(which may be fixed or variable), or the method by which such rate or rates shall be determined, at which such Debt Securities will bear interest, if any;</w:t>
      </w:r>
    </w:p>
    <w:p>
      <w:pPr>
        <w:spacing w:after="0" w:line="199" w:lineRule="exact"/>
        <w:rPr>
          <w:rFonts w:ascii="Courier New" w:cs="Courier New" w:eastAsia="Courier New" w:hAnsi="Courier New"/>
          <w:sz w:val="17"/>
          <w:szCs w:val="17"/>
          <w:color w:val="auto"/>
        </w:rPr>
      </w:pPr>
    </w:p>
    <w:p>
      <w:pPr>
        <w:ind w:left="220" w:right="227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02" w:lineRule="exact"/>
        <w:rPr>
          <w:rFonts w:ascii="Courier New" w:cs="Courier New" w:eastAsia="Courier New" w:hAnsi="Courier New"/>
          <w:sz w:val="17"/>
          <w:szCs w:val="17"/>
          <w:color w:val="auto"/>
        </w:rPr>
      </w:pPr>
    </w:p>
    <w:p>
      <w:pPr>
        <w:ind w:left="220" w:right="227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200" w:lineRule="exact"/>
        <w:rPr>
          <w:rFonts w:ascii="Courier New" w:cs="Courier New" w:eastAsia="Courier New" w:hAnsi="Courier New"/>
          <w:sz w:val="17"/>
          <w:szCs w:val="17"/>
          <w:color w:val="auto"/>
        </w:rPr>
      </w:pPr>
    </w:p>
    <w:p>
      <w:pPr>
        <w:ind w:left="220" w:right="2279" w:firstLine="300"/>
        <w:spacing w:after="0" w:line="246" w:lineRule="auto"/>
        <w:tabs>
          <w:tab w:leader="none" w:pos="94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117" w:gutter="0" w:footer="0" w:header="0"/>
        </w:sectPr>
      </w:pPr>
    </w:p>
    <w:bookmarkStart w:id="8" w:name="page9"/>
    <w:bookmarkEnd w:id="8"/>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additions to, modifications of or deletions from the terms of such Debt Securities with respect to the Events of Default or covenants set forth in the applicable Indenture;</w:t>
      </w:r>
    </w:p>
    <w:p>
      <w:pPr>
        <w:spacing w:after="0" w:line="199" w:lineRule="exact"/>
        <w:rPr>
          <w:rFonts w:ascii="Courier New" w:cs="Courier New" w:eastAsia="Courier New" w:hAnsi="Courier New"/>
          <w:sz w:val="17"/>
          <w:szCs w:val="17"/>
          <w:color w:val="auto"/>
        </w:rPr>
      </w:pPr>
    </w:p>
    <w:p>
      <w:pPr>
        <w:ind w:left="220" w:right="2279" w:firstLine="197"/>
        <w:spacing w:after="0" w:line="247"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issued in certificated or book-entry form;</w:t>
      </w:r>
    </w:p>
    <w:p>
      <w:pPr>
        <w:spacing w:after="0" w:line="197" w:lineRule="exact"/>
        <w:rPr>
          <w:rFonts w:ascii="Courier New" w:cs="Courier New" w:eastAsia="Courier New" w:hAnsi="Courier New"/>
          <w:sz w:val="17"/>
          <w:szCs w:val="17"/>
          <w:color w:val="auto"/>
        </w:rPr>
      </w:pPr>
    </w:p>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0" w:lineRule="exact"/>
        <w:rPr>
          <w:rFonts w:ascii="Courier New" w:cs="Courier New" w:eastAsia="Courier New" w:hAnsi="Courier New"/>
          <w:sz w:val="17"/>
          <w:szCs w:val="17"/>
          <w:color w:val="auto"/>
        </w:rPr>
      </w:pPr>
    </w:p>
    <w:p>
      <w:pPr>
        <w:ind w:left="220" w:right="2279" w:firstLine="197"/>
        <w:spacing w:after="0" w:line="247"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applicability, if any, of the defeasance and covenant defeasance provisions of Article XIV of the applicable Indenture;</w:t>
      </w:r>
    </w:p>
    <w:p>
      <w:pPr>
        <w:spacing w:after="0" w:line="197" w:lineRule="exact"/>
        <w:rPr>
          <w:rFonts w:ascii="Courier New" w:cs="Courier New" w:eastAsia="Courier New" w:hAnsi="Courier New"/>
          <w:sz w:val="17"/>
          <w:szCs w:val="17"/>
          <w:color w:val="auto"/>
        </w:rPr>
      </w:pPr>
    </w:p>
    <w:p>
      <w:pPr>
        <w:ind w:left="940" w:hanging="523"/>
        <w:spacing w:after="0"/>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if any, upon which such Debt Securities may be</w:t>
      </w:r>
    </w:p>
    <w:p>
      <w:pPr>
        <w:spacing w:after="0" w:line="5" w:lineRule="exact"/>
        <w:rPr>
          <w:rFonts w:ascii="Courier New" w:cs="Courier New" w:eastAsia="Courier New" w:hAnsi="Courier New"/>
          <w:sz w:val="17"/>
          <w:szCs w:val="17"/>
          <w:color w:val="auto"/>
        </w:rPr>
      </w:pPr>
    </w:p>
    <w:p>
      <w:pPr>
        <w:ind w:left="22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0" w:lineRule="exact"/>
        <w:rPr>
          <w:rFonts w:ascii="Courier New" w:cs="Courier New" w:eastAsia="Courier New" w:hAnsi="Courier New"/>
          <w:sz w:val="17"/>
          <w:szCs w:val="17"/>
          <w:color w:val="auto"/>
        </w:rPr>
      </w:pPr>
    </w:p>
    <w:p>
      <w:pPr>
        <w:ind w:left="220" w:right="2599" w:firstLine="197"/>
        <w:spacing w:after="0" w:line="247" w:lineRule="auto"/>
        <w:tabs>
          <w:tab w:leader="none" w:pos="94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Debt Securities not inconsistent with the provisions of the applicable Indenture (Section 301 of each Indenture).</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DENOMINATIONS, INTEREST, REGISTRATION AND TRANSFER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Unless otherwise described in the applicable Prospectus Supplement, the Debt Securities of any series will be issuable in denominations of $1,000 and integral multiples thereof (Section 302 of each Indenture).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5"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MERGER, CONSOLIDATION OR SALE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11" w:name="page12"/>
    <w:bookmarkEnd w:id="11"/>
    <w:p>
      <w:pPr>
        <w:ind w:right="2279"/>
        <w:spacing w:after="0" w:line="246" w:lineRule="auto"/>
        <w:rPr>
          <w:sz w:val="20"/>
          <w:szCs w:val="20"/>
          <w:color w:val="auto"/>
        </w:rPr>
      </w:pPr>
      <w:r>
        <w:rPr>
          <w:rFonts w:ascii="Courier New" w:cs="Courier New" w:eastAsia="Courier New" w:hAnsi="Courier New"/>
          <w:sz w:val="17"/>
          <w:szCs w:val="17"/>
          <w:color w:val="auto"/>
        </w:rPr>
        <w:t>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1"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NOTICE AND WAIVER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1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2" w:name="page13"/>
    <w:bookmarkEnd w:id="12"/>
    <w:p>
      <w:pPr>
        <w:ind w:right="2179"/>
        <w:spacing w:after="0" w:line="246" w:lineRule="auto"/>
        <w:rPr>
          <w:sz w:val="20"/>
          <w:szCs w:val="20"/>
          <w:color w:val="auto"/>
        </w:rPr>
      </w:pPr>
      <w:r>
        <w:rPr>
          <w:rFonts w:ascii="Courier New" w:cs="Courier New" w:eastAsia="Courier New" w:hAnsi="Courier New"/>
          <w:sz w:val="17"/>
          <w:szCs w:val="17"/>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203"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13" w:name="page14"/>
    <w:bookmarkEnd w:id="13"/>
    <w:p>
      <w:pPr>
        <w:ind w:right="2179"/>
        <w:spacing w:after="0" w:line="246" w:lineRule="auto"/>
        <w:rPr>
          <w:sz w:val="20"/>
          <w:szCs w:val="20"/>
          <w:color w:val="auto"/>
        </w:rPr>
      </w:pPr>
      <w:r>
        <w:rPr>
          <w:rFonts w:ascii="Courier New" w:cs="Courier New" w:eastAsia="Courier New" w:hAnsi="Courier New"/>
          <w:sz w:val="17"/>
          <w:szCs w:val="17"/>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2" w:lineRule="exact"/>
        <w:rPr>
          <w:sz w:val="20"/>
          <w:szCs w:val="20"/>
          <w:color w:val="auto"/>
        </w:rPr>
      </w:pPr>
    </w:p>
    <w:p>
      <w:pPr>
        <w:ind w:right="2179" w:firstLine="6"/>
        <w:spacing w:after="0" w:line="246" w:lineRule="auto"/>
        <w:tabs>
          <w:tab w:leader="none" w:pos="5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2"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14" w:name="page15"/>
    <w:bookmarkEnd w:id="14"/>
    <w:p>
      <w:pPr>
        <w:ind w:right="2179"/>
        <w:spacing w:after="0" w:line="246" w:lineRule="auto"/>
        <w:rPr>
          <w:sz w:val="20"/>
          <w:szCs w:val="20"/>
          <w:color w:val="auto"/>
        </w:rPr>
      </w:pPr>
      <w:r>
        <w:rPr>
          <w:rFonts w:ascii="Courier New" w:cs="Courier New" w:eastAsia="Courier New" w:hAnsi="Courier New"/>
          <w:sz w:val="17"/>
          <w:szCs w:val="17"/>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1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1440" w:gutter="0" w:footer="0" w:header="0"/>
        </w:sectPr>
      </w:pPr>
    </w:p>
    <w:bookmarkStart w:id="15" w:name="page16"/>
    <w:bookmarkEnd w:id="15"/>
    <w:p>
      <w:pPr>
        <w:ind w:right="2179"/>
        <w:spacing w:after="0" w:line="246" w:lineRule="auto"/>
        <w:rPr>
          <w:sz w:val="20"/>
          <w:szCs w:val="20"/>
          <w:color w:val="auto"/>
        </w:rPr>
      </w:pPr>
      <w:r>
        <w:rPr>
          <w:rFonts w:ascii="Courier New" w:cs="Courier New" w:eastAsia="Courier New" w:hAnsi="Courier New"/>
          <w:sz w:val="17"/>
          <w:szCs w:val="17"/>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2" w:lineRule="exact"/>
        <w:rPr>
          <w:sz w:val="20"/>
          <w:szCs w:val="20"/>
          <w:color w:val="auto"/>
        </w:rPr>
      </w:pPr>
    </w:p>
    <w:p>
      <w:pPr>
        <w:ind w:right="2179" w:firstLine="6"/>
        <w:spacing w:after="0" w:line="246" w:lineRule="auto"/>
        <w:tabs>
          <w:tab w:leader="none" w:pos="41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3"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2"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DEFEASANCE AND COVENANT DEFEASANCE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16" w:name="page17"/>
    <w:bookmarkEnd w:id="16"/>
    <w:p>
      <w:pPr>
        <w:ind w:right="2179"/>
        <w:spacing w:after="0" w:line="246" w:lineRule="auto"/>
        <w:rPr>
          <w:sz w:val="20"/>
          <w:szCs w:val="20"/>
          <w:color w:val="auto"/>
        </w:rPr>
      </w:pPr>
      <w:r>
        <w:rPr>
          <w:rFonts w:ascii="Courier New" w:cs="Courier New" w:eastAsia="Courier New" w:hAnsi="Courier New"/>
          <w:sz w:val="17"/>
          <w:szCs w:val="17"/>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1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17" w:name="page18"/>
    <w:bookmarkEnd w:id="17"/>
    <w:p>
      <w:pPr>
        <w:ind w:right="2179"/>
        <w:spacing w:after="0" w:line="246" w:lineRule="auto"/>
        <w:rPr>
          <w:sz w:val="20"/>
          <w:szCs w:val="20"/>
          <w:color w:val="auto"/>
        </w:rPr>
      </w:pPr>
      <w:r>
        <w:rPr>
          <w:rFonts w:ascii="Courier New" w:cs="Courier New" w:eastAsia="Courier New" w:hAnsi="Courier New"/>
          <w:sz w:val="17"/>
          <w:szCs w:val="17"/>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4" w:lineRule="exact"/>
        <w:rPr>
          <w:sz w:val="20"/>
          <w:szCs w:val="20"/>
          <w:color w:val="auto"/>
        </w:rPr>
      </w:pPr>
    </w:p>
    <w:p>
      <w:pPr>
        <w:ind w:right="2179" w:firstLine="6"/>
        <w:spacing w:after="0" w:line="246" w:lineRule="auto"/>
        <w:tabs>
          <w:tab w:leader="none" w:pos="41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18" w:name="page19"/>
    <w:bookmarkEnd w:id="18"/>
    <w:p>
      <w:pPr>
        <w:ind w:left="2480"/>
        <w:spacing w:after="0"/>
        <w:rPr>
          <w:sz w:val="20"/>
          <w:szCs w:val="20"/>
          <w:color w:val="auto"/>
        </w:rPr>
      </w:pPr>
      <w:r>
        <w:rPr>
          <w:rFonts w:ascii="Courier New" w:cs="Courier New" w:eastAsia="Courier New" w:hAnsi="Courier New"/>
          <w:sz w:val="17"/>
          <w:szCs w:val="17"/>
          <w:color w:val="auto"/>
        </w:rPr>
        <w:t>DESCRIPTION OF PREFERRED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The Trust is authorized to issue an unlimited number of preferred shares (the "Preferred Shares") of which no Preferred Shares are outstanding.</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04"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Reference is made to the Prospectus Supplement relating to the Preferred Shares offered thereby for specific terms, including:</w:t>
      </w:r>
    </w:p>
    <w:p>
      <w:pPr>
        <w:spacing w:after="0" w:line="198" w:lineRule="exact"/>
        <w:rPr>
          <w:sz w:val="20"/>
          <w:szCs w:val="20"/>
          <w:color w:val="auto"/>
        </w:rPr>
      </w:pPr>
    </w:p>
    <w:p>
      <w:pPr>
        <w:ind w:left="820" w:hanging="403"/>
        <w:spacing w:after="0"/>
        <w:tabs>
          <w:tab w:leader="none" w:pos="8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and stated value of such Preferred Shares;</w:t>
      </w:r>
    </w:p>
    <w:p>
      <w:pPr>
        <w:spacing w:after="0" w:line="203" w:lineRule="exact"/>
        <w:rPr>
          <w:rFonts w:ascii="Courier New" w:cs="Courier New" w:eastAsia="Courier New" w:hAnsi="Courier New"/>
          <w:sz w:val="17"/>
          <w:szCs w:val="17"/>
          <w:color w:val="auto"/>
        </w:rPr>
      </w:pPr>
    </w:p>
    <w:p>
      <w:pPr>
        <w:ind w:left="220" w:right="2899" w:firstLine="197"/>
        <w:spacing w:after="0" w:line="247"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such Preferred Shares offered, the liquidation preference per share and the offering price of such Preferred Shares;</w:t>
      </w:r>
    </w:p>
    <w:p>
      <w:pPr>
        <w:spacing w:after="0" w:line="197" w:lineRule="exact"/>
        <w:rPr>
          <w:rFonts w:ascii="Courier New" w:cs="Courier New" w:eastAsia="Courier New" w:hAnsi="Courier New"/>
          <w:sz w:val="17"/>
          <w:szCs w:val="17"/>
          <w:color w:val="auto"/>
        </w:rPr>
      </w:pPr>
    </w:p>
    <w:p>
      <w:pPr>
        <w:ind w:left="220" w:right="2499" w:firstLine="197"/>
        <w:spacing w:after="0" w:line="247"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rate(s), period(s) and/or payment date(s) or method(s) of calculation thereof applicable to such Preferred Shares;</w:t>
      </w:r>
    </w:p>
    <w:p>
      <w:pPr>
        <w:spacing w:after="0" w:line="197" w:lineRule="exact"/>
        <w:rPr>
          <w:rFonts w:ascii="Courier New" w:cs="Courier New" w:eastAsia="Courier New" w:hAnsi="Courier New"/>
          <w:sz w:val="17"/>
          <w:szCs w:val="17"/>
          <w:color w:val="auto"/>
        </w:rPr>
      </w:pPr>
    </w:p>
    <w:p>
      <w:pPr>
        <w:ind w:left="220" w:right="3219" w:firstLine="197"/>
        <w:spacing w:after="0" w:line="247"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from which dividends on such Preferred Shares shall accumulate, if applicable;</w:t>
      </w:r>
    </w:p>
    <w:p>
      <w:pPr>
        <w:spacing w:after="0" w:line="197" w:lineRule="exact"/>
        <w:rPr>
          <w:rFonts w:ascii="Courier New" w:cs="Courier New" w:eastAsia="Courier New" w:hAnsi="Courier New"/>
          <w:sz w:val="17"/>
          <w:szCs w:val="17"/>
          <w:color w:val="auto"/>
        </w:rPr>
      </w:pPr>
    </w:p>
    <w:p>
      <w:pPr>
        <w:ind w:left="220" w:right="2799" w:firstLine="197"/>
        <w:spacing w:after="0" w:line="247"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for any auction and remarketing, if any, for such Preferred Shares;</w:t>
      </w:r>
    </w:p>
    <w:p>
      <w:pPr>
        <w:spacing w:after="0" w:line="197"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a sinking fund, if any, for such Preferred Shares;</w:t>
      </w:r>
    </w:p>
    <w:p>
      <w:pPr>
        <w:spacing w:after="0" w:line="203" w:lineRule="exact"/>
        <w:rPr>
          <w:rFonts w:ascii="Courier New" w:cs="Courier New" w:eastAsia="Courier New" w:hAnsi="Courier New"/>
          <w:sz w:val="17"/>
          <w:szCs w:val="17"/>
          <w:color w:val="auto"/>
        </w:rPr>
      </w:pPr>
    </w:p>
    <w:p>
      <w:pPr>
        <w:ind w:left="220" w:right="2999" w:firstLine="197"/>
        <w:spacing w:after="0" w:line="247"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redemption, if applicable, of such Preferred Shares;</w:t>
      </w:r>
    </w:p>
    <w:p>
      <w:pPr>
        <w:spacing w:after="0" w:line="197"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listing of such Preferred Shares on any securities exchange;</w:t>
      </w:r>
    </w:p>
    <w:p>
      <w:pPr>
        <w:spacing w:after="0" w:line="203" w:lineRule="exact"/>
        <w:rPr>
          <w:rFonts w:ascii="Courier New" w:cs="Courier New" w:eastAsia="Courier New" w:hAnsi="Courier New"/>
          <w:sz w:val="17"/>
          <w:szCs w:val="17"/>
          <w:color w:val="auto"/>
        </w:rPr>
      </w:pPr>
    </w:p>
    <w:p>
      <w:pPr>
        <w:ind w:left="220" w:right="2499" w:firstLine="197"/>
        <w:spacing w:after="0" w:line="246" w:lineRule="auto"/>
        <w:tabs>
          <w:tab w:leader="none" w:pos="83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applicable, upon which such Preferred Shares will be convertible into Common Shares of the Trust, including the conversion price (or manner of calculation thereof);</w:t>
      </w:r>
    </w:p>
    <w:p>
      <w:pPr>
        <w:spacing w:after="0" w:line="199" w:lineRule="exact"/>
        <w:rPr>
          <w:rFonts w:ascii="Courier New" w:cs="Courier New" w:eastAsia="Courier New" w:hAnsi="Courier New"/>
          <w:sz w:val="17"/>
          <w:szCs w:val="17"/>
          <w:color w:val="auto"/>
        </w:rPr>
      </w:pPr>
    </w:p>
    <w:p>
      <w:pPr>
        <w:ind w:left="220" w:right="2999" w:firstLine="197"/>
        <w:spacing w:after="0" w:line="247" w:lineRule="auto"/>
        <w:tabs>
          <w:tab w:leader="none" w:pos="94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specific terms, preferences, rights, limitations or restrictions of such Preferred Shares;</w:t>
      </w:r>
    </w:p>
    <w:p>
      <w:pPr>
        <w:spacing w:after="0" w:line="197" w:lineRule="exact"/>
        <w:rPr>
          <w:rFonts w:ascii="Courier New" w:cs="Courier New" w:eastAsia="Courier New" w:hAnsi="Courier New"/>
          <w:sz w:val="17"/>
          <w:szCs w:val="17"/>
          <w:color w:val="auto"/>
        </w:rPr>
      </w:pPr>
    </w:p>
    <w:p>
      <w:pPr>
        <w:ind w:left="220" w:right="2279" w:firstLine="197"/>
        <w:spacing w:after="0" w:line="247" w:lineRule="auto"/>
        <w:tabs>
          <w:tab w:leader="none" w:pos="94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discussion of federal income tax considerations applicable to such Preferred Shares;</w:t>
      </w:r>
    </w:p>
    <w:p>
      <w:pPr>
        <w:spacing w:after="0" w:line="197" w:lineRule="exact"/>
        <w:rPr>
          <w:rFonts w:ascii="Courier New" w:cs="Courier New" w:eastAsia="Courier New" w:hAnsi="Courier New"/>
          <w:sz w:val="17"/>
          <w:szCs w:val="17"/>
          <w:color w:val="auto"/>
        </w:rPr>
      </w:pPr>
    </w:p>
    <w:p>
      <w:pPr>
        <w:ind w:left="220" w:right="2399" w:firstLine="197"/>
        <w:spacing w:after="0" w:line="246" w:lineRule="auto"/>
        <w:tabs>
          <w:tab w:leader="none" w:pos="94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ranking and preferences of such Preferred Shares as to dividend rights and rights upon liquidation, dissolution or winding up of the affairs of the Trust;</w:t>
      </w:r>
    </w:p>
    <w:p>
      <w:pPr>
        <w:spacing w:after="0" w:line="199" w:lineRule="exact"/>
        <w:rPr>
          <w:rFonts w:ascii="Courier New" w:cs="Courier New" w:eastAsia="Courier New" w:hAnsi="Courier New"/>
          <w:sz w:val="17"/>
          <w:szCs w:val="17"/>
          <w:color w:val="auto"/>
        </w:rPr>
      </w:pPr>
    </w:p>
    <w:p>
      <w:pPr>
        <w:ind w:left="940" w:hanging="523"/>
        <w:spacing w:after="0"/>
        <w:tabs>
          <w:tab w:leader="none" w:pos="9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issuance of any series of Preferred Shares</w:t>
      </w:r>
    </w:p>
    <w:p>
      <w:pPr>
        <w:spacing w:after="0" w:line="5" w:lineRule="exact"/>
        <w:rPr>
          <w:rFonts w:ascii="Courier New" w:cs="Courier New" w:eastAsia="Courier New" w:hAnsi="Courier New"/>
          <w:sz w:val="17"/>
          <w:szCs w:val="17"/>
          <w:color w:val="auto"/>
        </w:rPr>
      </w:pPr>
    </w:p>
    <w:p>
      <w:pPr>
        <w:ind w:left="22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ranking senior to or on a parity with such series of Preferred Shares as to dividend rights and rights upon liquidation, dissolution or winding up of the affairs of the Trust; and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117" w:gutter="0" w:footer="0" w:header="0"/>
        </w:sectPr>
      </w:pPr>
    </w:p>
    <w:bookmarkStart w:id="19" w:name="page20"/>
    <w:bookmarkEnd w:id="19"/>
    <w:p>
      <w:pPr>
        <w:jc w:val="both"/>
        <w:ind w:left="220" w:right="2499" w:firstLine="197"/>
        <w:spacing w:after="0" w:line="246" w:lineRule="auto"/>
        <w:tabs>
          <w:tab w:leader="none" w:pos="94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direct or beneficial ownership and restrictions on transfer, in each case as may be appropriate to preserve the status of the Trust as a REIT.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03"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Each such dividend shall be payable to holders of record as they appear on the share transfer books of the Trust on such record dates as shall be fixed by the Board of Trustees of the Trust.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20" w:name="page21"/>
    <w:bookmarkEnd w:id="20"/>
    <w:p>
      <w:pPr>
        <w:ind w:right="2179" w:firstLine="206"/>
        <w:spacing w:after="0" w:line="246" w:lineRule="auto"/>
        <w:rPr>
          <w:sz w:val="20"/>
          <w:szCs w:val="20"/>
          <w:color w:val="auto"/>
        </w:rPr>
      </w:pPr>
      <w:r>
        <w:rPr>
          <w:rFonts w:ascii="Courier New" w:cs="Courier New" w:eastAsia="Courier New" w:hAnsi="Courier New"/>
          <w:sz w:val="17"/>
          <w:szCs w:val="17"/>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2" w:lineRule="exact"/>
        <w:rPr>
          <w:sz w:val="20"/>
          <w:szCs w:val="20"/>
          <w:color w:val="auto"/>
        </w:rPr>
      </w:pPr>
    </w:p>
    <w:p>
      <w:pPr>
        <w:jc w:val="both"/>
        <w:ind w:right="2499" w:firstLine="206"/>
        <w:spacing w:after="0" w:line="246" w:lineRule="auto"/>
        <w:rPr>
          <w:sz w:val="20"/>
          <w:szCs w:val="20"/>
          <w:color w:val="auto"/>
        </w:rPr>
      </w:pPr>
      <w:r>
        <w:rPr>
          <w:rFonts w:ascii="Courier New" w:cs="Courier New" w:eastAsia="Courier New" w:hAnsi="Courier New"/>
          <w:sz w:val="17"/>
          <w:szCs w:val="17"/>
          <w:color w:val="auto"/>
        </w:rPr>
        <w:t>Any dividend payment made on shares of a series of Preferred Shares shall first be credited against the earliest accrued but unpaid dividend due with respect to shares of such series which remains payable.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1440" w:gutter="0" w:footer="0" w:header="0"/>
        </w:sectPr>
      </w:pPr>
    </w:p>
    <w:bookmarkStart w:id="21" w:name="page22"/>
    <w:bookmarkEnd w:id="21"/>
    <w:p>
      <w:pPr>
        <w:ind w:right="2079"/>
        <w:spacing w:after="0" w:line="246" w:lineRule="auto"/>
        <w:rPr>
          <w:sz w:val="20"/>
          <w:szCs w:val="20"/>
          <w:color w:val="auto"/>
        </w:rPr>
      </w:pPr>
      <w:r>
        <w:rPr>
          <w:rFonts w:ascii="Courier New" w:cs="Courier New" w:eastAsia="Courier New" w:hAnsi="Courier New"/>
          <w:sz w:val="17"/>
          <w:szCs w:val="17"/>
          <w:color w:val="auto"/>
        </w:rPr>
        <w:t>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9"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4" w:lineRule="exact"/>
        <w:rPr>
          <w:sz w:val="20"/>
          <w:szCs w:val="20"/>
          <w:color w:val="auto"/>
        </w:rPr>
      </w:pPr>
    </w:p>
    <w:p>
      <w:pPr>
        <w:ind w:right="2179" w:firstLine="6"/>
        <w:spacing w:after="0" w:line="246" w:lineRule="auto"/>
        <w:tabs>
          <w:tab w:leader="none" w:pos="4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20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1440" w:gutter="0" w:footer="0" w:header="0"/>
        </w:sectPr>
      </w:pPr>
    </w:p>
    <w:bookmarkStart w:id="22" w:name="page23"/>
    <w:bookmarkEnd w:id="22"/>
    <w:p>
      <w:pPr>
        <w:ind w:right="2179"/>
        <w:spacing w:after="0" w:line="246" w:lineRule="auto"/>
        <w:rPr>
          <w:sz w:val="20"/>
          <w:szCs w:val="20"/>
          <w:color w:val="auto"/>
        </w:rPr>
      </w:pPr>
      <w:r>
        <w:rPr>
          <w:rFonts w:ascii="Courier New" w:cs="Courier New" w:eastAsia="Courier New" w:hAnsi="Courier New"/>
          <w:sz w:val="17"/>
          <w:szCs w:val="17"/>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Holders of the Preferred Shares will not have any voting rights, except as set forth below or as otherwise from time to time required by law or as indicated in the applicable Prospectus Supplement.</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14" w:lineRule="exact"/>
        <w:rPr>
          <w:sz w:val="20"/>
          <w:szCs w:val="20"/>
          <w:color w:val="auto"/>
        </w:rPr>
      </w:pPr>
    </w:p>
    <w:p>
      <w:pPr>
        <w:ind w:right="2179" w:firstLine="6"/>
        <w:spacing w:after="0" w:line="246" w:lineRule="auto"/>
        <w:tabs>
          <w:tab w:leader="none" w:pos="41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1440" w:gutter="0" w:footer="0" w:header="0"/>
        </w:sectPr>
      </w:pPr>
    </w:p>
    <w:bookmarkStart w:id="23" w:name="page24"/>
    <w:bookmarkEnd w:id="23"/>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1440" w:gutter="0" w:footer="0" w:header="0"/>
        </w:sectPr>
      </w:pPr>
    </w:p>
    <w:bookmarkStart w:id="24" w:name="page25"/>
    <w:bookmarkEnd w:id="24"/>
    <w:p>
      <w:pPr>
        <w:ind w:left="2580"/>
        <w:spacing w:after="0"/>
        <w:rPr>
          <w:sz w:val="20"/>
          <w:szCs w:val="20"/>
          <w:color w:val="auto"/>
        </w:rPr>
      </w:pPr>
      <w:r>
        <w:rPr>
          <w:rFonts w:ascii="Courier New" w:cs="Courier New" w:eastAsia="Courier New" w:hAnsi="Courier New"/>
          <w:sz w:val="17"/>
          <w:szCs w:val="17"/>
          <w:color w:val="auto"/>
        </w:rPr>
        <w:t>DESCRIPTION OF COMMON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7"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208"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REIT QUALIFICATION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25" w:name="page26"/>
    <w:bookmarkEnd w:id="25"/>
    <w:p>
      <w:pPr>
        <w:ind w:right="2179"/>
        <w:spacing w:after="0" w:line="246" w:lineRule="auto"/>
        <w:rPr>
          <w:sz w:val="20"/>
          <w:szCs w:val="20"/>
          <w:color w:val="auto"/>
        </w:rPr>
      </w:pPr>
      <w:r>
        <w:rPr>
          <w:rFonts w:ascii="Courier New" w:cs="Courier New" w:eastAsia="Courier New" w:hAnsi="Courier New"/>
          <w:sz w:val="17"/>
          <w:szCs w:val="17"/>
          <w:color w:val="auto"/>
        </w:rPr>
        <w:t>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CONSIDERATIONS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9" w:right="1440" w:bottom="1440" w:gutter="0" w:footer="0" w:header="0"/>
        </w:sectPr>
      </w:pPr>
    </w:p>
    <w:bookmarkStart w:id="26" w:name="page27"/>
    <w:bookmarkEnd w:id="26"/>
    <w:p>
      <w:pPr>
        <w:ind w:right="2179"/>
        <w:spacing w:after="0" w:line="247" w:lineRule="auto"/>
        <w:rPr>
          <w:sz w:val="20"/>
          <w:szCs w:val="20"/>
          <w:color w:val="auto"/>
        </w:rPr>
      </w:pPr>
      <w:r>
        <w:rPr>
          <w:rFonts w:ascii="Courier New" w:cs="Courier New" w:eastAsia="Courier New" w:hAnsi="Courier New"/>
          <w:sz w:val="17"/>
          <w:szCs w:val="17"/>
          <w:color w:val="auto"/>
        </w:rPr>
        <w:t>assets plus its insurance coverage would be insufficient to satisfy the claims against the Trust and its shareholders.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AND TRANSFER AGENT</w:t>
      </w:r>
    </w:p>
    <w:p>
      <w:pPr>
        <w:spacing w:after="0" w:line="203"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The Registrar and Transfer Agent for the Common Shares is American Stock Transfer &amp; Trust Company, New York, New York.</w:t>
      </w:r>
    </w:p>
    <w:p>
      <w:pPr>
        <w:spacing w:after="0" w:line="198"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PLAN OF DISTRIBUTION</w:t>
      </w:r>
    </w:p>
    <w:p>
      <w:pPr>
        <w:spacing w:after="0" w:line="203"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The Trust may sell Securities to or through underwriters, and also may sell Securities directly to other purchasers or through agents.</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Underwriters, dealers and agents may engage in transactions with, or perform services for, or be customers of, the Trust in the ordinary course of business.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440" w:gutter="0" w:footer="0" w:header="0"/>
        </w:sectPr>
      </w:pPr>
    </w:p>
    <w:bookmarkStart w:id="27" w:name="page28"/>
    <w:bookmarkEnd w:id="27"/>
    <w:p>
      <w:pPr>
        <w:jc w:val="center"/>
        <w:ind w:right="2179"/>
        <w:spacing w:after="0"/>
        <w:rPr>
          <w:sz w:val="20"/>
          <w:szCs w:val="20"/>
          <w:color w:val="auto"/>
        </w:rPr>
      </w:pPr>
      <w:r>
        <w:rPr>
          <w:rFonts w:ascii="Courier New" w:cs="Courier New" w:eastAsia="Courier New" w:hAnsi="Courier New"/>
          <w:sz w:val="17"/>
          <w:szCs w:val="17"/>
          <w:color w:val="auto"/>
        </w:rPr>
        <w:t>LEGAL OPINIONS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440" w:gutter="0" w:footer="0" w:header="0"/>
        </w:sectPr>
      </w:pPr>
    </w:p>
    <w:bookmarkStart w:id="28" w:name="page29"/>
    <w:bookmarkEnd w:id="28"/>
    <w:p>
      <w:pPr>
        <w:jc w:val="center"/>
        <w:ind w:right="2079"/>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OTHER EXPENSES OF ISSUANCE AND DISTRIBUTION</w:t>
      </w:r>
    </w:p>
    <w:p>
      <w:pPr>
        <w:spacing w:after="0" w:line="203"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394"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SEC Registration Fee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$137,931</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Blue Sky Fees and Expenses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Printing and Engraving Costs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Accounting Fees and Expenses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75,000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Legal Fees and Expenses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Transfer Agent and Registrar's Fees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4,500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Trustees' Fees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40,000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Rating Agencies Fees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120,000</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Miscellaneous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22,569</w:t>
            </w:r>
          </w:p>
        </w:tc>
      </w:tr>
      <w:tr>
        <w:trPr>
          <w:trHeight w:val="198"/>
        </w:trPr>
        <w:tc>
          <w:tcPr>
            <w:tcW w:w="6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840" w:type="dxa"/>
            <w:vAlign w:val="bottom"/>
          </w:tcPr>
          <w:p>
            <w:pPr>
              <w:jc w:val="right"/>
              <w:spacing w:after="0"/>
              <w:rPr>
                <w:sz w:val="20"/>
                <w:szCs w:val="20"/>
                <w:color w:val="auto"/>
              </w:rPr>
            </w:pPr>
            <w:r>
              <w:rPr>
                <w:rFonts w:ascii="Courier New" w:cs="Courier New" w:eastAsia="Courier New" w:hAnsi="Courier New"/>
                <w:sz w:val="17"/>
                <w:szCs w:val="17"/>
                <w:color w:val="auto"/>
              </w:rPr>
              <w:t>Total ........................................................</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$900,000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INDEMNIFICATION OF DIRECTORS AND OFFICERS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a Trustee or officer is personally liable as stated above.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w:t>
      </w: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(1)(a) Form of Underwriting Agreement for Debt 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(1)(b) Form of Underwriting Agreement for Equity 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(4)(a) Indenture for Senior Debt 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(4)(b) Indenture for Subordinated Debt 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(4)(c) Form of Senior Debt Security*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(4)(d) Form of Subordinated Debt Security*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(4)(e) Form of Statement of Designation of Preferred Shares*</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709" w:right="1440" w:bottom="1440" w:gutter="0" w:footer="0" w:header="0"/>
        </w:sectPr>
      </w:pPr>
    </w:p>
    <w:bookmarkStart w:id="29" w:name="page30"/>
    <w:bookmarkEnd w:id="29"/>
    <w:p>
      <w:pPr>
        <w:spacing w:after="0"/>
        <w:tabs>
          <w:tab w:leader="none" w:pos="920" w:val="left"/>
        </w:tabs>
        <w:rPr>
          <w:sz w:val="20"/>
          <w:szCs w:val="20"/>
          <w:color w:val="auto"/>
        </w:rPr>
      </w:pPr>
      <w:r>
        <w:rPr>
          <w:rFonts w:ascii="Courier New" w:cs="Courier New" w:eastAsia="Courier New" w:hAnsi="Courier New"/>
          <w:sz w:val="17"/>
          <w:szCs w:val="17"/>
          <w:color w:val="auto"/>
        </w:rPr>
        <w:t>(4)(f)</w:t>
      </w:r>
      <w:r>
        <w:rPr>
          <w:sz w:val="20"/>
          <w:szCs w:val="20"/>
          <w:color w:val="auto"/>
        </w:rPr>
        <w:tab/>
      </w:r>
      <w:r>
        <w:rPr>
          <w:rFonts w:ascii="Courier New" w:cs="Courier New" w:eastAsia="Courier New" w:hAnsi="Courier New"/>
          <w:sz w:val="17"/>
          <w:szCs w:val="17"/>
          <w:color w:val="auto"/>
        </w:rPr>
        <w:t>Form of Preferred Share Certificate*</w:t>
      </w:r>
    </w:p>
    <w:p>
      <w:pPr>
        <w:spacing w:after="0" w:line="5" w:lineRule="exact"/>
        <w:rPr>
          <w:sz w:val="20"/>
          <w:szCs w:val="20"/>
          <w:color w:val="auto"/>
        </w:rPr>
      </w:pPr>
    </w:p>
    <w:p>
      <w:pPr>
        <w:ind w:left="940" w:hanging="934"/>
        <w:spacing w:after="0"/>
        <w:tabs>
          <w:tab w:leader="none" w:pos="9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regarding legality</w:t>
      </w:r>
    </w:p>
    <w:p>
      <w:pPr>
        <w:spacing w:after="0" w:line="5" w:lineRule="exact"/>
        <w:rPr>
          <w:sz w:val="20"/>
          <w:szCs w:val="20"/>
          <w:color w:val="auto"/>
        </w:rPr>
      </w:pPr>
    </w:p>
    <w:p>
      <w:pPr>
        <w:ind w:left="940" w:hanging="934"/>
        <w:spacing w:after="0"/>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regarding tax matters</w:t>
      </w:r>
    </w:p>
    <w:p>
      <w:pPr>
        <w:spacing w:after="0" w:line="5" w:lineRule="exact"/>
        <w:rPr>
          <w:sz w:val="20"/>
          <w:szCs w:val="20"/>
          <w:color w:val="auto"/>
        </w:rPr>
      </w:pPr>
    </w:p>
    <w:p>
      <w:pPr>
        <w:ind w:left="940" w:hanging="934"/>
        <w:spacing w:after="0"/>
        <w:tabs>
          <w:tab w:leader="none" w:pos="9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regarding computation of ratios</w:t>
      </w:r>
    </w:p>
    <w:p>
      <w:pPr>
        <w:spacing w:after="0" w:line="5" w:lineRule="exact"/>
        <w:rPr>
          <w:sz w:val="20"/>
          <w:szCs w:val="20"/>
          <w:color w:val="auto"/>
        </w:rPr>
      </w:pPr>
    </w:p>
    <w:p>
      <w:pPr>
        <w:ind w:right="2780" w:firstLine="6"/>
        <w:spacing w:after="0" w:line="246" w:lineRule="auto"/>
        <w:tabs>
          <w:tab w:leader="none" w:pos="92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Acknowledgement of Independent Accountants (included on page II-4) (23)(a) Consents of Independent Accountants (included on page II-4)</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(23)(b)  Consents of Counsel (included in opinions)</w:t>
      </w:r>
    </w:p>
    <w:p>
      <w:pPr>
        <w:spacing w:after="0" w:line="5" w:lineRule="exact"/>
        <w:rPr>
          <w:sz w:val="20"/>
          <w:szCs w:val="20"/>
          <w:color w:val="auto"/>
        </w:rPr>
      </w:pPr>
    </w:p>
    <w:p>
      <w:pPr>
        <w:ind w:left="940" w:hanging="934"/>
        <w:spacing w:after="0"/>
        <w:tabs>
          <w:tab w:leader="none" w:pos="9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(included on signature page)</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(25)(a)</w:t>
        <w:tab/>
        <w:t>Statement of Eligibility of Trustee (Signet Trust Company) on Form T-1</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(25)(b)</w:t>
        <w:tab/>
        <w:t>Statement of Eligibility of Trustee (First Union National Bank of North Carolina) on Form T-1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right="2460" w:hanging="314"/>
        <w:spacing w:after="0" w:line="247" w:lineRule="auto"/>
        <w:tabs>
          <w:tab w:leader="none" w:pos="3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part of a Registration Statement on Form S-3 (No. 33-51029) declared effective on December 13, 1993.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UNDERTAKINGS.</w:t>
      </w:r>
    </w:p>
    <w:p>
      <w:pPr>
        <w:spacing w:after="0" w:line="203" w:lineRule="exact"/>
        <w:rPr>
          <w:sz w:val="20"/>
          <w:szCs w:val="20"/>
          <w:color w:val="auto"/>
        </w:rPr>
      </w:pPr>
    </w:p>
    <w:p>
      <w:pPr>
        <w:ind w:left="620" w:hanging="409"/>
        <w:spacing w:after="0"/>
        <w:tabs>
          <w:tab w:leader="none" w:pos="6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3" w:lineRule="exact"/>
        <w:rPr>
          <w:rFonts w:ascii="Courier New" w:cs="Courier New" w:eastAsia="Courier New" w:hAnsi="Courier New"/>
          <w:sz w:val="17"/>
          <w:szCs w:val="17"/>
          <w:color w:val="auto"/>
        </w:rPr>
      </w:pPr>
    </w:p>
    <w:p>
      <w:pPr>
        <w:ind w:left="220" w:right="2560" w:firstLine="197"/>
        <w:spacing w:after="0" w:line="247" w:lineRule="auto"/>
        <w:tabs>
          <w:tab w:leader="none" w:pos="838"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rFonts w:ascii="Courier New" w:cs="Courier New" w:eastAsia="Courier New" w:hAnsi="Courier New"/>
          <w:sz w:val="17"/>
          <w:szCs w:val="17"/>
          <w:color w:val="auto"/>
        </w:rPr>
      </w:pPr>
    </w:p>
    <w:p>
      <w:pPr>
        <w:ind w:left="420" w:right="3180" w:firstLine="203"/>
        <w:spacing w:after="0" w:line="247" w:lineRule="auto"/>
        <w:tabs>
          <w:tab w:leader="none" w:pos="1038"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7" w:lineRule="exact"/>
        <w:rPr>
          <w:rFonts w:ascii="Courier New" w:cs="Courier New" w:eastAsia="Courier New" w:hAnsi="Courier New"/>
          <w:sz w:val="17"/>
          <w:szCs w:val="17"/>
          <w:color w:val="auto"/>
        </w:rPr>
      </w:pPr>
    </w:p>
    <w:p>
      <w:pPr>
        <w:ind w:left="1140" w:hanging="517"/>
        <w:spacing w:after="0"/>
        <w:tabs>
          <w:tab w:leader="none" w:pos="1140"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w:t>
      </w:r>
    </w:p>
    <w:p>
      <w:pPr>
        <w:spacing w:after="0" w:line="5" w:lineRule="exact"/>
        <w:rPr>
          <w:sz w:val="20"/>
          <w:szCs w:val="20"/>
          <w:color w:val="auto"/>
        </w:rPr>
      </w:pPr>
    </w:p>
    <w:p>
      <w:pPr>
        <w:ind w:left="420" w:right="2880"/>
        <w:spacing w:after="0" w:line="246" w:lineRule="auto"/>
        <w:rPr>
          <w:sz w:val="20"/>
          <w:szCs w:val="20"/>
          <w:color w:val="auto"/>
        </w:rPr>
      </w:pPr>
      <w:r>
        <w:rPr>
          <w:rFonts w:ascii="Courier New" w:cs="Courier New" w:eastAsia="Courier New" w:hAnsi="Courier New"/>
          <w:sz w:val="17"/>
          <w:szCs w:val="17"/>
          <w:color w:val="auto"/>
        </w:rPr>
        <w:t>the effective date of the registration statement (or the most recent post-effective amendment thereof) which, individually or in the aggregate, represent a fundamental change in the information set forth in the registration statement;</w:t>
      </w:r>
    </w:p>
    <w:p>
      <w:pPr>
        <w:spacing w:after="0" w:line="200" w:lineRule="exact"/>
        <w:rPr>
          <w:sz w:val="20"/>
          <w:szCs w:val="20"/>
          <w:color w:val="auto"/>
        </w:rPr>
      </w:pPr>
    </w:p>
    <w:p>
      <w:pPr>
        <w:ind w:left="420" w:right="2780" w:firstLine="203"/>
        <w:spacing w:after="0" w:line="246" w:lineRule="auto"/>
        <w:tabs>
          <w:tab w:leader="none" w:pos="124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ind w:right="2680"/>
        <w:spacing w:after="0" w:line="246" w:lineRule="auto"/>
        <w:rPr>
          <w:sz w:val="20"/>
          <w:szCs w:val="20"/>
          <w:color w:val="auto"/>
        </w:rPr>
      </w:pPr>
      <w:r>
        <w:rPr>
          <w:rFonts w:ascii="Courier New" w:cs="Courier New" w:eastAsia="Courier New" w:hAnsi="Courier New"/>
          <w:sz w:val="17"/>
          <w:szCs w:val="17"/>
          <w:color w:val="auto"/>
        </w:rPr>
        <w:t>provided, however, that paragraphs (a)(1)(i) and (a)(1)(ii) do not apply if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201" w:lineRule="exact"/>
        <w:rPr>
          <w:sz w:val="20"/>
          <w:szCs w:val="20"/>
          <w:color w:val="auto"/>
        </w:rPr>
      </w:pPr>
    </w:p>
    <w:p>
      <w:pPr>
        <w:ind w:left="220" w:right="2680" w:firstLine="197"/>
        <w:spacing w:after="0" w:line="246" w:lineRule="auto"/>
        <w:tabs>
          <w:tab w:leader="none" w:pos="838"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Courier New" w:cs="Courier New" w:eastAsia="Courier New" w:hAnsi="Courier New"/>
          <w:sz w:val="17"/>
          <w:szCs w:val="17"/>
          <w:color w:val="auto"/>
        </w:rPr>
      </w:pPr>
    </w:p>
    <w:p>
      <w:pPr>
        <w:ind w:left="220" w:right="2880" w:firstLine="197"/>
        <w:spacing w:after="0" w:line="246" w:lineRule="auto"/>
        <w:tabs>
          <w:tab w:leader="none" w:pos="838"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9" w:lineRule="exact"/>
        <w:rPr>
          <w:rFonts w:ascii="Courier New" w:cs="Courier New" w:eastAsia="Courier New" w:hAnsi="Courier New"/>
          <w:sz w:val="17"/>
          <w:szCs w:val="17"/>
          <w:color w:val="auto"/>
        </w:rPr>
      </w:pPr>
    </w:p>
    <w:p>
      <w:pPr>
        <w:ind w:left="620" w:hanging="409"/>
        <w:spacing w:after="0"/>
        <w:tabs>
          <w:tab w:leader="none" w:pos="6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w:t>
      </w:r>
    </w:p>
    <w:p>
      <w:pPr>
        <w:spacing w:after="0" w:line="5" w:lineRule="exact"/>
        <w:rPr>
          <w:rFonts w:ascii="Courier New" w:cs="Courier New" w:eastAsia="Courier New" w:hAnsi="Courier New"/>
          <w:sz w:val="17"/>
          <w:szCs w:val="17"/>
          <w:color w:val="auto"/>
        </w:rPr>
      </w:pPr>
    </w:p>
    <w:p>
      <w:pPr>
        <w:ind w:right="246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500"/>
          </w:cols>
          <w:pgMar w:left="240" w:top="1105" w:right="1159" w:bottom="1440" w:gutter="0" w:footer="0" w:header="0"/>
        </w:sectPr>
      </w:pPr>
    </w:p>
    <w:bookmarkStart w:id="30" w:name="page31"/>
    <w:bookmarkEnd w:id="30"/>
    <w:p>
      <w:pPr>
        <w:ind w:left="-211" w:right="2179" w:firstLine="211"/>
        <w:spacing w:after="0" w:line="246" w:lineRule="auto"/>
        <w:tabs>
          <w:tab w:leader="none" w:pos="40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provisions described in Item 15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in payment by the registrant of expenses incurred or paid by a director, officer or controlling person in the successful defense of any action, suit or proceeding) is asserted against the registrant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7" w:lineRule="exact"/>
        <w:rPr>
          <w:rFonts w:ascii="Courier New" w:cs="Courier New" w:eastAsia="Courier New" w:hAnsi="Courier New"/>
          <w:sz w:val="17"/>
          <w:szCs w:val="17"/>
          <w:color w:val="auto"/>
        </w:rPr>
      </w:pPr>
    </w:p>
    <w:p>
      <w:pPr>
        <w:ind w:left="409" w:hanging="409"/>
        <w:spacing w:after="0"/>
        <w:tabs>
          <w:tab w:leader="none" w:pos="409"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w:t>
      </w:r>
    </w:p>
    <w:p>
      <w:pPr>
        <w:spacing w:after="0" w:line="203" w:lineRule="exact"/>
        <w:rPr>
          <w:rFonts w:ascii="Courier New" w:cs="Courier New" w:eastAsia="Courier New" w:hAnsi="Courier New"/>
          <w:sz w:val="17"/>
          <w:szCs w:val="17"/>
          <w:color w:val="auto"/>
        </w:rPr>
      </w:pPr>
    </w:p>
    <w:p>
      <w:pPr>
        <w:ind w:left="9" w:right="2279" w:firstLine="197"/>
        <w:spacing w:after="0" w:line="246" w:lineRule="auto"/>
        <w:tabs>
          <w:tab w:leader="none" w:pos="626"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liability under the Securities Act of 1933, the information omitted from the form of prospectus filed as a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7"/>
          <w:szCs w:val="17"/>
          <w:color w:val="auto"/>
        </w:rPr>
      </w:pPr>
    </w:p>
    <w:p>
      <w:pPr>
        <w:ind w:left="9" w:right="2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or 497(h) under the Securities Act shall be deemed to be part of this registration statement as of the time it was declared effective.</w:t>
      </w:r>
    </w:p>
    <w:p>
      <w:pPr>
        <w:spacing w:after="0" w:line="197" w:lineRule="exact"/>
        <w:rPr>
          <w:rFonts w:ascii="Courier New" w:cs="Courier New" w:eastAsia="Courier New" w:hAnsi="Courier New"/>
          <w:sz w:val="17"/>
          <w:szCs w:val="17"/>
          <w:color w:val="auto"/>
        </w:rPr>
      </w:pPr>
    </w:p>
    <w:p>
      <w:pPr>
        <w:ind w:left="9" w:right="2279" w:firstLine="197"/>
        <w:spacing w:after="0" w:line="246" w:lineRule="auto"/>
        <w:tabs>
          <w:tab w:leader="none" w:pos="626"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1" w:lineRule="exact"/>
        <w:rPr>
          <w:sz w:val="20"/>
          <w:szCs w:val="20"/>
          <w:color w:val="auto"/>
        </w:rPr>
      </w:pPr>
    </w:p>
    <w:p>
      <w:pPr>
        <w:ind w:left="3609"/>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008"/>
          </w:cols>
          <w:pgMar w:left="451" w:top="709" w:right="1440" w:bottom="1440" w:gutter="0" w:footer="0" w:header="0"/>
        </w:sectPr>
      </w:pPr>
    </w:p>
    <w:bookmarkStart w:id="31" w:name="page32"/>
    <w:bookmarkEnd w:id="31"/>
    <w:p>
      <w:pPr>
        <w:ind w:left="22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20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Grant Thornton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1995</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have issued our report dated June 13, 1995 accompanying the Statement of Revenue and Certain Expenses of Sidcor Finley Associates for the year ended December 31, 1994 included in the Trust's Current Report on Form 8-K filed with the Securities and Exchange Commission on September 22, 1995, which are incorporated by reference in this Registration Statement. We hereby consent to the incorporation by reference of said report in this Registration Statement and the related Prospectus and to the use of our name as it appears under the caption "Experts."</w:t>
      </w:r>
    </w:p>
    <w:p>
      <w:pPr>
        <w:spacing w:after="0" w:line="20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Warady &amp; Davis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Deerfield, Illinois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1995</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ACKNOWLEDGEMENT OF INDEPENDENT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hereby acknowledge our awareness of the use of our reports dated May 5, 1995 and August 8, 1995 included in the Trust's Quarterly Reports on Form 10-Q for the quarters ended March 31, 1995 and June 30, 1995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Securities Act.</w:t>
      </w:r>
    </w:p>
    <w:p>
      <w:pPr>
        <w:spacing w:after="0" w:line="20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Grant Thornton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1995</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CONSENTS OF COUNSEL</w:t>
      </w:r>
    </w:p>
    <w:p>
      <w:pPr>
        <w:spacing w:after="0" w:line="203"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The consent of Kirkpatrick &amp; Lockhart LLP is contained in its opinion filed as Exhibit 5 to this Registration Statement.</w:t>
      </w:r>
    </w:p>
    <w:p>
      <w:pPr>
        <w:spacing w:after="0" w:line="198"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The consent of Goodwin, Procter &amp; Hoar is contained in its opinion filed as Exhibit 8 to this Registration Statement.</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709" w:right="1440" w:bottom="1440" w:gutter="0" w:footer="0" w:header="0"/>
        </w:sectPr>
      </w:pPr>
    </w:p>
    <w:bookmarkStart w:id="32" w:name="page33"/>
    <w:bookmarkEnd w:id="32"/>
    <w:p>
      <w:pPr>
        <w:jc w:val="center"/>
        <w:ind w:right="21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MARYLAND ON THIS 25TH DAY OF OCTOBER 1995.</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Federal Realty Investment Trust</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 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STEVEN J. GUTTMAN, PRESIDENT</w:t>
      </w:r>
    </w:p>
    <w:p>
      <w:pPr>
        <w:spacing w:after="0" w:line="200" w:lineRule="exact"/>
        <w:rPr>
          <w:sz w:val="20"/>
          <w:szCs w:val="20"/>
          <w:color w:val="auto"/>
        </w:rPr>
      </w:pPr>
    </w:p>
    <w:p>
      <w:pPr>
        <w:sectPr>
          <w:pgSz w:w="11900" w:h="16838" w:orient="portrait"/>
          <w:cols w:equalWidth="0" w:num="2">
            <w:col w:w="4640" w:space="100"/>
            <w:col w:w="5479"/>
          </w:cols>
          <w:pgMar w:left="240" w:top="709" w:right="1440" w:bottom="1440" w:gutter="0" w:footer="0" w:header="0"/>
          <w:type w:val="continuous"/>
        </w:sectPr>
      </w:pP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Steven J. Guttman, his true and lawful attorney-in-fact and agent, for him, with full power of substitution and resubstitution, for him and in his name, place and stand,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interests and purposes as he might or could do in person, hereby ratifying and confirming all that said attorney-in-fact and agent or his substitute or substitutes may lawfully do or cause to be done by virtue hereof.</w:t>
      </w:r>
    </w:p>
    <w:p>
      <w:pPr>
        <w:spacing w:after="0" w:line="206"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THIS FORM S-3 REGISTRATION STATEMENT HAS BEEN SIGNED BELOW BY THE FOLLOWING PERSONS IN THE CAPACITIES AND ON THE DATE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jc w:val="center"/>
              <w:ind w:right="214"/>
              <w:spacing w:after="0"/>
              <w:rPr>
                <w:sz w:val="20"/>
                <w:szCs w:val="20"/>
                <w:color w:val="auto"/>
              </w:rPr>
            </w:pPr>
            <w:r>
              <w:rPr>
                <w:rFonts w:ascii="Courier New" w:cs="Courier New" w:eastAsia="Courier New" w:hAnsi="Courier New"/>
                <w:sz w:val="17"/>
                <w:szCs w:val="17"/>
                <w:color w:val="auto"/>
              </w:rPr>
              <w:t>SIGNATURES</w:t>
            </w:r>
          </w:p>
        </w:tc>
        <w:tc>
          <w:tcPr>
            <w:tcW w:w="236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TITLE</w:t>
            </w:r>
          </w:p>
        </w:tc>
        <w:tc>
          <w:tcPr>
            <w:tcW w:w="1660" w:type="dxa"/>
            <w:vAlign w:val="bottom"/>
          </w:tcPr>
          <w:p>
            <w:pPr>
              <w:ind w:left="720"/>
              <w:spacing w:after="0"/>
              <w:rPr>
                <w:sz w:val="20"/>
                <w:szCs w:val="20"/>
                <w:color w:val="auto"/>
              </w:rPr>
            </w:pPr>
            <w:r>
              <w:rPr>
                <w:rFonts w:ascii="Courier New" w:cs="Courier New" w:eastAsia="Courier New" w:hAnsi="Courier New"/>
                <w:sz w:val="17"/>
                <w:szCs w:val="17"/>
                <w:color w:val="auto"/>
              </w:rPr>
              <w:t>DATE</w:t>
            </w:r>
          </w:p>
        </w:tc>
      </w:tr>
      <w:tr>
        <w:trPr>
          <w:trHeight w:val="198"/>
        </w:trPr>
        <w:tc>
          <w:tcPr>
            <w:tcW w:w="4020" w:type="dxa"/>
            <w:vAlign w:val="bottom"/>
          </w:tcPr>
          <w:p>
            <w:pPr>
              <w:jc w:val="center"/>
              <w:ind w:right="214"/>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r>
      <w:tr>
        <w:trPr>
          <w:trHeight w:val="396"/>
        </w:trPr>
        <w:tc>
          <w:tcPr>
            <w:tcW w:w="402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/s/ Steven J. Guttman</w:t>
            </w:r>
          </w:p>
        </w:tc>
        <w:tc>
          <w:tcPr>
            <w:tcW w:w="2360" w:type="dxa"/>
            <w:vAlign w:val="bottom"/>
          </w:tcPr>
          <w:p>
            <w:pPr>
              <w:jc w:val="right"/>
              <w:ind w:right="934"/>
              <w:spacing w:after="0"/>
              <w:rPr>
                <w:sz w:val="20"/>
                <w:szCs w:val="20"/>
                <w:color w:val="auto"/>
              </w:rPr>
            </w:pPr>
            <w:r>
              <w:rPr>
                <w:rFonts w:ascii="Courier New" w:cs="Courier New" w:eastAsia="Courier New" w:hAnsi="Courier New"/>
                <w:sz w:val="17"/>
                <w:szCs w:val="17"/>
                <w:color w:val="auto"/>
                <w:w w:val="99"/>
              </w:rPr>
              <w:t>President and</w:t>
            </w:r>
          </w:p>
        </w:tc>
        <w:tc>
          <w:tcPr>
            <w:tcW w:w="1660" w:type="dxa"/>
            <w:vAlign w:val="bottom"/>
          </w:tcPr>
          <w:p>
            <w:pPr>
              <w:ind w:left="120"/>
              <w:spacing w:after="0"/>
              <w:rPr>
                <w:sz w:val="20"/>
                <w:szCs w:val="20"/>
                <w:color w:val="auto"/>
              </w:rPr>
            </w:pPr>
            <w:r>
              <w:rPr>
                <w:rFonts w:ascii="Courier New" w:cs="Courier New" w:eastAsia="Courier New" w:hAnsi="Courier New"/>
                <w:sz w:val="17"/>
                <w:szCs w:val="17"/>
                <w:color w:val="auto"/>
                <w:w w:val="99"/>
              </w:rPr>
              <w:t>October 25,1995</w:t>
            </w:r>
          </w:p>
        </w:tc>
      </w:tr>
      <w:tr>
        <w:trPr>
          <w:trHeight w:val="198"/>
        </w:trPr>
        <w:tc>
          <w:tcPr>
            <w:tcW w:w="40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236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Trustee (Chief</w:t>
            </w:r>
          </w:p>
        </w:tc>
        <w:tc>
          <w:tcPr>
            <w:tcW w:w="1660" w:type="dxa"/>
            <w:vAlign w:val="bottom"/>
          </w:tcPr>
          <w:p>
            <w:pPr>
              <w:spacing w:after="0"/>
              <w:rPr>
                <w:sz w:val="17"/>
                <w:szCs w:val="17"/>
                <w:color w:val="auto"/>
              </w:rPr>
            </w:pPr>
          </w:p>
        </w:tc>
      </w:tr>
      <w:tr>
        <w:trPr>
          <w:trHeight w:val="198"/>
        </w:trPr>
        <w:tc>
          <w:tcPr>
            <w:tcW w:w="402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STEVEN J. GUTTMAN</w:t>
            </w:r>
          </w:p>
        </w:tc>
        <w:tc>
          <w:tcPr>
            <w:tcW w:w="23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Executive Officer)</w:t>
            </w:r>
          </w:p>
        </w:tc>
        <w:tc>
          <w:tcPr>
            <w:tcW w:w="1660" w:type="dxa"/>
            <w:vAlign w:val="bottom"/>
          </w:tcPr>
          <w:p>
            <w:pPr>
              <w:spacing w:after="0"/>
              <w:rPr>
                <w:sz w:val="17"/>
                <w:szCs w:val="17"/>
                <w:color w:val="auto"/>
              </w:rPr>
            </w:pPr>
          </w:p>
        </w:tc>
      </w:tr>
      <w:tr>
        <w:trPr>
          <w:trHeight w:val="396"/>
        </w:trPr>
        <w:tc>
          <w:tcPr>
            <w:tcW w:w="4020" w:type="dxa"/>
            <w:vAlign w:val="bottom"/>
          </w:tcPr>
          <w:p>
            <w:pPr>
              <w:jc w:val="center"/>
              <w:ind w:right="234"/>
              <w:spacing w:after="0"/>
              <w:rPr>
                <w:sz w:val="20"/>
                <w:szCs w:val="20"/>
                <w:color w:val="auto"/>
              </w:rPr>
            </w:pPr>
            <w:r>
              <w:rPr>
                <w:rFonts w:ascii="Courier New" w:cs="Courier New" w:eastAsia="Courier New" w:hAnsi="Courier New"/>
                <w:sz w:val="17"/>
                <w:szCs w:val="17"/>
                <w:color w:val="auto"/>
              </w:rPr>
              <w:t>/s/ Mary Jane Morrow</w:t>
            </w:r>
          </w:p>
        </w:tc>
        <w:tc>
          <w:tcPr>
            <w:tcW w:w="2360" w:type="dxa"/>
            <w:vAlign w:val="bottom"/>
          </w:tcPr>
          <w:p>
            <w:pPr>
              <w:jc w:val="right"/>
              <w:ind w:right="1134"/>
              <w:spacing w:after="0"/>
              <w:rPr>
                <w:sz w:val="20"/>
                <w:szCs w:val="20"/>
                <w:color w:val="auto"/>
              </w:rPr>
            </w:pPr>
            <w:r>
              <w:rPr>
                <w:rFonts w:ascii="Courier New" w:cs="Courier New" w:eastAsia="Courier New" w:hAnsi="Courier New"/>
                <w:sz w:val="17"/>
                <w:szCs w:val="17"/>
                <w:color w:val="auto"/>
                <w:w w:val="99"/>
              </w:rPr>
              <w:t>Senior Vice</w:t>
            </w:r>
          </w:p>
        </w:tc>
        <w:tc>
          <w:tcPr>
            <w:tcW w:w="1660" w:type="dxa"/>
            <w:vAlign w:val="bottom"/>
          </w:tcPr>
          <w:p>
            <w:pPr>
              <w:ind w:left="120"/>
              <w:spacing w:after="0"/>
              <w:rPr>
                <w:sz w:val="20"/>
                <w:szCs w:val="20"/>
                <w:color w:val="auto"/>
              </w:rPr>
            </w:pPr>
            <w:r>
              <w:rPr>
                <w:rFonts w:ascii="Courier New" w:cs="Courier New" w:eastAsia="Courier New" w:hAnsi="Courier New"/>
                <w:sz w:val="17"/>
                <w:szCs w:val="17"/>
                <w:color w:val="auto"/>
                <w:w w:val="99"/>
              </w:rPr>
              <w:t>October 25,1995</w:t>
            </w:r>
          </w:p>
        </w:tc>
      </w:tr>
      <w:tr>
        <w:trPr>
          <w:trHeight w:val="198"/>
        </w:trPr>
        <w:tc>
          <w:tcPr>
            <w:tcW w:w="40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2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President Finance &amp;</w:t>
            </w:r>
          </w:p>
        </w:tc>
        <w:tc>
          <w:tcPr>
            <w:tcW w:w="1660" w:type="dxa"/>
            <w:vAlign w:val="bottom"/>
          </w:tcPr>
          <w:p>
            <w:pPr>
              <w:spacing w:after="0"/>
              <w:rPr>
                <w:sz w:val="17"/>
                <w:szCs w:val="17"/>
                <w:color w:val="auto"/>
              </w:rPr>
            </w:pPr>
          </w:p>
        </w:tc>
      </w:tr>
      <w:tr>
        <w:trPr>
          <w:trHeight w:val="198"/>
        </w:trPr>
        <w:tc>
          <w:tcPr>
            <w:tcW w:w="4020" w:type="dxa"/>
            <w:vAlign w:val="bottom"/>
          </w:tcPr>
          <w:p>
            <w:pPr>
              <w:jc w:val="center"/>
              <w:ind w:right="214"/>
              <w:spacing w:after="0"/>
              <w:rPr>
                <w:sz w:val="20"/>
                <w:szCs w:val="20"/>
                <w:color w:val="auto"/>
              </w:rPr>
            </w:pPr>
            <w:r>
              <w:rPr>
                <w:rFonts w:ascii="Courier New" w:cs="Courier New" w:eastAsia="Courier New" w:hAnsi="Courier New"/>
                <w:sz w:val="17"/>
                <w:szCs w:val="17"/>
                <w:color w:val="auto"/>
              </w:rPr>
              <w:t>MARY JANE MORROW</w:t>
            </w:r>
          </w:p>
        </w:tc>
        <w:tc>
          <w:tcPr>
            <w:tcW w:w="236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Treasurer (Chief</w:t>
            </w:r>
          </w:p>
        </w:tc>
        <w:tc>
          <w:tcPr>
            <w:tcW w:w="1660" w:type="dxa"/>
            <w:vAlign w:val="bottom"/>
          </w:tcPr>
          <w:p>
            <w:pPr>
              <w:spacing w:after="0"/>
              <w:rPr>
                <w:sz w:val="17"/>
                <w:szCs w:val="17"/>
                <w:color w:val="auto"/>
              </w:rPr>
            </w:pPr>
          </w:p>
        </w:tc>
      </w:tr>
      <w:tr>
        <w:trPr>
          <w:trHeight w:val="198"/>
        </w:trPr>
        <w:tc>
          <w:tcPr>
            <w:tcW w:w="4020" w:type="dxa"/>
            <w:vAlign w:val="bottom"/>
          </w:tcPr>
          <w:p>
            <w:pPr>
              <w:spacing w:after="0"/>
              <w:rPr>
                <w:sz w:val="17"/>
                <w:szCs w:val="17"/>
                <w:color w:val="auto"/>
              </w:rPr>
            </w:pPr>
          </w:p>
        </w:tc>
        <w:tc>
          <w:tcPr>
            <w:tcW w:w="23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Financial Officer)</w:t>
            </w:r>
          </w:p>
        </w:tc>
        <w:tc>
          <w:tcPr>
            <w:tcW w:w="1660" w:type="dxa"/>
            <w:vAlign w:val="bottom"/>
          </w:tcPr>
          <w:p>
            <w:pPr>
              <w:spacing w:after="0"/>
              <w:rPr>
                <w:sz w:val="17"/>
                <w:szCs w:val="17"/>
                <w:color w:val="auto"/>
              </w:rPr>
            </w:pPr>
          </w:p>
        </w:tc>
      </w:tr>
      <w:tr>
        <w:trPr>
          <w:trHeight w:val="396"/>
        </w:trPr>
        <w:tc>
          <w:tcPr>
            <w:tcW w:w="4020" w:type="dxa"/>
            <w:vAlign w:val="bottom"/>
          </w:tcPr>
          <w:p>
            <w:pPr>
              <w:jc w:val="center"/>
              <w:ind w:right="214"/>
              <w:spacing w:after="0"/>
              <w:rPr>
                <w:sz w:val="20"/>
                <w:szCs w:val="20"/>
                <w:color w:val="auto"/>
              </w:rPr>
            </w:pPr>
            <w:r>
              <w:rPr>
                <w:rFonts w:ascii="Courier New" w:cs="Courier New" w:eastAsia="Courier New" w:hAnsi="Courier New"/>
                <w:sz w:val="17"/>
                <w:szCs w:val="17"/>
                <w:color w:val="auto"/>
              </w:rPr>
              <w:t>/s/ Cecily A. Ward</w:t>
            </w:r>
          </w:p>
        </w:tc>
        <w:tc>
          <w:tcPr>
            <w:tcW w:w="236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Controller (Chief</w:t>
            </w:r>
          </w:p>
        </w:tc>
        <w:tc>
          <w:tcPr>
            <w:tcW w:w="1660" w:type="dxa"/>
            <w:vAlign w:val="bottom"/>
          </w:tcPr>
          <w:p>
            <w:pPr>
              <w:ind w:left="120"/>
              <w:spacing w:after="0"/>
              <w:rPr>
                <w:sz w:val="20"/>
                <w:szCs w:val="20"/>
                <w:color w:val="auto"/>
              </w:rPr>
            </w:pPr>
            <w:r>
              <w:rPr>
                <w:rFonts w:ascii="Courier New" w:cs="Courier New" w:eastAsia="Courier New" w:hAnsi="Courier New"/>
                <w:sz w:val="17"/>
                <w:szCs w:val="17"/>
                <w:color w:val="auto"/>
                <w:w w:val="99"/>
              </w:rPr>
              <w:t>October 25,1995</w:t>
            </w:r>
          </w:p>
        </w:tc>
      </w:tr>
    </w:tbl>
    <w:p>
      <w:pPr>
        <w:spacing w:after="0" w:line="5" w:lineRule="exact"/>
        <w:rPr>
          <w:sz w:val="20"/>
          <w:szCs w:val="20"/>
          <w:color w:val="auto"/>
        </w:rPr>
      </w:pPr>
    </w:p>
    <w:p>
      <w:pPr>
        <w:ind w:left="220" w:hanging="214"/>
        <w:spacing w:after="0"/>
        <w:tabs>
          <w:tab w:leader="none" w:pos="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Accounting Officer)</w:t>
      </w:r>
    </w:p>
    <w:p>
      <w:pPr>
        <w:spacing w:after="0" w:line="5"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CECILY A. WARD</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709" w:right="1440"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93"/>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SIGNATURES</w:t>
            </w:r>
          </w:p>
        </w:tc>
        <w:tc>
          <w:tcPr>
            <w:tcW w:w="1700" w:type="dxa"/>
            <w:vAlign w:val="bottom"/>
          </w:tcPr>
          <w:p>
            <w:pPr>
              <w:ind w:left="860"/>
              <w:spacing w:after="0"/>
              <w:rPr>
                <w:sz w:val="20"/>
                <w:szCs w:val="20"/>
                <w:color w:val="auto"/>
              </w:rPr>
            </w:pPr>
            <w:r>
              <w:rPr>
                <w:rFonts w:ascii="Courier New" w:cs="Courier New" w:eastAsia="Courier New" w:hAnsi="Courier New"/>
                <w:sz w:val="17"/>
                <w:szCs w:val="17"/>
                <w:color w:val="auto"/>
              </w:rPr>
              <w:t>TITLE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w w:val="97"/>
              </w:rPr>
              <w:t>DATE</w:t>
            </w: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ind w:left="860"/>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080" w:type="dxa"/>
            <w:vAlign w:val="bottom"/>
          </w:tcPr>
          <w:p>
            <w:pPr>
              <w:jc w:val="center"/>
              <w:ind w:right="294"/>
              <w:spacing w:after="0"/>
              <w:rPr>
                <w:sz w:val="20"/>
                <w:szCs w:val="20"/>
                <w:color w:val="auto"/>
              </w:rPr>
            </w:pPr>
            <w:r>
              <w:rPr>
                <w:rFonts w:ascii="Courier New" w:cs="Courier New" w:eastAsia="Courier New" w:hAnsi="Courier New"/>
                <w:sz w:val="17"/>
                <w:szCs w:val="17"/>
                <w:color w:val="auto"/>
              </w:rPr>
              <w:t>/s/ Dennis L. Berman</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DENNIS L. BERMAN</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/s/ Kristin Gamble</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KRISTIN GAMBLE</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/s/ Samuel J. Gorlitz</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SAMUEL J. GORLITZ</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294"/>
              <w:spacing w:after="0"/>
              <w:rPr>
                <w:sz w:val="20"/>
                <w:szCs w:val="20"/>
                <w:color w:val="auto"/>
              </w:rPr>
            </w:pPr>
            <w:r>
              <w:rPr>
                <w:rFonts w:ascii="Courier New" w:cs="Courier New" w:eastAsia="Courier New" w:hAnsi="Courier New"/>
                <w:sz w:val="17"/>
                <w:szCs w:val="17"/>
                <w:color w:val="auto"/>
              </w:rPr>
              <w:t>/s/ Morton S. Lerner</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MORTON S. LERNER</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/s/ Walter F. Loeb</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WALTER F. LOEB</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/s/ George L. Perry</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GEORGE L. PERRY</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294"/>
              <w:spacing w:after="0"/>
              <w:rPr>
                <w:sz w:val="20"/>
                <w:szCs w:val="20"/>
                <w:color w:val="auto"/>
              </w:rPr>
            </w:pPr>
            <w:r>
              <w:rPr>
                <w:rFonts w:ascii="Courier New" w:cs="Courier New" w:eastAsia="Courier New" w:hAnsi="Courier New"/>
                <w:sz w:val="17"/>
                <w:szCs w:val="17"/>
                <w:color w:val="auto"/>
              </w:rPr>
              <w:t>/s/ Donald H. Misner</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DONALD H. MISNER</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96"/>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/s/ A. Cornet De Ways Ruart</w:t>
            </w:r>
          </w:p>
        </w:tc>
        <w:tc>
          <w:tcPr>
            <w:tcW w:w="1700" w:type="dxa"/>
            <w:vAlign w:val="bottom"/>
          </w:tcPr>
          <w:p>
            <w:pPr>
              <w:ind w:left="40"/>
              <w:spacing w:after="0"/>
              <w:rPr>
                <w:sz w:val="20"/>
                <w:szCs w:val="20"/>
                <w:color w:val="auto"/>
              </w:rPr>
            </w:pPr>
            <w:r>
              <w:rPr>
                <w:rFonts w:ascii="Courier New" w:cs="Courier New" w:eastAsia="Courier New" w:hAnsi="Courier New"/>
                <w:sz w:val="17"/>
                <w:szCs w:val="17"/>
                <w:color w:val="auto"/>
              </w:rPr>
              <w:t>Trustee</w:t>
            </w:r>
          </w:p>
        </w:tc>
        <w:tc>
          <w:tcPr>
            <w:tcW w:w="194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October 25, 1995</w:t>
            </w:r>
          </w:p>
        </w:tc>
      </w:tr>
      <w:tr>
        <w:trPr>
          <w:trHeight w:val="198"/>
        </w:trPr>
        <w:tc>
          <w:tcPr>
            <w:tcW w:w="40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8"/>
        </w:trPr>
        <w:tc>
          <w:tcPr>
            <w:tcW w:w="40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A. CORNET DE WAYS RUART</w:t>
            </w:r>
          </w:p>
        </w:tc>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709" w:right="1440" w:bottom="1440" w:gutter="0" w:footer="0" w:header="0"/>
        </w:sectPr>
      </w:pPr>
    </w:p>
    <w:bookmarkStart w:id="34" w:name="page35"/>
    <w:bookmarkEnd w:id="34"/>
    <w:tbl>
      <w:tblPr>
        <w:tblLayout w:type="fixed"/>
        <w:tblInd w:w="100" w:type="dxa"/>
        <w:tblCellMar>
          <w:top w:w="0" w:type="dxa"/>
          <w:left w:w="0" w:type="dxa"/>
          <w:bottom w:w="0" w:type="dxa"/>
          <w:right w:w="0" w:type="dxa"/>
        </w:tblCellMar>
      </w:tblPr>
      <w:tr>
        <w:trPr>
          <w:trHeight w:val="193"/>
        </w:trPr>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20" w:type="dxa"/>
            <w:vAlign w:val="bottom"/>
          </w:tcPr>
          <w:p>
            <w:pPr>
              <w:jc w:val="right"/>
              <w:ind w:right="3414"/>
              <w:spacing w:after="0"/>
              <w:rPr>
                <w:sz w:val="20"/>
                <w:szCs w:val="20"/>
                <w:color w:val="auto"/>
              </w:rPr>
            </w:pPr>
            <w:r>
              <w:rPr>
                <w:rFonts w:ascii="Courier New" w:cs="Courier New" w:eastAsia="Courier New" w:hAnsi="Courier New"/>
                <w:sz w:val="17"/>
                <w:szCs w:val="17"/>
                <w:color w:val="auto"/>
              </w:rPr>
              <w:t>EXHIBIT INDEX</w:t>
            </w:r>
          </w:p>
        </w:tc>
      </w:tr>
      <w:tr>
        <w:trPr>
          <w:trHeight w:val="792"/>
        </w:trPr>
        <w:tc>
          <w:tcPr>
            <w:tcW w:w="108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84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(1)(a)</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Underwriting Agreement for Debt Securities.......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(1)(b)</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Underwriting Agreement for Equity Securities.....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(4)(a)</w:t>
            </w: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Indenture for Senior Debt Securities*....................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Indenture for Subordinated Debt Securities*..............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(4)(c)</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Senior Subordinated Debt Security*...............</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(4)(d)</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Subordinated Debt Security*......................</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(4)(e)</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Statement of Designation of Preferred Shares*....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(4)(f)</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 of</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Preferred Share Certificate*.....................</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Opinion</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regarding legality...............................</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(8)</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Opinion</w:t>
            </w:r>
          </w:p>
        </w:tc>
        <w:tc>
          <w:tcPr>
            <w:tcW w:w="622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regarding tax matters............................</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Statement regarding computation of ratios................</w:t>
            </w:r>
          </w:p>
        </w:tc>
      </w:tr>
      <w:tr>
        <w:trPr>
          <w:trHeight w:val="198"/>
        </w:trPr>
        <w:tc>
          <w:tcPr>
            <w:tcW w:w="108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Acknowledgement of Independent Accountants (included on</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(15)</w:t>
            </w:r>
          </w:p>
        </w:tc>
        <w:tc>
          <w:tcPr>
            <w:tcW w:w="7060" w:type="dxa"/>
            <w:vAlign w:val="bottom"/>
            <w:gridSpan w:val="2"/>
          </w:tcPr>
          <w:p>
            <w:pPr>
              <w:jc w:val="right"/>
              <w:ind w:right="1054"/>
              <w:spacing w:after="0"/>
              <w:rPr>
                <w:sz w:val="20"/>
                <w:szCs w:val="20"/>
                <w:color w:val="auto"/>
              </w:rPr>
            </w:pPr>
            <w:r>
              <w:rPr>
                <w:rFonts w:ascii="Courier New" w:cs="Courier New" w:eastAsia="Courier New" w:hAnsi="Courier New"/>
                <w:sz w:val="17"/>
                <w:szCs w:val="17"/>
                <w:color w:val="auto"/>
              </w:rPr>
              <w:t>page II-4)..............................................</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(23)(a)</w:t>
            </w: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Consents of Independent Accounts (included on page II-4).</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(23)(b)</w:t>
            </w:r>
          </w:p>
        </w:tc>
        <w:tc>
          <w:tcPr>
            <w:tcW w:w="7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Consents of Counsel (included in opinions)...............</w:t>
            </w:r>
          </w:p>
        </w:tc>
      </w:tr>
    </w:tbl>
    <w:p>
      <w:pPr>
        <w:spacing w:after="0" w:line="5" w:lineRule="exact"/>
        <w:rPr>
          <w:sz w:val="20"/>
          <w:szCs w:val="20"/>
          <w:color w:val="auto"/>
        </w:rPr>
      </w:pPr>
    </w:p>
    <w:p>
      <w:pPr>
        <w:ind w:left="1240" w:hanging="1131"/>
        <w:spacing w:after="0"/>
        <w:tabs>
          <w:tab w:leader="none" w:pos="12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(included on signature page)...........</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Eligibility of Trustee (Signet Trust</w:t>
      </w:r>
    </w:p>
    <w:p>
      <w:pPr>
        <w:spacing w:after="0" w:line="5" w:lineRule="exact"/>
        <w:rPr>
          <w:sz w:val="20"/>
          <w:szCs w:val="20"/>
          <w:color w:val="auto"/>
        </w:rPr>
      </w:pPr>
    </w:p>
    <w:p>
      <w:pPr>
        <w:ind w:left="100"/>
        <w:spacing w:after="0"/>
        <w:tabs>
          <w:tab w:leader="none" w:pos="1320" w:val="left"/>
        </w:tabs>
        <w:rPr>
          <w:sz w:val="20"/>
          <w:szCs w:val="20"/>
          <w:color w:val="auto"/>
        </w:rPr>
      </w:pPr>
      <w:r>
        <w:rPr>
          <w:rFonts w:ascii="Courier New" w:cs="Courier New" w:eastAsia="Courier New" w:hAnsi="Courier New"/>
          <w:sz w:val="17"/>
          <w:szCs w:val="17"/>
          <w:color w:val="auto"/>
        </w:rPr>
        <w:t>(25)(a)</w:t>
      </w:r>
      <w:r>
        <w:rPr>
          <w:sz w:val="20"/>
          <w:szCs w:val="20"/>
          <w:color w:val="auto"/>
        </w:rPr>
        <w:tab/>
      </w:r>
      <w:r>
        <w:rPr>
          <w:rFonts w:ascii="Courier New" w:cs="Courier New" w:eastAsia="Courier New" w:hAnsi="Courier New"/>
          <w:sz w:val="17"/>
          <w:szCs w:val="17"/>
          <w:color w:val="auto"/>
        </w:rPr>
        <w:t>Company) on Form T-1....................................</w:t>
      </w:r>
    </w:p>
    <w:p>
      <w:pPr>
        <w:spacing w:after="0" w:line="5"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7"/>
          <w:szCs w:val="17"/>
          <w:color w:val="auto"/>
        </w:rPr>
        <w:t>(25)(b)</w:t>
      </w:r>
      <w:r>
        <w:rPr>
          <w:sz w:val="20"/>
          <w:szCs w:val="20"/>
          <w:color w:val="auto"/>
        </w:rPr>
        <w:tab/>
      </w:r>
      <w:r>
        <w:rPr>
          <w:rFonts w:ascii="Courier New" w:cs="Courier New" w:eastAsia="Courier New" w:hAnsi="Courier New"/>
          <w:sz w:val="17"/>
          <w:szCs w:val="17"/>
          <w:color w:val="auto"/>
        </w:rPr>
        <w:t>Statement of Eligibility of Trustee (First Union National</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Bank of North Carolina) on Form T-1.....................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right="2279" w:hanging="214"/>
        <w:spacing w:after="0" w:line="247" w:lineRule="auto"/>
        <w:tabs>
          <w:tab w:leader="none" w:pos="2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with the Commission as part of a Registration Statement on Form S-3 (No. 33-51029) declared effective on December 13, 1993.</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709" w:right="1440" w:bottom="1440" w:gutter="0" w:footer="0" w:header="0"/>
        </w:sectPr>
      </w:pPr>
    </w:p>
    <w:bookmarkStart w:id="35" w:name="page36"/>
    <w:bookmarkEnd w:id="35"/>
    <w:p>
      <w:pPr>
        <w:jc w:val="right"/>
        <w:ind w:right="1979"/>
        <w:spacing w:after="0"/>
        <w:rPr>
          <w:sz w:val="20"/>
          <w:szCs w:val="20"/>
          <w:color w:val="auto"/>
        </w:rPr>
      </w:pPr>
      <w:r>
        <w:rPr>
          <w:rFonts w:ascii="Courier New" w:cs="Courier New" w:eastAsia="Courier New" w:hAnsi="Courier New"/>
          <w:sz w:val="17"/>
          <w:szCs w:val="17"/>
          <w:color w:val="auto"/>
        </w:rPr>
        <w:t>Exhibit (1)(a)</w:t>
      </w:r>
    </w:p>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Debt Securities</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Underwriting Agreement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___________, 199_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Representatives of the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several Underwriters named in the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respective Pricing Agreements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hereinafter described.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From time to time Federal Realty Investment Trust, a business trust organized under the laws of the District of Columbia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204"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The terms and rights of any particular issuance of Designated Securities shall be as specified in the Pricing Agreement relating thereto and in or pursuant to the indenture (the "Indenture") identified in such Pricing Agreement.</w:t>
      </w:r>
    </w:p>
    <w:p>
      <w:pPr>
        <w:sectPr>
          <w:pgSz w:w="11900" w:h="16838" w:orient="portrait"/>
          <w:cols w:equalWidth="0" w:num="1">
            <w:col w:w="10219"/>
          </w:cols>
          <w:pgMar w:left="240" w:top="538" w:right="1440" w:bottom="1440" w:gutter="0" w:footer="0" w:header="0"/>
        </w:sectPr>
      </w:pPr>
    </w:p>
    <w:bookmarkStart w:id="36" w:name="page37"/>
    <w:bookmarkEnd w:id="36"/>
    <w:p>
      <w:pPr>
        <w:ind w:left="420" w:hanging="414"/>
        <w:spacing w:after="0"/>
        <w:tabs>
          <w:tab w:leader="none" w:pos="4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Particular sales of Designated Securities may be made from time to</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213" w:lineRule="exact"/>
        <w:rPr>
          <w:sz w:val="20"/>
          <w:szCs w:val="20"/>
          <w:color w:val="auto"/>
        </w:rPr>
      </w:pPr>
    </w:p>
    <w:p>
      <w:pPr>
        <w:ind w:right="2399" w:firstLine="520"/>
        <w:spacing w:after="0" w:line="247" w:lineRule="auto"/>
        <w:tabs>
          <w:tab w:leader="none" w:pos="82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represents and warrants to, and agrees with, each of the Underwriters that:</w:t>
      </w:r>
    </w:p>
    <w:p>
      <w:pPr>
        <w:spacing w:after="0" w:line="197"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registration statements on Form S-3 (File Nos. 33-51029 and 33-_______) (the "Initial Registration Statements") in respect of the Securities have been filed with the Securities and Exchange Commission (the "Commission"); the Initial Registration Statements and any post-effective amendment thereto, each in the form heretofore delivered or to</w:t>
      </w:r>
    </w:p>
    <w:p>
      <w:pPr>
        <w:spacing w:after="0" w:line="200" w:lineRule="exact"/>
        <w:rPr>
          <w:rFonts w:ascii="Courier New" w:cs="Courier New" w:eastAsia="Courier New" w:hAnsi="Courier New"/>
          <w:sz w:val="17"/>
          <w:szCs w:val="17"/>
          <w:color w:val="auto"/>
        </w:rPr>
      </w:pPr>
    </w:p>
    <w:p>
      <w:pPr>
        <w:ind w:left="4020" w:hanging="205"/>
        <w:spacing w:after="0"/>
        <w:tabs>
          <w:tab w:leader="none" w:pos="4020" w:val="left"/>
        </w:tabs>
        <w:numPr>
          <w:ilvl w:val="2"/>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w:t>
      </w:r>
    </w:p>
    <w:p>
      <w:pPr>
        <w:sectPr>
          <w:pgSz w:w="11900" w:h="16838" w:orient="portrait"/>
          <w:cols w:equalWidth="0" w:num="1">
            <w:col w:w="10219"/>
          </w:cols>
          <w:pgMar w:left="240" w:top="709" w:right="1440" w:bottom="1440" w:gutter="0" w:footer="0" w:header="0"/>
        </w:sectPr>
      </w:pPr>
    </w:p>
    <w:bookmarkStart w:id="37" w:name="page38"/>
    <w:bookmarkEnd w:id="37"/>
    <w:p>
      <w:pPr>
        <w:ind w:right="1979"/>
        <w:spacing w:after="0" w:line="246" w:lineRule="auto"/>
        <w:rPr>
          <w:sz w:val="20"/>
          <w:szCs w:val="20"/>
          <w:color w:val="auto"/>
        </w:rPr>
      </w:pPr>
      <w:r>
        <w:rPr>
          <w:rFonts w:ascii="Courier New" w:cs="Courier New" w:eastAsia="Courier New" w:hAnsi="Courier New"/>
          <w:sz w:val="17"/>
          <w:szCs w:val="17"/>
          <w:color w:val="auto"/>
        </w:rPr>
        <w:t>be delivered to the Representatives and, excluding exhibits to such registration statements, but including all documents incorporated by reference in the prospectus contained in the latest registration statement,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Statements or document incorporated by reference therein has heretofore been filed or transmitted for filing with the Commission (other than prospectuses filed pursuant to Rule 424(b) under the Act, each in the form heretofore delivered to the Representatives); and no stop order suspending the effectiveness of the Initial Registration Statements, any post-effective amendment thereto or the Rule 462(b) Registration Statement, if any, has been issued and no proceeding for that purpose has been initiated or threatened by the Commission (any preliminary prospectus included in the Initial Registration Statements or filed with the Commission pursuant to Rule 424(a) under the Act is hereinafter called a "Preliminary Prospectus"; the various parts of the Initial Registration Statements and the Rule 462(b) Registration Statement, if any, including all exhibits thereto and the documents incorporated by reference in the prospectus contained in the Initial Registration Statements at the time such part of the registration statements became effective but excluding Form T-1, each as amended at the time such part of the Initial Registration Statements became effective or such part of the Rule 462(b) Registration Statement, if 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w:t>
      </w:r>
    </w:p>
    <w:p>
      <w:pPr>
        <w:spacing w:after="0" w:line="21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9699"/>
          </w:cols>
          <w:pgMar w:left="760" w:top="709" w:right="1440" w:bottom="1440" w:gutter="0" w:footer="0" w:header="0"/>
        </w:sectPr>
      </w:pPr>
    </w:p>
    <w:bookmarkStart w:id="38" w:name="page39"/>
    <w:bookmarkEnd w:id="38"/>
    <w:p>
      <w:pPr>
        <w:ind w:right="1979"/>
        <w:spacing w:after="0" w:line="246" w:lineRule="auto"/>
        <w:rPr>
          <w:sz w:val="20"/>
          <w:szCs w:val="20"/>
          <w:color w:val="auto"/>
        </w:rPr>
      </w:pPr>
      <w:r>
        <w:rPr>
          <w:rFonts w:ascii="Courier New" w:cs="Courier New" w:eastAsia="Courier New" w:hAnsi="Courier New"/>
          <w:sz w:val="17"/>
          <w:szCs w:val="17"/>
          <w:color w:val="auto"/>
        </w:rPr>
        <w:t>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09" w:lineRule="exact"/>
        <w:rPr>
          <w:sz w:val="20"/>
          <w:szCs w:val="20"/>
          <w:color w:val="auto"/>
        </w:rPr>
      </w:pPr>
    </w:p>
    <w:p>
      <w:pPr>
        <w:ind w:right="2179" w:firstLine="515"/>
        <w:spacing w:after="0" w:line="246" w:lineRule="auto"/>
        <w:tabs>
          <w:tab w:leader="none" w:pos="1029"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w:t>
      </w:r>
    </w:p>
    <w:p>
      <w:pPr>
        <w:spacing w:after="0" w:line="207"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w:t>
      </w:r>
    </w:p>
    <w:p>
      <w:pPr>
        <w:sectPr>
          <w:pgSz w:w="11900" w:h="16838" w:orient="portrait"/>
          <w:cols w:equalWidth="0" w:num="1">
            <w:col w:w="9699"/>
          </w:cols>
          <w:pgMar w:left="760" w:top="709" w:right="1440" w:bottom="1440"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201" w:lineRule="exact"/>
        <w:rPr>
          <w:sz w:val="20"/>
          <w:szCs w:val="20"/>
          <w:color w:val="auto"/>
        </w:rPr>
      </w:pPr>
    </w:p>
    <w:p>
      <w:pPr>
        <w:ind w:right="2079" w:firstLine="515"/>
        <w:spacing w:after="0" w:line="246" w:lineRule="auto"/>
        <w:tabs>
          <w:tab w:leader="none" w:pos="102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208"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is validly existing as a business trust of unlimited duration with transferable shares of beneficial interest in good standing under the laws of the District of Columbia, with full power and authority to own, lease and operate its properties and conduct its business as described in the Prospectus; the Company has one subsidiary, Street Retail Inc. (the "Subsidiary"), which has been duly organized and is validly existing as a corporation in good standing under the laws of the state of Maryland, with full power and authority to own, lease and operate its properties and conduct its business as described in the Prospectus; all of the issued and outstanding stock of the Subsidiary has been duly authorized and validly issued, is fully paid and non-assessable and is owned by the Company free and clear of all pledges, liens, encumbrances,</w:t>
      </w:r>
    </w:p>
    <w:p>
      <w:pPr>
        <w:spacing w:after="0" w:line="205"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5 -</w:t>
      </w:r>
    </w:p>
    <w:p>
      <w:pPr>
        <w:sectPr>
          <w:pgSz w:w="11900" w:h="16838" w:orient="portrait"/>
          <w:cols w:equalWidth="0" w:num="1">
            <w:col w:w="9699"/>
          </w:cols>
          <w:pgMar w:left="760" w:top="709" w:right="1440" w:bottom="1440" w:gutter="0" w:footer="0" w:header="0"/>
        </w:sectPr>
      </w:pPr>
    </w:p>
    <w:bookmarkStart w:id="40" w:name="page41"/>
    <w:bookmarkEnd w:id="40"/>
    <w:p>
      <w:pPr>
        <w:ind w:right="1979"/>
        <w:spacing w:after="0" w:line="246" w:lineRule="auto"/>
        <w:rPr>
          <w:sz w:val="20"/>
          <w:szCs w:val="20"/>
          <w:color w:val="auto"/>
        </w:rPr>
      </w:pPr>
      <w:r>
        <w:rPr>
          <w:rFonts w:ascii="Courier New" w:cs="Courier New" w:eastAsia="Courier New" w:hAnsi="Courier New"/>
          <w:sz w:val="17"/>
          <w:szCs w:val="17"/>
          <w:color w:val="auto"/>
        </w:rPr>
        <w:t>claims, security interests and defects; each of the partnerships and joint ventures in which the Company has a material equity interest is listed in Annex III hereto (collectively, the "Partnerships") and each such Partnership has been duly organized and is validly existing as a limited partnership, general partnership or joint venture, as the case may be, in good standing under the laws of the jurisdiction of its organization, with power and authority to own or lease its properties and conduct its business as described in the Prospectus; the Company owns its interests in the Partnerships free and clear of all pledges, liens, encumbrances, claims, security interests and defects; no options, warrants or other rights to convert any obligations into partnership or other ownership interests in the Partnerships are outstanding; and the Company, the Subsidiary and each of the Partnerships are duly qualified to transact business in all jurisdictions in which the conduct of their respective businesses requires such qualification;</w:t>
      </w:r>
    </w:p>
    <w:p>
      <w:pPr>
        <w:spacing w:after="0" w:line="207" w:lineRule="exact"/>
        <w:rPr>
          <w:sz w:val="20"/>
          <w:szCs w:val="20"/>
          <w:color w:val="auto"/>
        </w:rPr>
      </w:pPr>
    </w:p>
    <w:p>
      <w:pPr>
        <w:ind w:right="1979" w:firstLine="515"/>
        <w:spacing w:after="0" w:line="246" w:lineRule="auto"/>
        <w:tabs>
          <w:tab w:leader="none" w:pos="102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Company, the Subsidiary or any of the Partnerships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the Subsidiary and the Partnerships taken as a whole, otherwise than as set forth or contemplated in the Prospectus;</w:t>
      </w:r>
    </w:p>
    <w:p>
      <w:pPr>
        <w:spacing w:after="0" w:line="207" w:lineRule="exact"/>
        <w:rPr>
          <w:rFonts w:ascii="Courier New" w:cs="Courier New" w:eastAsia="Courier New" w:hAnsi="Courier New"/>
          <w:sz w:val="17"/>
          <w:szCs w:val="17"/>
          <w:color w:val="auto"/>
        </w:rPr>
      </w:pPr>
    </w:p>
    <w:p>
      <w:pPr>
        <w:ind w:right="2079" w:firstLine="515"/>
        <w:spacing w:after="0" w:line="247" w:lineRule="auto"/>
        <w:tabs>
          <w:tab w:leader="none" w:pos="102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authorized capitalization as set forth in the Prospectus, and all of the issued shares of</w:t>
      </w:r>
    </w:p>
    <w:p>
      <w:pPr>
        <w:spacing w:after="0" w:line="197"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6 -</w:t>
      </w:r>
    </w:p>
    <w:p>
      <w:pPr>
        <w:sectPr>
          <w:pgSz w:w="11900" w:h="16838" w:orient="portrait"/>
          <w:cols w:equalWidth="0" w:num="1">
            <w:col w:w="9699"/>
          </w:cols>
          <w:pgMar w:left="760" w:top="709" w:right="1440" w:bottom="1440" w:gutter="0" w:footer="0" w:header="0"/>
        </w:sectPr>
      </w:pPr>
    </w:p>
    <w:bookmarkStart w:id="41" w:name="page42"/>
    <w:bookmarkEnd w:id="41"/>
    <w:p>
      <w:pPr>
        <w:ind w:right="2079"/>
        <w:spacing w:after="0" w:line="246" w:lineRule="auto"/>
        <w:rPr>
          <w:sz w:val="20"/>
          <w:szCs w:val="20"/>
          <w:color w:val="auto"/>
        </w:rPr>
      </w:pPr>
      <w:r>
        <w:rPr>
          <w:rFonts w:ascii="Courier New" w:cs="Courier New" w:eastAsia="Courier New" w:hAnsi="Courier New"/>
          <w:sz w:val="17"/>
          <w:szCs w:val="17"/>
          <w:color w:val="auto"/>
        </w:rPr>
        <w:t>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200" w:lineRule="exact"/>
        <w:rPr>
          <w:sz w:val="20"/>
          <w:szCs w:val="20"/>
          <w:color w:val="auto"/>
        </w:rPr>
      </w:pPr>
    </w:p>
    <w:p>
      <w:pPr>
        <w:ind w:right="1979" w:firstLine="515"/>
        <w:spacing w:after="0" w:line="246" w:lineRule="auto"/>
        <w:tabs>
          <w:tab w:leader="none" w:pos="1029"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207"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 and sale of the Securities and the compliance by the Company with all of the provisions of the Securities, the Indenture,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the Subsidiary or any of the Partnerships is a party or by which the Company, the Subsidiary or any of the Partnerships is bound or to which any of the property or assets of the Company, the Subsidiary or any of the Partnerships is subject, nor will such action result in any violation of the provisions of the Declaration of Trust or By-laws of the Company or any statute or any order, rule or</w:t>
      </w:r>
    </w:p>
    <w:p>
      <w:pPr>
        <w:spacing w:after="0" w:line="205"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7 -</w:t>
      </w:r>
    </w:p>
    <w:p>
      <w:pPr>
        <w:sectPr>
          <w:pgSz w:w="11900" w:h="16838" w:orient="portrait"/>
          <w:cols w:equalWidth="0" w:num="1">
            <w:col w:w="9699"/>
          </w:cols>
          <w:pgMar w:left="760" w:top="709" w:right="1440" w:bottom="1440" w:gutter="0" w:footer="0" w:header="0"/>
        </w:sectPr>
      </w:pPr>
    </w:p>
    <w:bookmarkStart w:id="42" w:name="page43"/>
    <w:bookmarkEnd w:id="42"/>
    <w:p>
      <w:pPr>
        <w:ind w:right="1979"/>
        <w:spacing w:after="0" w:line="246" w:lineRule="auto"/>
        <w:rPr>
          <w:sz w:val="20"/>
          <w:szCs w:val="20"/>
          <w:color w:val="auto"/>
        </w:rPr>
      </w:pPr>
      <w:r>
        <w:rPr>
          <w:rFonts w:ascii="Courier New" w:cs="Courier New" w:eastAsia="Courier New" w:hAnsi="Courier New"/>
          <w:sz w:val="17"/>
          <w:szCs w:val="17"/>
          <w:color w:val="auto"/>
        </w:rPr>
        <w:t>regulation of any court or governmental agency or body having jurisdiction over the Company, the Subsidiary or any of the Partnerships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and the Trust Indenture Act and except for the listing of the Designated Securities on the New York Stock Exchange, Inc. or other stock exchanges and such consents, approvals, authorizations, registrations or qualifications as may be required under state securities or Blue Sky laws in connection with the purchase and distribution of the Securities by the Underwriters;</w:t>
      </w:r>
    </w:p>
    <w:p>
      <w:pPr>
        <w:spacing w:after="0" w:line="206" w:lineRule="exact"/>
        <w:rPr>
          <w:sz w:val="20"/>
          <w:szCs w:val="20"/>
          <w:color w:val="auto"/>
        </w:rPr>
      </w:pPr>
    </w:p>
    <w:p>
      <w:pPr>
        <w:ind w:right="1979" w:firstLine="515"/>
        <w:spacing w:after="0" w:line="246" w:lineRule="auto"/>
        <w:tabs>
          <w:tab w:leader="none" w:pos="102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set forth in the Prospectus, there are no legal or governmental proceedings pending to which the Company, the Subsidiary or any of the Partnerships is a party or of which any property of the Company, the Subsidiary or any of the Partnerships is the subject which, if determined adversely to the Company, the Subsidiary or any of the Partnerships, would individually or in the aggregate have a material adverse effect on the consolidated financial position, shareholders' equity or results of operations of the Company, the Subsidiary and the Partnerships; and, to the best of the Company's knowledge, no such proceedings are threatened or contemplated by governmental authorities or threatened by others;</w:t>
      </w:r>
    </w:p>
    <w:p>
      <w:pPr>
        <w:spacing w:after="0" w:line="204"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financial statements of the Company, the Subsidiary and the Partnerships, together with related notes and schedules as set forth or incorporated by reference in the Registration Statement, present fairly the financial position and the results of operations of the Company, the Subsidiary and the Partnerships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included in</w:t>
      </w:r>
    </w:p>
    <w:p>
      <w:pPr>
        <w:spacing w:after="0" w:line="203"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8 -</w:t>
      </w:r>
    </w:p>
    <w:p>
      <w:pPr>
        <w:sectPr>
          <w:pgSz w:w="11900" w:h="16838" w:orient="portrait"/>
          <w:cols w:equalWidth="0" w:num="1">
            <w:col w:w="9699"/>
          </w:cols>
          <w:pgMar w:left="760" w:top="709" w:right="1440" w:bottom="1440" w:gutter="0" w:footer="0" w:header="0"/>
        </w:sectPr>
      </w:pPr>
    </w:p>
    <w:bookmarkStart w:id="43" w:name="page44"/>
    <w:bookmarkEnd w:id="43"/>
    <w:p>
      <w:pPr>
        <w:jc w:val="both"/>
        <w:ind w:right="2179"/>
        <w:spacing w:after="0" w:line="246" w:lineRule="auto"/>
        <w:rPr>
          <w:sz w:val="20"/>
          <w:szCs w:val="20"/>
          <w:color w:val="auto"/>
        </w:rPr>
      </w:pPr>
      <w:r>
        <w:rPr>
          <w:rFonts w:ascii="Courier New" w:cs="Courier New" w:eastAsia="Courier New" w:hAnsi="Courier New"/>
          <w:sz w:val="17"/>
          <w:szCs w:val="17"/>
          <w:color w:val="auto"/>
        </w:rPr>
        <w:t>the Prospectus present fairly the information shown therein and have been compiled on a basis consistent with the consolidated financial statements incorporated by reference therein;</w:t>
      </w:r>
    </w:p>
    <w:p>
      <w:pPr>
        <w:spacing w:after="0" w:line="200" w:lineRule="exact"/>
        <w:rPr>
          <w:sz w:val="20"/>
          <w:szCs w:val="20"/>
          <w:color w:val="auto"/>
        </w:rPr>
      </w:pPr>
    </w:p>
    <w:p>
      <w:pPr>
        <w:ind w:right="2079" w:firstLine="515"/>
        <w:spacing w:after="0" w:line="246" w:lineRule="auto"/>
        <w:tabs>
          <w:tab w:leader="none" w:pos="102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the Partnerships have good and marketable title to, or valid and enforceable leasehold estates in, all items of real and personal property referred to in the Prospectus as owned or leased by the Company, the Subsidiary or any of the Partnerships, in each case free and clear of all pledges, liens, encumbrances, claims, security interests and defects, other than those referred to in the Prospectus or which are not material in amount;</w:t>
      </w:r>
    </w:p>
    <w:p>
      <w:pPr>
        <w:spacing w:after="0" w:line="202"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the Partnerships have filed all Federal, State, local and foreign income tax returns which have been required to be filed, or appropriate extensions for such filings have been obtained as required by law, and all Federal, State, local and foreign taxes of the Company, the Subsidiary and the Partnerships have been paid except such taxes as are not yet due or are being contested in good faith;</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each of the Partnerships hold all material licenses, certificates and permits from governmental authorities which are necessary to the conduct of their respective businesses; and none of the Company, the Subsidiary or any of the Partnerships has infringed any patents, patent rights, trade names, trademarks or copyrights, which infringement is material to the business of the Company;</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Thornton LLP, who have certified the consolidated financial statements filed with the Commission as part of, or incorporated by reference in, the Registration Statement and Prospectus, are independent public accountants as required by the Act and the rules and regulations of the Commission promulgated thereunder;</w:t>
      </w:r>
    </w:p>
    <w:p>
      <w:pPr>
        <w:spacing w:after="0" w:line="200" w:lineRule="exact"/>
        <w:rPr>
          <w:rFonts w:ascii="Courier New" w:cs="Courier New" w:eastAsia="Courier New" w:hAnsi="Courier New"/>
          <w:sz w:val="17"/>
          <w:szCs w:val="17"/>
          <w:color w:val="auto"/>
        </w:rPr>
      </w:pPr>
    </w:p>
    <w:p>
      <w:pPr>
        <w:ind w:right="1979" w:firstLine="515"/>
        <w:spacing w:after="0" w:line="247" w:lineRule="auto"/>
        <w:tabs>
          <w:tab w:leader="none" w:pos="102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conditions for use of registration statements on Form S-3 set forth in the General Instructions on Form S-3</w:t>
      </w:r>
    </w:p>
    <w:p>
      <w:pPr>
        <w:spacing w:after="0" w:line="197"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9 -</w:t>
      </w:r>
    </w:p>
    <w:p>
      <w:pPr>
        <w:sectPr>
          <w:pgSz w:w="11900" w:h="16838" w:orient="portrait"/>
          <w:cols w:equalWidth="0" w:num="1">
            <w:col w:w="9699"/>
          </w:cols>
          <w:pgMar w:left="760" w:top="709" w:right="1440" w:bottom="1440" w:gutter="0" w:footer="0" w:header="0"/>
        </w:sectPr>
      </w:pPr>
    </w:p>
    <w:bookmarkStart w:id="44" w:name="page45"/>
    <w:bookmarkEnd w:id="44"/>
    <w:p>
      <w:pPr>
        <w:ind w:right="2279"/>
        <w:spacing w:after="0" w:line="247" w:lineRule="auto"/>
        <w:rPr>
          <w:sz w:val="20"/>
          <w:szCs w:val="20"/>
          <w:color w:val="auto"/>
        </w:rPr>
      </w:pPr>
      <w:r>
        <w:rPr>
          <w:rFonts w:ascii="Courier New" w:cs="Courier New" w:eastAsia="Courier New" w:hAnsi="Courier New"/>
          <w:sz w:val="17"/>
          <w:szCs w:val="17"/>
          <w:color w:val="auto"/>
        </w:rPr>
        <w:t>have been satisfied and the Company is entitled to use such form for the transaction contemplated herein;</w:t>
      </w:r>
    </w:p>
    <w:p>
      <w:pPr>
        <w:spacing w:after="0" w:line="198" w:lineRule="exact"/>
        <w:rPr>
          <w:sz w:val="20"/>
          <w:szCs w:val="20"/>
          <w:color w:val="auto"/>
        </w:rPr>
      </w:pPr>
    </w:p>
    <w:p>
      <w:pPr>
        <w:ind w:right="1979" w:firstLine="515"/>
        <w:spacing w:after="0" w:line="246" w:lineRule="auto"/>
        <w:tabs>
          <w:tab w:leader="none" w:pos="926"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the Subsidiary or the Partnerships, the Company represents that, as of the date of this Agreement, it has no knowledge of any material failure by the Company, the Subsidiary or the Partnerships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206"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203" w:lineRule="exact"/>
        <w:rPr>
          <w:rFonts w:ascii="Courier New" w:cs="Courier New" w:eastAsia="Courier New" w:hAnsi="Courier New"/>
          <w:sz w:val="17"/>
          <w:szCs w:val="17"/>
          <w:color w:val="auto"/>
        </w:rPr>
      </w:pPr>
    </w:p>
    <w:p>
      <w:pPr>
        <w:ind w:left="-520" w:right="1979" w:firstLine="520"/>
        <w:spacing w:after="0" w:line="246" w:lineRule="auto"/>
        <w:tabs>
          <w:tab w:leader="none" w:pos="407"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200" w:lineRule="exact"/>
        <w:rPr>
          <w:rFonts w:ascii="Courier New" w:cs="Courier New" w:eastAsia="Courier New" w:hAnsi="Courier New"/>
          <w:sz w:val="17"/>
          <w:szCs w:val="17"/>
          <w:color w:val="auto"/>
        </w:rPr>
      </w:pPr>
    </w:p>
    <w:p>
      <w:pPr>
        <w:ind w:left="-520" w:right="2079" w:firstLine="520"/>
        <w:spacing w:after="0" w:line="246" w:lineRule="auto"/>
        <w:tabs>
          <w:tab w:leader="none" w:pos="407"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Designated Securities to be purchased by each Underwriter pursuant to the Pricing Agreement relating thereto, in the form specified in such Pricing Agreement, and in such authorized denominations and registered in such names as the Representatives</w:t>
      </w:r>
    </w:p>
    <w:p>
      <w:pPr>
        <w:spacing w:after="0" w:line="200"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w:t>
      </w:r>
    </w:p>
    <w:p>
      <w:pPr>
        <w:sectPr>
          <w:pgSz w:w="11900" w:h="16838" w:orient="portrait"/>
          <w:cols w:equalWidth="0" w:num="1">
            <w:col w:w="9699"/>
          </w:cols>
          <w:pgMar w:left="760" w:top="709" w:right="1440" w:bottom="1440" w:gutter="0" w:footer="0" w:header="0"/>
        </w:sectPr>
      </w:pPr>
    </w:p>
    <w:bookmarkStart w:id="45" w:name="page46"/>
    <w:bookmarkEnd w:id="45"/>
    <w:p>
      <w:pPr>
        <w:ind w:right="2079"/>
        <w:spacing w:after="0" w:line="246" w:lineRule="auto"/>
        <w:rPr>
          <w:sz w:val="20"/>
          <w:szCs w:val="20"/>
          <w:color w:val="auto"/>
        </w:rPr>
      </w:pPr>
      <w:r>
        <w:rPr>
          <w:rFonts w:ascii="Courier New" w:cs="Courier New" w:eastAsia="Courier New" w:hAnsi="Courier New"/>
          <w:sz w:val="17"/>
          <w:szCs w:val="17"/>
          <w:color w:val="auto"/>
        </w:rPr>
        <w:t>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203" w:lineRule="exact"/>
        <w:rPr>
          <w:sz w:val="20"/>
          <w:szCs w:val="20"/>
          <w:color w:val="auto"/>
        </w:rPr>
      </w:pPr>
    </w:p>
    <w:p>
      <w:pPr>
        <w:ind w:right="2499" w:firstLine="520"/>
        <w:spacing w:after="0" w:line="247" w:lineRule="auto"/>
        <w:tabs>
          <w:tab w:leader="none" w:pos="927"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with each of the Underwriters of any Designated Securities:</w:t>
      </w:r>
    </w:p>
    <w:p>
      <w:pPr>
        <w:spacing w:after="0" w:line="197"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or if the Company elects to rely on Rule 434 under the Act, immediately following execution and delivery of the applicable Pricing Agreement, to prepare an abbreviated term sheet relating to the Designated Securities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reasonably disapproved by the Representatives for such Securities promptly after reasonable</w:t>
      </w:r>
    </w:p>
    <w:p>
      <w:pPr>
        <w:spacing w:after="0" w:line="211" w:lineRule="exact"/>
        <w:rPr>
          <w:rFonts w:ascii="Courier New" w:cs="Courier New" w:eastAsia="Courier New" w:hAnsi="Courier New"/>
          <w:sz w:val="17"/>
          <w:szCs w:val="17"/>
          <w:color w:val="auto"/>
        </w:rPr>
      </w:pPr>
    </w:p>
    <w:p>
      <w:pPr>
        <w:ind w:left="4020" w:hanging="205"/>
        <w:spacing w:after="0"/>
        <w:tabs>
          <w:tab w:leader="none" w:pos="4020"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11 -</w:t>
      </w:r>
    </w:p>
    <w:p>
      <w:pPr>
        <w:sectPr>
          <w:pgSz w:w="11900" w:h="16838" w:orient="portrait"/>
          <w:cols w:equalWidth="0" w:num="1">
            <w:col w:w="10219"/>
          </w:cols>
          <w:pgMar w:left="240" w:top="709" w:right="1440" w:bottom="1440" w:gutter="0" w:footer="0" w:header="0"/>
        </w:sectPr>
      </w:pPr>
    </w:p>
    <w:bookmarkStart w:id="46" w:name="page47"/>
    <w:bookmarkEnd w:id="46"/>
    <w:p>
      <w:pPr>
        <w:ind w:right="1979"/>
        <w:spacing w:after="0" w:line="246" w:lineRule="auto"/>
        <w:rPr>
          <w:sz w:val="20"/>
          <w:szCs w:val="20"/>
          <w:color w:val="auto"/>
        </w:rPr>
      </w:pPr>
      <w:r>
        <w:rPr>
          <w:rFonts w:ascii="Courier New" w:cs="Courier New" w:eastAsia="Courier New" w:hAnsi="Courier New"/>
          <w:sz w:val="17"/>
          <w:szCs w:val="17"/>
          <w:color w:val="auto"/>
        </w:rPr>
        <w:t>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use promptly its best efforts to obtain its withdrawal;</w:t>
      </w:r>
    </w:p>
    <w:p>
      <w:pPr>
        <w:spacing w:after="0" w:line="210" w:lineRule="exact"/>
        <w:rPr>
          <w:sz w:val="20"/>
          <w:szCs w:val="20"/>
          <w:color w:val="auto"/>
        </w:rPr>
      </w:pPr>
    </w:p>
    <w:p>
      <w:pPr>
        <w:ind w:right="1979" w:firstLine="515"/>
        <w:spacing w:after="0" w:line="246" w:lineRule="auto"/>
        <w:tabs>
          <w:tab w:leader="none" w:pos="1029"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203"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10:00 a.m. New York City time, on the New York business day next succeeding the date of the applicable Pricing Agreement and from time to time, to furnish the Underwriters with copies of the Prospectus in New York City as amended or supplemented in such quantities as the Representatives may reasonably request, and, if the delivery</w:t>
      </w:r>
    </w:p>
    <w:p>
      <w:pPr>
        <w:spacing w:after="0" w:line="200"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12 -</w:t>
      </w:r>
    </w:p>
    <w:p>
      <w:pPr>
        <w:sectPr>
          <w:pgSz w:w="11900" w:h="16838" w:orient="portrait"/>
          <w:cols w:equalWidth="0" w:num="1">
            <w:col w:w="9699"/>
          </w:cols>
          <w:pgMar w:left="760" w:top="709" w:right="1440" w:bottom="1440" w:gutter="0" w:footer="0" w:header="0"/>
        </w:sectPr>
      </w:pPr>
    </w:p>
    <w:bookmarkStart w:id="47" w:name="page48"/>
    <w:bookmarkEnd w:id="47"/>
    <w:p>
      <w:pPr>
        <w:ind w:right="1979"/>
        <w:spacing w:after="0" w:line="246" w:lineRule="auto"/>
        <w:rPr>
          <w:sz w:val="20"/>
          <w:szCs w:val="20"/>
          <w:color w:val="auto"/>
        </w:rPr>
      </w:pPr>
      <w:r>
        <w:rPr>
          <w:rFonts w:ascii="Courier New" w:cs="Courier New" w:eastAsia="Courier New" w:hAnsi="Courier New"/>
          <w:sz w:val="17"/>
          <w:szCs w:val="17"/>
          <w:color w:val="auto"/>
        </w:rPr>
        <w:t>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07" w:lineRule="exact"/>
        <w:rPr>
          <w:sz w:val="20"/>
          <w:szCs w:val="20"/>
          <w:color w:val="auto"/>
        </w:rPr>
      </w:pPr>
    </w:p>
    <w:p>
      <w:pPr>
        <w:ind w:right="2079" w:firstLine="515"/>
        <w:spacing w:after="0" w:line="246" w:lineRule="auto"/>
        <w:tabs>
          <w:tab w:leader="none" w:pos="102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beginning from the date of the Pricing Agreement for such Designated Securities and continuing to and including the earlier of (i) the termination of trading restrictions for such Designated Securities, as notified to the Company by the Representatives and (ii) the Time of Delivery for such Designated Securities, not to offer, sell, contract to sell or otherwise issue any debt securities of the Company which mature more than one year after such Time of Delivery and which are substantially similar to such Designated Securities, without the prior written consent of the Representatives;</w:t>
      </w:r>
    </w:p>
    <w:p>
      <w:pPr>
        <w:spacing w:after="0" w:line="203"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13 -</w:t>
      </w:r>
    </w:p>
    <w:p>
      <w:pPr>
        <w:sectPr>
          <w:pgSz w:w="11900" w:h="16838" w:orient="portrait"/>
          <w:cols w:equalWidth="0" w:num="1">
            <w:col w:w="9699"/>
          </w:cols>
          <w:pgMar w:left="760" w:top="709" w:right="1440" w:bottom="1440" w:gutter="0" w:footer="0" w:header="0"/>
        </w:sectPr>
      </w:pPr>
    </w:p>
    <w:bookmarkStart w:id="48" w:name="page49"/>
    <w:bookmarkEnd w:id="48"/>
    <w:p>
      <w:pPr>
        <w:ind w:left="514" w:right="1979" w:firstLine="515"/>
        <w:spacing w:after="0" w:line="246" w:lineRule="auto"/>
        <w:tabs>
          <w:tab w:leader="none" w:pos="1544" w:val="left"/>
        </w:tabs>
        <w:numPr>
          <w:ilvl w:val="2"/>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use the net proceeds received by it from the sale of the Securities in the manner specified in the Prospectus under the caption "Use of Proceeds";</w:t>
      </w:r>
    </w:p>
    <w:p>
      <w:pPr>
        <w:spacing w:after="0" w:line="199" w:lineRule="exact"/>
        <w:rPr>
          <w:rFonts w:ascii="Courier New" w:cs="Courier New" w:eastAsia="Courier New" w:hAnsi="Courier New"/>
          <w:sz w:val="17"/>
          <w:szCs w:val="17"/>
          <w:color w:val="auto"/>
        </w:rPr>
      </w:pPr>
    </w:p>
    <w:p>
      <w:pPr>
        <w:jc w:val="both"/>
        <w:ind w:left="514" w:right="1979" w:firstLine="515"/>
        <w:spacing w:after="0" w:line="246" w:lineRule="auto"/>
        <w:tabs>
          <w:tab w:leader="none" w:pos="1544" w:val="left"/>
        </w:tabs>
        <w:numPr>
          <w:ilvl w:val="2"/>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to qualify as a "real estate investment trust" under the Internal Revenue Code of 1986, as amended (the "Code"), and to use its best efforts to continue to meet the requirements to qualify as a "real estate investment trust"; and</w:t>
      </w:r>
    </w:p>
    <w:p>
      <w:pPr>
        <w:spacing w:after="0" w:line="200" w:lineRule="exact"/>
        <w:rPr>
          <w:rFonts w:ascii="Courier New" w:cs="Courier New" w:eastAsia="Courier New" w:hAnsi="Courier New"/>
          <w:sz w:val="17"/>
          <w:szCs w:val="17"/>
          <w:color w:val="auto"/>
        </w:rPr>
      </w:pPr>
    </w:p>
    <w:p>
      <w:pPr>
        <w:ind w:left="514" w:right="1979" w:firstLine="515"/>
        <w:spacing w:after="0" w:line="246" w:lineRule="auto"/>
        <w:tabs>
          <w:tab w:leader="none" w:pos="1441" w:val="left"/>
        </w:tabs>
        <w:numPr>
          <w:ilvl w:val="2"/>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all of the provisions of Florida H.B. 1771, and all regulations promulgated thereunder relating to issuers doing business with Cuba.</w:t>
      </w:r>
    </w:p>
    <w:p>
      <w:pPr>
        <w:spacing w:after="0" w:line="199" w:lineRule="exact"/>
        <w:rPr>
          <w:rFonts w:ascii="Courier New" w:cs="Courier New" w:eastAsia="Courier New" w:hAnsi="Courier New"/>
          <w:sz w:val="17"/>
          <w:szCs w:val="17"/>
          <w:color w:val="auto"/>
        </w:rPr>
      </w:pPr>
    </w:p>
    <w:p>
      <w:pPr>
        <w:ind w:left="-6" w:right="1979" w:firstLine="520"/>
        <w:spacing w:after="0" w:line="246" w:lineRule="auto"/>
        <w:tabs>
          <w:tab w:leader="none" w:pos="921"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cost of preparing the Securities;</w:t>
      </w:r>
    </w:p>
    <w:p>
      <w:pPr>
        <w:spacing w:after="0" w:line="11" w:lineRule="exact"/>
        <w:rPr>
          <w:rFonts w:ascii="Courier New" w:cs="Courier New" w:eastAsia="Courier New" w:hAnsi="Courier New"/>
          <w:sz w:val="17"/>
          <w:szCs w:val="17"/>
          <w:color w:val="auto"/>
        </w:rPr>
      </w:pPr>
    </w:p>
    <w:p>
      <w:pPr>
        <w:ind w:left="-6" w:right="2079" w:firstLine="6"/>
        <w:spacing w:after="0" w:line="246" w:lineRule="auto"/>
        <w:tabs>
          <w:tab w:leader="none" w:pos="612"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w:t>
      </w:r>
    </w:p>
    <w:p>
      <w:pPr>
        <w:spacing w:after="0" w:line="200" w:lineRule="exact"/>
        <w:rPr>
          <w:rFonts w:ascii="Courier New" w:cs="Courier New" w:eastAsia="Courier New" w:hAnsi="Courier New"/>
          <w:sz w:val="17"/>
          <w:szCs w:val="17"/>
          <w:color w:val="auto"/>
        </w:rPr>
      </w:pPr>
    </w:p>
    <w:p>
      <w:pPr>
        <w:ind w:left="4014" w:hanging="205"/>
        <w:spacing w:after="0"/>
        <w:tabs>
          <w:tab w:leader="none" w:pos="4014" w:val="left"/>
        </w:tabs>
        <w:numPr>
          <w:ilvl w:val="3"/>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14 -</w:t>
      </w:r>
    </w:p>
    <w:p>
      <w:pPr>
        <w:sectPr>
          <w:pgSz w:w="11900" w:h="16838" w:orient="portrait"/>
          <w:cols w:equalWidth="0" w:num="1">
            <w:col w:w="10214"/>
          </w:cols>
          <w:pgMar w:left="246" w:top="709" w:right="1440" w:bottom="1440" w:gutter="0" w:footer="0" w:header="0"/>
        </w:sectPr>
      </w:pPr>
    </w:p>
    <w:bookmarkStart w:id="49" w:name="page50"/>
    <w:bookmarkEnd w:id="49"/>
    <w:p>
      <w:pPr>
        <w:ind w:right="1979"/>
        <w:spacing w:after="0" w:line="246" w:lineRule="auto"/>
        <w:rPr>
          <w:sz w:val="20"/>
          <w:szCs w:val="20"/>
          <w:color w:val="auto"/>
        </w:rPr>
      </w:pPr>
      <w:r>
        <w:rPr>
          <w:rFonts w:ascii="Courier New" w:cs="Courier New" w:eastAsia="Courier New" w:hAnsi="Courier New"/>
          <w:sz w:val="17"/>
          <w:szCs w:val="17"/>
          <w:color w:val="auto"/>
        </w:rPr>
        <w:t>for in this Section.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201" w:lineRule="exact"/>
        <w:rPr>
          <w:sz w:val="20"/>
          <w:szCs w:val="20"/>
          <w:color w:val="auto"/>
        </w:rPr>
      </w:pPr>
    </w:p>
    <w:p>
      <w:pPr>
        <w:ind w:right="2079" w:firstLine="520"/>
        <w:spacing w:after="0" w:line="246" w:lineRule="auto"/>
        <w:tabs>
          <w:tab w:leader="none" w:pos="927"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Brown &amp; Wood, counsel for the Underwriters, shall have furnished to the Representatives such opinion or opinions, dated the Time of Delivery for such Designated Securities, with respect to the organization of the Company, the validity of the Indenture, the Designated Securities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w:t>
      </w:r>
    </w:p>
    <w:p>
      <w:pPr>
        <w:spacing w:after="0" w:line="203" w:lineRule="exact"/>
        <w:rPr>
          <w:rFonts w:ascii="Courier New" w:cs="Courier New" w:eastAsia="Courier New" w:hAnsi="Courier New"/>
          <w:sz w:val="17"/>
          <w:szCs w:val="17"/>
          <w:color w:val="auto"/>
        </w:rPr>
      </w:pPr>
    </w:p>
    <w:p>
      <w:pPr>
        <w:ind w:left="4020" w:hanging="205"/>
        <w:spacing w:after="0"/>
        <w:tabs>
          <w:tab w:leader="none" w:pos="4020" w:val="left"/>
        </w:tabs>
        <w:numPr>
          <w:ilvl w:val="2"/>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15 -</w:t>
      </w:r>
    </w:p>
    <w:p>
      <w:pPr>
        <w:sectPr>
          <w:pgSz w:w="11900" w:h="16838" w:orient="portrait"/>
          <w:cols w:equalWidth="0" w:num="1">
            <w:col w:w="10219"/>
          </w:cols>
          <w:pgMar w:left="240" w:top="709" w:right="1440" w:bottom="1440" w:gutter="0" w:footer="0" w:header="0"/>
        </w:sectPr>
      </w:pPr>
    </w:p>
    <w:bookmarkStart w:id="50" w:name="page51"/>
    <w:bookmarkEnd w:id="50"/>
    <w:p>
      <w:pPr>
        <w:ind w:left="-1035" w:right="2499" w:firstLine="1035"/>
        <w:spacing w:after="0" w:line="246" w:lineRule="auto"/>
        <w:tabs>
          <w:tab w:leader="none" w:pos="509"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Kirkpatrick &amp; Lockhart, counsel for the Company, shall have furnished to the Representatives their written opinion, dated the Time of Delivery for such Designated Securities, in form and substance satisfactory to the Representatives, to the effect that:</w:t>
      </w:r>
    </w:p>
    <w:p>
      <w:pPr>
        <w:spacing w:after="0" w:line="200" w:lineRule="exact"/>
        <w:rPr>
          <w:rFonts w:ascii="Courier New" w:cs="Courier New" w:eastAsia="Courier New" w:hAnsi="Courier New"/>
          <w:sz w:val="17"/>
          <w:szCs w:val="17"/>
          <w:color w:val="auto"/>
        </w:rPr>
      </w:pPr>
    </w:p>
    <w:p>
      <w:pPr>
        <w:ind w:left="5" w:right="1979" w:firstLine="510"/>
        <w:spacing w:after="0" w:line="246" w:lineRule="auto"/>
        <w:tabs>
          <w:tab w:leader="none" w:pos="1035"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is validly existing as a business trust in good standing under the laws of the District of Columbia, with full power and authority to own its properties and conduct its business as described in the Prospectus; the Subsidiary has been duly organized and is validly existing as a corporation in good standing under the laws of the state of Maryland with full power and authority to own its properties and conduct its business as described in the Prospectus; all of the issued and outstanding capital stock of the Subsidiary has been duly authorized and validly issued, is fully paid and non-assessable and is owned by the Company free and clear of all pledges, liens, encumbrances, claims and security interests; the Partnerships have been duly formed and are validly existing as limited partnerships, general partnerships or joint ventures, as the case may be; the limited partnerships and general partnerships are in good standing under the laws of the jurisdictions of their organization; the Partnerships have power and authority to own their properties and conduct their businesses as described in the Prospectus; to the best of such counsel's knowledge, the equity interests in the Partnerships which are owned by the Company are owned free and clear of all pledges, liens, encumbrances, claims and security interests, and to the best of such counsel's knowledge, no options, warrants or other rights to convert any obligations into partnership or other ownership interests in the Partnerships are outstanding; and the Company, the Subsidiary and the Partnerships are duly qualified to transact business in all jurisdictions in which the Company, the Subsidiary and the Partnerships are, to such counsel's knowledge, transacting business and in which the conduct of their respective businesses requires such qualification; and the conditions for use of a registration statement on Form S-3 have been satisfied;</w:t>
      </w:r>
    </w:p>
    <w:p>
      <w:pPr>
        <w:spacing w:after="0" w:line="215" w:lineRule="exact"/>
        <w:rPr>
          <w:rFonts w:ascii="Courier New" w:cs="Courier New" w:eastAsia="Courier New" w:hAnsi="Courier New"/>
          <w:sz w:val="17"/>
          <w:szCs w:val="17"/>
          <w:color w:val="auto"/>
        </w:rPr>
      </w:pPr>
    </w:p>
    <w:p>
      <w:pPr>
        <w:ind w:left="2985" w:hanging="205"/>
        <w:spacing w:after="0"/>
        <w:tabs>
          <w:tab w:leader="none" w:pos="2985" w:val="left"/>
        </w:tabs>
        <w:numPr>
          <w:ilvl w:val="2"/>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16 -</w:t>
      </w:r>
    </w:p>
    <w:p>
      <w:pPr>
        <w:sectPr>
          <w:pgSz w:w="11900" w:h="16838" w:orient="portrait"/>
          <w:cols w:equalWidth="0" w:num="1">
            <w:col w:w="9184"/>
          </w:cols>
          <w:pgMar w:left="1275" w:top="709" w:right="1440" w:bottom="1440" w:gutter="0" w:footer="0" w:header="0"/>
        </w:sectPr>
      </w:pPr>
    </w:p>
    <w:bookmarkStart w:id="51" w:name="page52"/>
    <w:bookmarkEnd w:id="51"/>
    <w:p>
      <w:pPr>
        <w:ind w:left="-160" w:right="1979" w:firstLine="407"/>
        <w:spacing w:after="0" w:line="246" w:lineRule="auto"/>
        <w:tabs>
          <w:tab w:leader="none" w:pos="87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authorized capitalization as set forth in the Prospectus as amended or supplemented and all of the issued shares of capital stock of the Company have been duly and validly authorized and issued and are fully paid and, except as set forth in the Prospectus under the captions "Description of Common Shares-- Shareholder Liability" and "Description of Preferred Shares-- Shareholder Liability", non-assessable;</w:t>
      </w:r>
    </w:p>
    <w:p>
      <w:pPr>
        <w:spacing w:after="0" w:line="202" w:lineRule="exact"/>
        <w:rPr>
          <w:rFonts w:ascii="Courier New" w:cs="Courier New" w:eastAsia="Courier New" w:hAnsi="Courier New"/>
          <w:sz w:val="17"/>
          <w:szCs w:val="17"/>
          <w:color w:val="auto"/>
        </w:rPr>
      </w:pPr>
    </w:p>
    <w:p>
      <w:pPr>
        <w:ind w:left="-160" w:right="1979" w:firstLine="304"/>
        <w:spacing w:after="0" w:line="246" w:lineRule="auto"/>
        <w:tabs>
          <w:tab w:leader="none" w:pos="87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best of such counsel's knowledge and other than as set forth in the Prospectus, there are no legal or governmental proceedings pending to which the Company, the Subsidiary or any of the Partnerships is a party or of which any property of the Company, the Subsidiary or any of the Partnerships is the subject which, if determined adversely to the Company, the Subsidiary or any of the Partnerships, would individually or in the aggregate have a material adverse effect on the consolidated financial position, shareholders' equity or results of operations of the Company, the Subsidiary and the Partnerships; and, to the best of such counsel's knowledge, no such proceedings are threatened or contemplated by governmental authorities or threatened by others;</w:t>
      </w:r>
    </w:p>
    <w:p>
      <w:pPr>
        <w:spacing w:after="0" w:line="205" w:lineRule="exact"/>
        <w:rPr>
          <w:rFonts w:ascii="Courier New" w:cs="Courier New" w:eastAsia="Courier New" w:hAnsi="Courier New"/>
          <w:sz w:val="17"/>
          <w:szCs w:val="17"/>
          <w:color w:val="auto"/>
        </w:rPr>
      </w:pPr>
    </w:p>
    <w:p>
      <w:pPr>
        <w:ind w:left="-160" w:right="1979" w:firstLine="407"/>
        <w:spacing w:after="0" w:line="246" w:lineRule="auto"/>
        <w:tabs>
          <w:tab w:leader="none" w:pos="87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Pricing Agreement with respect to the Designated Securities have been duly authorized, executed and delivered by the Company;</w:t>
      </w:r>
    </w:p>
    <w:p>
      <w:pPr>
        <w:spacing w:after="0" w:line="199" w:lineRule="exact"/>
        <w:rPr>
          <w:rFonts w:ascii="Courier New" w:cs="Courier New" w:eastAsia="Courier New" w:hAnsi="Courier New"/>
          <w:sz w:val="17"/>
          <w:szCs w:val="17"/>
          <w:color w:val="auto"/>
        </w:rPr>
      </w:pPr>
    </w:p>
    <w:p>
      <w:pPr>
        <w:ind w:left="-160" w:right="1979" w:firstLine="510"/>
        <w:spacing w:after="0" w:line="246" w:lineRule="auto"/>
        <w:tabs>
          <w:tab w:leader="none" w:pos="87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Designated Securities have been duly authorized, executed, authenticated, issued and delivered and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201" w:lineRule="exact"/>
        <w:rPr>
          <w:rFonts w:ascii="Courier New" w:cs="Courier New" w:eastAsia="Courier New" w:hAnsi="Courier New"/>
          <w:sz w:val="17"/>
          <w:szCs w:val="17"/>
          <w:color w:val="auto"/>
        </w:rPr>
      </w:pPr>
    </w:p>
    <w:p>
      <w:pPr>
        <w:ind w:left="-160" w:right="1979" w:firstLine="407"/>
        <w:spacing w:after="0" w:line="246" w:lineRule="auto"/>
        <w:tabs>
          <w:tab w:leader="none" w:pos="87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Indenture has been duly authorized, executed and delivered by the parties thereto and constitutes a valid and legally binding instrument, enforceable in accordance with its terms, subject, as to enforcement, to bankruptcy, insolvency, reorganization and other laws of general applicability relating to or</w:t>
      </w:r>
    </w:p>
    <w:p>
      <w:pPr>
        <w:spacing w:after="0" w:line="200" w:lineRule="exact"/>
        <w:rPr>
          <w:rFonts w:ascii="Courier New" w:cs="Courier New" w:eastAsia="Courier New" w:hAnsi="Courier New"/>
          <w:sz w:val="17"/>
          <w:szCs w:val="17"/>
          <w:color w:val="auto"/>
        </w:rPr>
      </w:pPr>
    </w:p>
    <w:p>
      <w:pPr>
        <w:ind w:left="2820" w:hanging="205"/>
        <w:spacing w:after="0"/>
        <w:tabs>
          <w:tab w:leader="none" w:pos="282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17 -</w:t>
      </w:r>
    </w:p>
    <w:p>
      <w:pPr>
        <w:sectPr>
          <w:pgSz w:w="11900" w:h="16838" w:orient="portrait"/>
          <w:cols w:equalWidth="0" w:num="1">
            <w:col w:w="9019"/>
          </w:cols>
          <w:pgMar w:left="1440" w:top="709" w:right="1440" w:bottom="1440" w:gutter="0" w:footer="0" w:header="0"/>
        </w:sectPr>
      </w:pPr>
    </w:p>
    <w:bookmarkStart w:id="52" w:name="page53"/>
    <w:bookmarkEnd w:id="52"/>
    <w:p>
      <w:pPr>
        <w:ind w:right="2079"/>
        <w:spacing w:after="0" w:line="247" w:lineRule="auto"/>
        <w:rPr>
          <w:sz w:val="20"/>
          <w:szCs w:val="20"/>
          <w:color w:val="auto"/>
        </w:rPr>
      </w:pPr>
      <w:r>
        <w:rPr>
          <w:rFonts w:ascii="Courier New" w:cs="Courier New" w:eastAsia="Courier New" w:hAnsi="Courier New"/>
          <w:sz w:val="17"/>
          <w:szCs w:val="17"/>
          <w:color w:val="auto"/>
        </w:rPr>
        <w:t>affecting creditors' rights and to general equity principles; and the Indenture has been duly qualified under the Trust Indenture Act;</w:t>
      </w:r>
    </w:p>
    <w:p>
      <w:pPr>
        <w:spacing w:after="0" w:line="198" w:lineRule="exact"/>
        <w:rPr>
          <w:sz w:val="20"/>
          <w:szCs w:val="20"/>
          <w:color w:val="auto"/>
        </w:rPr>
      </w:pPr>
    </w:p>
    <w:p>
      <w:pPr>
        <w:ind w:right="1979" w:firstLine="304"/>
        <w:spacing w:after="0" w:line="246" w:lineRule="auto"/>
        <w:tabs>
          <w:tab w:leader="none" w:pos="103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 and sale of the Designated Securities being delivered at such Time of Delivery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the Subsidiary or any of the Partnerships is a party or by which the Company, the Subsidiary or any of the Partnerships is bound or to which any of the property or assets of the Company, the Subsidiary or any of the Partnerships is subject, nor will such actions result in any violation of the provisions of the Declaration of Trust or By-laws of the Company or any statute or any order, rule or regulation known to such counsel of any court or governmental agency or body having jurisdiction over the Company, the Subsidiary or any of the Partnerships or any of their respective properties;</w:t>
      </w:r>
    </w:p>
    <w:p>
      <w:pPr>
        <w:spacing w:after="0" w:line="209" w:lineRule="exact"/>
        <w:rPr>
          <w:rFonts w:ascii="Courier New" w:cs="Courier New" w:eastAsia="Courier New" w:hAnsi="Courier New"/>
          <w:sz w:val="17"/>
          <w:szCs w:val="17"/>
          <w:color w:val="auto"/>
        </w:rPr>
      </w:pPr>
    </w:p>
    <w:p>
      <w:pPr>
        <w:ind w:right="2079" w:firstLine="201"/>
        <w:spacing w:after="0" w:line="246" w:lineRule="auto"/>
        <w:tabs>
          <w:tab w:leader="none" w:pos="103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authorization, order, registration or qualification of or with any court or governmental agency or body is required for the issue and sale of the Designated Securities being delivered at such Time of Delivery or the consummation by the Company of the transactions contemplated by this Agreement or the Pricing Agreement or the Indenture, except such as have been obtained under the Act and the Trust Indenture Act and except for the listing of the Designated Securities on the New York Stock Exchange, Inc. or other stock exchanges and such consents, approvals, authorizations, registrations or qualifications as may be required under state securities or Blue Sky laws in connection with the purchase and distribution of the Designated Securities by the Underwriters;</w:t>
      </w:r>
    </w:p>
    <w:p>
      <w:pPr>
        <w:spacing w:after="0" w:line="205" w:lineRule="exact"/>
        <w:rPr>
          <w:rFonts w:ascii="Courier New" w:cs="Courier New" w:eastAsia="Courier New" w:hAnsi="Courier New"/>
          <w:sz w:val="17"/>
          <w:szCs w:val="17"/>
          <w:color w:val="auto"/>
        </w:rPr>
      </w:pPr>
    </w:p>
    <w:p>
      <w:pPr>
        <w:ind w:left="2980" w:hanging="205"/>
        <w:spacing w:after="0"/>
        <w:tabs>
          <w:tab w:leader="none" w:pos="298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18 -</w:t>
      </w:r>
    </w:p>
    <w:p>
      <w:pPr>
        <w:sectPr>
          <w:pgSz w:w="11900" w:h="16838" w:orient="portrait"/>
          <w:cols w:equalWidth="0" w:num="1">
            <w:col w:w="9179"/>
          </w:cols>
          <w:pgMar w:left="1280" w:top="709" w:right="1440" w:bottom="1440" w:gutter="0" w:footer="0" w:header="0"/>
        </w:sectPr>
      </w:pPr>
    </w:p>
    <w:bookmarkStart w:id="53" w:name="page54"/>
    <w:bookmarkEnd w:id="53"/>
    <w:p>
      <w:pPr>
        <w:ind w:right="2179" w:firstLine="304"/>
        <w:spacing w:after="0" w:line="246" w:lineRule="auto"/>
        <w:tabs>
          <w:tab w:leader="none" w:pos="927"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under caption "Item 3. Legal Proceedings" in the Company's most recent Form 10-K filed with the Commission, and under the captions "Remuneration of Executive Officers and Trustees" and "Certain Transactions" in the Company's most recent Proxy Statement filed with the Commission, insofar as such statements constitute a summary of documents referred to therein or matters of law, are accurate summaries and fairly and correctly present the information called for with respect to such documents and matters;</w:t>
      </w:r>
    </w:p>
    <w:p>
      <w:pPr>
        <w:spacing w:after="0" w:line="202" w:lineRule="exact"/>
        <w:rPr>
          <w:rFonts w:ascii="Courier New" w:cs="Courier New" w:eastAsia="Courier New" w:hAnsi="Courier New"/>
          <w:sz w:val="17"/>
          <w:szCs w:val="17"/>
          <w:color w:val="auto"/>
        </w:rPr>
      </w:pPr>
    </w:p>
    <w:p>
      <w:pPr>
        <w:ind w:right="2399" w:firstLine="304"/>
        <w:spacing w:after="0" w:line="247" w:lineRule="auto"/>
        <w:tabs>
          <w:tab w:leader="none" w:pos="824"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investments of the Company described in the Prospectus are permitted investments under the Declaration of Trust;</w:t>
      </w:r>
    </w:p>
    <w:p>
      <w:pPr>
        <w:spacing w:after="0" w:line="197" w:lineRule="exact"/>
        <w:rPr>
          <w:rFonts w:ascii="Courier New" w:cs="Courier New" w:eastAsia="Courier New" w:hAnsi="Courier New"/>
          <w:sz w:val="17"/>
          <w:szCs w:val="17"/>
          <w:color w:val="auto"/>
        </w:rPr>
      </w:pPr>
    </w:p>
    <w:p>
      <w:pPr>
        <w:ind w:right="1979" w:firstLine="304"/>
        <w:spacing w:after="0" w:line="246" w:lineRule="auto"/>
        <w:tabs>
          <w:tab w:leader="none" w:pos="927"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they have no reason to believe that any of such documents, when they became effective or were so filed, as the case may be, contained, in the case of a registration statement which became effective under the Act, an untrue statement of a material 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208" w:lineRule="exact"/>
        <w:rPr>
          <w:rFonts w:ascii="Courier New" w:cs="Courier New" w:eastAsia="Courier New" w:hAnsi="Courier New"/>
          <w:sz w:val="17"/>
          <w:szCs w:val="17"/>
          <w:color w:val="auto"/>
        </w:rPr>
      </w:pPr>
    </w:p>
    <w:p>
      <w:pPr>
        <w:ind w:left="1020" w:hanging="716"/>
        <w:spacing w:after="0"/>
        <w:tabs>
          <w:tab w:leader="none" w:pos="10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and the Prospectus as amended</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or supplemented and any further amendments and supplements thereto made by the Company prior to the Time of Delivery for the Designated Securities (other than the financial statements and related schedules therein, as to</w:t>
      </w:r>
    </w:p>
    <w:p>
      <w:pPr>
        <w:spacing w:after="0" w:line="20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- 19 -</w:t>
      </w:r>
    </w:p>
    <w:p>
      <w:pPr>
        <w:sectPr>
          <w:pgSz w:w="11900" w:h="16838" w:orient="portrait"/>
          <w:cols w:equalWidth="0" w:num="1">
            <w:col w:w="9179"/>
          </w:cols>
          <w:pgMar w:left="1280" w:top="709" w:right="1440" w:bottom="1440" w:gutter="0" w:footer="0" w:header="0"/>
        </w:sectPr>
      </w:pPr>
    </w:p>
    <w:bookmarkStart w:id="54" w:name="page55"/>
    <w:bookmarkEnd w:id="54"/>
    <w:p>
      <w:pPr>
        <w:ind w:right="1979"/>
        <w:spacing w:after="0" w:line="246" w:lineRule="auto"/>
        <w:rPr>
          <w:sz w:val="20"/>
          <w:szCs w:val="20"/>
          <w:color w:val="auto"/>
        </w:rPr>
      </w:pPr>
      <w:r>
        <w:rPr>
          <w:rFonts w:ascii="Courier New" w:cs="Courier New" w:eastAsia="Courier New" w:hAnsi="Courier New"/>
          <w:sz w:val="17"/>
          <w:szCs w:val="17"/>
          <w:color w:val="auto"/>
        </w:rPr>
        <w:t>which such counsel need express no opinion) comply as to form in all material respects with the requirements of the Act and the Trust Indenture Act and the rules and regulations thereunder; if applicable, the Rule 434 Prospectus complies as to form in all material respects with the requirements of Rule 434 under the Act; they have no reason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18"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- 20 -</w:t>
      </w:r>
    </w:p>
    <w:p>
      <w:pPr>
        <w:sectPr>
          <w:pgSz w:w="11900" w:h="16838" w:orient="portrait"/>
          <w:cols w:equalWidth="0" w:num="1">
            <w:col w:w="9179"/>
          </w:cols>
          <w:pgMar w:left="1280" w:top="709" w:right="1440" w:bottom="1440" w:gutter="0" w:footer="0" w:header="0"/>
        </w:sectPr>
      </w:pPr>
    </w:p>
    <w:bookmarkStart w:id="55" w:name="page56"/>
    <w:bookmarkEnd w:id="55"/>
    <w:p>
      <w:pPr>
        <w:ind w:right="1979" w:firstLine="515"/>
        <w:spacing w:after="0" w:line="246" w:lineRule="auto"/>
        <w:rPr>
          <w:sz w:val="20"/>
          <w:szCs w:val="20"/>
          <w:color w:val="auto"/>
        </w:rPr>
      </w:pPr>
      <w:r>
        <w:rPr>
          <w:rFonts w:ascii="Courier New" w:cs="Courier New" w:eastAsia="Courier New" w:hAnsi="Courier New"/>
          <w:sz w:val="17"/>
          <w:szCs w:val="17"/>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201" w:lineRule="exact"/>
        <w:rPr>
          <w:sz w:val="20"/>
          <w:szCs w:val="20"/>
          <w:color w:val="auto"/>
        </w:rPr>
      </w:pPr>
    </w:p>
    <w:p>
      <w:pPr>
        <w:ind w:right="1979" w:firstLine="515"/>
        <w:spacing w:after="0" w:line="246" w:lineRule="auto"/>
        <w:tabs>
          <w:tab w:leader="none" w:pos="102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above opinion, the Representatives shall have received the opinion or opinions of Goodwin, Procter &amp; Hoar, Special Tax Counsel to the Company, or other counsel to the Company, dated the Time of Delivery for such Designated Securities, in form and substance satisfactory to the Representatives, to the effect that (1) the Company has qualified to be taxed as a real estate investment trust pursuant to Sections 856-860 of the Code, for the fiscal years ended December 31, 1985 through the date of its most recent fiscal year ended and that the form of organization of the Company and its current operations, assets and contemplated income are such that the Company is in a position under present law to so qualify for the current taxable year and should so qualify for such taxable year provided that the Company continues to meet the asset composition, source of income, shareholder diversification, distributions, record-keeping and other requirements of the Code necessary for the Company to qualify as a real estate investment trust and (2) such Special Tax Counsel concurs with the accuracy of the legal statements set forth in "Description of Common Shares--REIT Qualification" and "--Federal Income Tax Considerations"</w:t>
      </w:r>
    </w:p>
    <w:p>
      <w:pPr>
        <w:spacing w:after="0" w:line="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the Prospectus. In rendering its opinion pursuant to paragraph</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Goodwin, Procter &amp; Hoar may rely exclusively (and without any investigation on its part) on the opinion of Kirkpatrick &amp; Lockhart dated April 30, 1987, with respect to the qualification of the Company as a real estate investment trust for the fiscal years ended December 31, 1982 through December 31, 1986.</w:t>
      </w:r>
    </w:p>
    <w:p>
      <w:pPr>
        <w:spacing w:after="0" w:line="200"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of the Pricing Agreement for such Designated Securities and at the Time of Delivery for such Designated Securities, the independent accountants of the Company who have certified the financial statements of the Company included or incorporated by reference in the Registration Statement shall have furnished to the Representatives a letter, dated the effective date of the Registration Statement or the date of the most recent report filed with the Commis-</w:t>
      </w:r>
    </w:p>
    <w:p>
      <w:pPr>
        <w:spacing w:after="0" w:line="202"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21 -</w:t>
      </w:r>
    </w:p>
    <w:p>
      <w:pPr>
        <w:sectPr>
          <w:pgSz w:w="11900" w:h="16838" w:orient="portrait"/>
          <w:cols w:equalWidth="0" w:num="1">
            <w:col w:w="9699"/>
          </w:cols>
          <w:pgMar w:left="760" w:top="709" w:right="1440" w:bottom="1440" w:gutter="0" w:footer="0" w:header="0"/>
        </w:sectPr>
      </w:pPr>
    </w:p>
    <w:bookmarkStart w:id="56" w:name="page57"/>
    <w:bookmarkEnd w:id="56"/>
    <w:p>
      <w:pPr>
        <w:ind w:right="2079"/>
        <w:spacing w:after="0" w:line="246" w:lineRule="auto"/>
        <w:rPr>
          <w:sz w:val="20"/>
          <w:szCs w:val="20"/>
          <w:color w:val="auto"/>
        </w:rPr>
      </w:pPr>
      <w:r>
        <w:rPr>
          <w:rFonts w:ascii="Courier New" w:cs="Courier New" w:eastAsia="Courier New" w:hAnsi="Courier New"/>
          <w:sz w:val="17"/>
          <w:szCs w:val="17"/>
          <w:color w:val="auto"/>
        </w:rPr>
        <w:t>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202" w:lineRule="exact"/>
        <w:rPr>
          <w:sz w:val="20"/>
          <w:szCs w:val="20"/>
          <w:color w:val="auto"/>
        </w:rPr>
      </w:pPr>
    </w:p>
    <w:p>
      <w:pPr>
        <w:ind w:right="1979" w:firstLine="515"/>
        <w:spacing w:after="0" w:line="246" w:lineRule="auto"/>
        <w:tabs>
          <w:tab w:leader="none" w:pos="1029"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None of the Company, the Subsidiary or any of the Partnerships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the Subsidiary or any of the Partnerships or any change, or any development involving a prospective change, in or affecting the general affairs, management, financial position, shareholders' equity or results of operations of the Company, the Subsidiary and the Partnerships,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210"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w:t>
      </w:r>
    </w:p>
    <w:p>
      <w:pPr>
        <w:spacing w:after="0" w:line="2" w:lineRule="exact"/>
        <w:rPr>
          <w:rFonts w:ascii="Courier New" w:cs="Courier New" w:eastAsia="Courier New" w:hAnsi="Courier New"/>
          <w:sz w:val="17"/>
          <w:szCs w:val="17"/>
          <w:color w:val="auto"/>
        </w:rPr>
      </w:pPr>
    </w:p>
    <w:p>
      <w:pPr>
        <w:ind w:right="2179"/>
        <w:spacing w:after="0" w:line="247" w:lineRule="auto"/>
        <w:tabs>
          <w:tab w:leader="none" w:pos="51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organization shall have publicly announced that it has under surveillance or review, with possible</w:t>
      </w:r>
    </w:p>
    <w:p>
      <w:pPr>
        <w:spacing w:after="0" w:line="197"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22 -</w:t>
      </w:r>
    </w:p>
    <w:p>
      <w:pPr>
        <w:sectPr>
          <w:pgSz w:w="11900" w:h="16838" w:orient="portrait"/>
          <w:cols w:equalWidth="0" w:num="1">
            <w:col w:w="9699"/>
          </w:cols>
          <w:pgMar w:left="760" w:top="709" w:right="1440" w:bottom="1440" w:gutter="0" w:footer="0" w:header="0"/>
        </w:sectPr>
      </w:pPr>
    </w:p>
    <w:bookmarkStart w:id="57" w:name="page58"/>
    <w:bookmarkEnd w:id="57"/>
    <w:p>
      <w:pPr>
        <w:ind w:right="2179"/>
        <w:spacing w:after="0" w:line="247" w:lineRule="auto"/>
        <w:rPr>
          <w:sz w:val="20"/>
          <w:szCs w:val="20"/>
          <w:color w:val="auto"/>
        </w:rPr>
      </w:pPr>
      <w:r>
        <w:rPr>
          <w:rFonts w:ascii="Courier New" w:cs="Courier New" w:eastAsia="Courier New" w:hAnsi="Courier New"/>
          <w:sz w:val="17"/>
          <w:szCs w:val="17"/>
          <w:color w:val="auto"/>
        </w:rPr>
        <w:t>negative implications, its rating of any of the Company's debt securities or preferred shares;</w:t>
      </w:r>
    </w:p>
    <w:p>
      <w:pPr>
        <w:spacing w:after="0" w:line="198" w:lineRule="exact"/>
        <w:rPr>
          <w:sz w:val="20"/>
          <w:szCs w:val="20"/>
          <w:color w:val="auto"/>
        </w:rPr>
      </w:pPr>
    </w:p>
    <w:p>
      <w:pPr>
        <w:ind w:right="2179" w:firstLine="515"/>
        <w:spacing w:after="0" w:line="246" w:lineRule="auto"/>
        <w:tabs>
          <w:tab w:leader="none" w:pos="1029"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after the date of the Pricing Agreement relating to the Designated Securities there shall not have occurred any of the following:</w:t>
      </w:r>
    </w:p>
    <w:p>
      <w:pPr>
        <w:spacing w:after="0" w:line="1" w:lineRule="exact"/>
        <w:rPr>
          <w:rFonts w:ascii="Courier New" w:cs="Courier New" w:eastAsia="Courier New" w:hAnsi="Courier New"/>
          <w:sz w:val="17"/>
          <w:szCs w:val="17"/>
          <w:color w:val="auto"/>
        </w:rPr>
      </w:pPr>
    </w:p>
    <w:p>
      <w:pPr>
        <w:ind w:right="1979"/>
        <w:spacing w:after="0" w:line="246" w:lineRule="auto"/>
        <w:tabs>
          <w:tab w:leader="none" w:pos="412"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suspension or material limitation in trading in securities generally on the New York Stock Exchange; (ii) a suspension or material limitation in trading in the Company's securities on the New York Stock Exchange; (iii) 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204"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complied with the provisions of Section 5(c) hereof with respect to the furnishing of prospectuses on the New York business day next succeeding the date of the applicable Pricing Agreement; and</w:t>
      </w:r>
    </w:p>
    <w:p>
      <w:pPr>
        <w:spacing w:after="0" w:line="200"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203" w:lineRule="exact"/>
        <w:rPr>
          <w:sz w:val="20"/>
          <w:szCs w:val="20"/>
          <w:color w:val="auto"/>
        </w:rPr>
      </w:pPr>
    </w:p>
    <w:p>
      <w:pPr>
        <w:ind w:right="1979" w:firstLine="515"/>
        <w:spacing w:after="0" w:line="246" w:lineRule="auto"/>
        <w:tabs>
          <w:tab w:leader="none" w:pos="926"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w:t>
      </w:r>
    </w:p>
    <w:p>
      <w:pPr>
        <w:spacing w:after="0" w:line="200"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23 -</w:t>
      </w:r>
    </w:p>
    <w:p>
      <w:pPr>
        <w:sectPr>
          <w:pgSz w:w="11900" w:h="16838" w:orient="portrait"/>
          <w:cols w:equalWidth="0" w:num="1">
            <w:col w:w="9699"/>
          </w:cols>
          <w:pgMar w:left="760" w:top="709" w:right="1440" w:bottom="1440" w:gutter="0" w:footer="0" w:header="0"/>
        </w:sectPr>
      </w:pPr>
    </w:p>
    <w:bookmarkStart w:id="58" w:name="page59"/>
    <w:bookmarkEnd w:id="58"/>
    <w:p>
      <w:pPr>
        <w:ind w:right="1979"/>
        <w:spacing w:after="0" w:line="246" w:lineRule="auto"/>
        <w:rPr>
          <w:sz w:val="20"/>
          <w:szCs w:val="20"/>
          <w:color w:val="auto"/>
        </w:rPr>
      </w:pPr>
      <w:r>
        <w:rPr>
          <w:rFonts w:ascii="Courier New" w:cs="Courier New" w:eastAsia="Courier New" w:hAnsi="Courier New"/>
          <w:sz w:val="17"/>
          <w:szCs w:val="17"/>
          <w:color w:val="auto"/>
        </w:rPr>
        <w:t>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212" w:lineRule="exact"/>
        <w:rPr>
          <w:sz w:val="20"/>
          <w:szCs w:val="20"/>
          <w:color w:val="auto"/>
        </w:rPr>
      </w:pPr>
    </w:p>
    <w:p>
      <w:pPr>
        <w:ind w:right="1979" w:firstLine="515"/>
        <w:spacing w:after="0" w:line="246" w:lineRule="auto"/>
        <w:tabs>
          <w:tab w:leader="none" w:pos="1029"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w:t>
      </w:r>
    </w:p>
    <w:p>
      <w:pPr>
        <w:spacing w:after="0" w:line="205"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24 -</w:t>
      </w:r>
    </w:p>
    <w:p>
      <w:pPr>
        <w:sectPr>
          <w:pgSz w:w="11900" w:h="16838" w:orient="portrait"/>
          <w:cols w:equalWidth="0" w:num="1">
            <w:col w:w="9699"/>
          </w:cols>
          <w:pgMar w:left="760" w:top="709" w:right="1440" w:bottom="1440" w:gutter="0" w:footer="0" w:header="0"/>
        </w:sectPr>
      </w:pPr>
    </w:p>
    <w:bookmarkStart w:id="59" w:name="page60"/>
    <w:bookmarkEnd w:id="59"/>
    <w:p>
      <w:pPr>
        <w:ind w:right="1979"/>
        <w:spacing w:after="0" w:line="246" w:lineRule="auto"/>
        <w:rPr>
          <w:sz w:val="20"/>
          <w:szCs w:val="20"/>
          <w:color w:val="auto"/>
        </w:rPr>
      </w:pPr>
      <w:r>
        <w:rPr>
          <w:rFonts w:ascii="Courier New" w:cs="Courier New" w:eastAsia="Courier New" w:hAnsi="Courier New"/>
          <w:sz w:val="17"/>
          <w:szCs w:val="17"/>
          <w:color w:val="auto"/>
        </w:rPr>
        <w:t>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205" w:lineRule="exact"/>
        <w:rPr>
          <w:sz w:val="20"/>
          <w:szCs w:val="20"/>
          <w:color w:val="auto"/>
        </w:rPr>
      </w:pPr>
    </w:p>
    <w:p>
      <w:pPr>
        <w:ind w:left="1020" w:hanging="505"/>
        <w:spacing w:after="0"/>
        <w:tabs>
          <w:tab w:leader="none" w:pos="102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receipt by an indemnified party under subsection</w:t>
      </w:r>
    </w:p>
    <w:p>
      <w:pPr>
        <w:spacing w:after="0" w:line="5" w:lineRule="exact"/>
        <w:rPr>
          <w:rFonts w:ascii="Courier New" w:cs="Courier New" w:eastAsia="Courier New" w:hAnsi="Courier New"/>
          <w:sz w:val="17"/>
          <w:szCs w:val="17"/>
          <w:color w:val="auto"/>
        </w:rPr>
      </w:pPr>
    </w:p>
    <w:p>
      <w:pPr>
        <w:ind w:right="1979"/>
        <w:spacing w:after="0" w:line="246" w:lineRule="auto"/>
        <w:tabs>
          <w:tab w:leader="none" w:pos="41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w:t>
      </w:r>
    </w:p>
    <w:p>
      <w:pPr>
        <w:spacing w:after="0" w:line="209"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25 -</w:t>
      </w:r>
    </w:p>
    <w:p>
      <w:pPr>
        <w:sectPr>
          <w:pgSz w:w="11900" w:h="16838" w:orient="portrait"/>
          <w:cols w:equalWidth="0" w:num="1">
            <w:col w:w="9699"/>
          </w:cols>
          <w:pgMar w:left="760" w:top="709" w:right="1440" w:bottom="1440" w:gutter="0" w:footer="0" w:header="0"/>
        </w:sectPr>
      </w:pPr>
    </w:p>
    <w:bookmarkStart w:id="60" w:name="page61"/>
    <w:bookmarkEnd w:id="60"/>
    <w:p>
      <w:pPr>
        <w:ind w:right="1979" w:firstLine="515"/>
        <w:spacing w:after="0" w:line="246" w:lineRule="auto"/>
        <w:tabs>
          <w:tab w:leader="none" w:pos="102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w:t>
      </w:r>
    </w:p>
    <w:p>
      <w:pPr>
        <w:spacing w:after="0" w:line="10"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w:t>
      </w:r>
    </w:p>
    <w:p>
      <w:pPr>
        <w:spacing w:after="0" w:line="209"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26 -</w:t>
      </w:r>
    </w:p>
    <w:p>
      <w:pPr>
        <w:sectPr>
          <w:pgSz w:w="11900" w:h="16838" w:orient="portrait"/>
          <w:cols w:equalWidth="0" w:num="1">
            <w:col w:w="9699"/>
          </w:cols>
          <w:pgMar w:left="760" w:top="709" w:right="1440" w:bottom="1440" w:gutter="0" w:footer="0" w:header="0"/>
        </w:sectPr>
      </w:pPr>
    </w:p>
    <w:bookmarkStart w:id="61" w:name="page62"/>
    <w:bookmarkEnd w:id="61"/>
    <w:p>
      <w:pPr>
        <w:ind w:right="1979"/>
        <w:spacing w:after="0" w:line="246" w:lineRule="auto"/>
        <w:rPr>
          <w:sz w:val="20"/>
          <w:szCs w:val="20"/>
          <w:color w:val="auto"/>
        </w:rPr>
      </w:pPr>
      <w:r>
        <w:rPr>
          <w:rFonts w:ascii="Courier New" w:cs="Courier New" w:eastAsia="Courier New" w:hAnsi="Courier New"/>
          <w:sz w:val="17"/>
          <w:szCs w:val="17"/>
          <w:color w:val="auto"/>
        </w:rPr>
        <w:t>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9" w:lineRule="exact"/>
        <w:rPr>
          <w:sz w:val="20"/>
          <w:szCs w:val="20"/>
          <w:color w:val="auto"/>
        </w:rPr>
      </w:pPr>
    </w:p>
    <w:p>
      <w:pPr>
        <w:ind w:right="1979" w:firstLine="515"/>
        <w:spacing w:after="0" w:line="246" w:lineRule="auto"/>
        <w:tabs>
          <w:tab w:leader="none" w:pos="1029"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w:t>
      </w:r>
    </w:p>
    <w:p>
      <w:pPr>
        <w:spacing w:after="0" w:line="2"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200" w:lineRule="exact"/>
        <w:rPr>
          <w:sz w:val="20"/>
          <w:szCs w:val="20"/>
          <w:color w:val="auto"/>
        </w:rPr>
      </w:pPr>
    </w:p>
    <w:p>
      <w:pPr>
        <w:ind w:right="2079" w:firstLine="515"/>
        <w:spacing w:after="0" w:line="246" w:lineRule="auto"/>
        <w:tabs>
          <w:tab w:leader="none" w:pos="926"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w:t>
      </w:r>
    </w:p>
    <w:p>
      <w:pPr>
        <w:spacing w:after="0" w:line="202"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27 -</w:t>
      </w:r>
    </w:p>
    <w:p>
      <w:pPr>
        <w:sectPr>
          <w:pgSz w:w="11900" w:h="16838" w:orient="portrait"/>
          <w:cols w:equalWidth="0" w:num="1">
            <w:col w:w="9699"/>
          </w:cols>
          <w:pgMar w:left="760" w:top="709" w:right="1440" w:bottom="1440" w:gutter="0" w:footer="0" w:header="0"/>
        </w:sectPr>
      </w:pPr>
    </w:p>
    <w:bookmarkStart w:id="62" w:name="page63"/>
    <w:bookmarkEnd w:id="62"/>
    <w:p>
      <w:pPr>
        <w:ind w:right="1979"/>
        <w:spacing w:after="0" w:line="246" w:lineRule="auto"/>
        <w:rPr>
          <w:sz w:val="20"/>
          <w:szCs w:val="20"/>
          <w:color w:val="auto"/>
        </w:rPr>
      </w:pPr>
      <w:r>
        <w:rPr>
          <w:rFonts w:ascii="Courier New" w:cs="Courier New" w:eastAsia="Courier New" w:hAnsi="Courier New"/>
          <w:sz w:val="17"/>
          <w:szCs w:val="17"/>
          <w:color w:val="auto"/>
        </w:rPr>
        <w:t>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209" w:lineRule="exact"/>
        <w:rPr>
          <w:sz w:val="20"/>
          <w:szCs w:val="20"/>
          <w:color w:val="auto"/>
        </w:rPr>
      </w:pPr>
    </w:p>
    <w:p>
      <w:pPr>
        <w:ind w:right="1979" w:firstLine="515"/>
        <w:spacing w:after="0" w:line="246" w:lineRule="auto"/>
        <w:tabs>
          <w:tab w:leader="none" w:pos="102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206"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28 -</w:t>
      </w:r>
    </w:p>
    <w:p>
      <w:pPr>
        <w:sectPr>
          <w:pgSz w:w="11900" w:h="16838" w:orient="portrait"/>
          <w:cols w:equalWidth="0" w:num="1">
            <w:col w:w="9699"/>
          </w:cols>
          <w:pgMar w:left="760" w:top="709" w:right="1440" w:bottom="1440" w:gutter="0" w:footer="0" w:header="0"/>
        </w:sectPr>
      </w:pPr>
    </w:p>
    <w:bookmarkStart w:id="63" w:name="page64"/>
    <w:bookmarkEnd w:id="63"/>
    <w:p>
      <w:pPr>
        <w:ind w:right="1979" w:firstLine="515"/>
        <w:spacing w:after="0" w:line="246" w:lineRule="auto"/>
        <w:tabs>
          <w:tab w:leader="none" w:pos="1029"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206" w:lineRule="exact"/>
        <w:rPr>
          <w:rFonts w:ascii="Courier New" w:cs="Courier New" w:eastAsia="Courier New" w:hAnsi="Courier New"/>
          <w:sz w:val="17"/>
          <w:szCs w:val="17"/>
          <w:color w:val="auto"/>
        </w:rPr>
      </w:pPr>
    </w:p>
    <w:p>
      <w:pPr>
        <w:ind w:left="-520" w:right="1979" w:firstLine="520"/>
        <w:spacing w:after="0" w:line="246" w:lineRule="auto"/>
        <w:tabs>
          <w:tab w:leader="none" w:pos="50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202" w:lineRule="exact"/>
        <w:rPr>
          <w:rFonts w:ascii="Courier New" w:cs="Courier New" w:eastAsia="Courier New" w:hAnsi="Courier New"/>
          <w:sz w:val="17"/>
          <w:szCs w:val="17"/>
          <w:color w:val="auto"/>
        </w:rPr>
      </w:pPr>
    </w:p>
    <w:p>
      <w:pPr>
        <w:ind w:left="-520" w:right="1979" w:firstLine="520"/>
        <w:spacing w:after="0" w:line="246" w:lineRule="auto"/>
        <w:tabs>
          <w:tab w:leader="none" w:pos="50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hereof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w:t>
      </w:r>
    </w:p>
    <w:p>
      <w:pPr>
        <w:spacing w:after="0" w:line="203"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29 -</w:t>
      </w:r>
    </w:p>
    <w:p>
      <w:pPr>
        <w:sectPr>
          <w:pgSz w:w="11900" w:h="16838" w:orient="portrait"/>
          <w:cols w:equalWidth="0" w:num="1">
            <w:col w:w="9699"/>
          </w:cols>
          <w:pgMar w:left="760" w:top="709" w:right="1440" w:bottom="1440" w:gutter="0" w:footer="0" w:header="0"/>
        </w:sectPr>
      </w:pPr>
    </w:p>
    <w:bookmarkStart w:id="64" w:name="page65"/>
    <w:bookmarkEnd w:id="64"/>
    <w:p>
      <w:pPr>
        <w:ind w:right="2399"/>
        <w:spacing w:after="0" w:line="246" w:lineRule="auto"/>
        <w:rPr>
          <w:sz w:val="20"/>
          <w:szCs w:val="20"/>
          <w:color w:val="auto"/>
        </w:rPr>
      </w:pPr>
      <w:r>
        <w:rPr>
          <w:rFonts w:ascii="Courier New" w:cs="Courier New" w:eastAsia="Courier New" w:hAnsi="Courier New"/>
          <w:sz w:val="17"/>
          <w:szCs w:val="17"/>
          <w:color w:val="auto"/>
        </w:rPr>
        <w:t>Securities, but the Company shall then be under no further liability to any Underwriter with respect to such Designated Securities except as provided in Section 6 and Section 8 hereof.</w:t>
      </w:r>
    </w:p>
    <w:p>
      <w:pPr>
        <w:spacing w:after="0" w:line="200" w:lineRule="exact"/>
        <w:rPr>
          <w:sz w:val="20"/>
          <w:szCs w:val="20"/>
          <w:color w:val="auto"/>
        </w:rPr>
      </w:pPr>
    </w:p>
    <w:p>
      <w:pPr>
        <w:ind w:right="2079" w:firstLine="520"/>
        <w:spacing w:after="0" w:line="246" w:lineRule="auto"/>
        <w:tabs>
          <w:tab w:leader="none" w:pos="1029"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205" w:lineRule="exact"/>
        <w:rPr>
          <w:sz w:val="20"/>
          <w:szCs w:val="20"/>
          <w:color w:val="auto"/>
        </w:rPr>
      </w:pPr>
    </w:p>
    <w:p>
      <w:pPr>
        <w:ind w:right="1979" w:firstLine="520"/>
        <w:spacing w:after="0" w:line="246" w:lineRule="auto"/>
        <w:tabs>
          <w:tab w:leader="none" w:pos="1029"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203" w:lineRule="exact"/>
        <w:rPr>
          <w:rFonts w:ascii="Courier New" w:cs="Courier New" w:eastAsia="Courier New" w:hAnsi="Courier New"/>
          <w:sz w:val="17"/>
          <w:szCs w:val="17"/>
          <w:color w:val="auto"/>
        </w:rPr>
      </w:pPr>
    </w:p>
    <w:p>
      <w:pPr>
        <w:ind w:right="2599" w:firstLine="520"/>
        <w:spacing w:after="0" w:line="246" w:lineRule="auto"/>
        <w:tabs>
          <w:tab w:leader="none" w:pos="1029"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shall be of the essence of each Pricing Agreement. As used herein, "business day" shall mean any day when the Commission's office in Washington, D.C. is open for business.</w:t>
      </w:r>
    </w:p>
    <w:p>
      <w:pPr>
        <w:spacing w:after="0" w:line="199" w:lineRule="exact"/>
        <w:rPr>
          <w:rFonts w:ascii="Courier New" w:cs="Courier New" w:eastAsia="Courier New" w:hAnsi="Courier New"/>
          <w:sz w:val="17"/>
          <w:szCs w:val="17"/>
          <w:color w:val="auto"/>
        </w:rPr>
      </w:pPr>
    </w:p>
    <w:p>
      <w:pPr>
        <w:ind w:left="4020" w:hanging="205"/>
        <w:spacing w:after="0"/>
        <w:tabs>
          <w:tab w:leader="none" w:pos="402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30 -</w:t>
      </w:r>
    </w:p>
    <w:p>
      <w:pPr>
        <w:sectPr>
          <w:pgSz w:w="11900" w:h="16838" w:orient="portrait"/>
          <w:cols w:equalWidth="0" w:num="1">
            <w:col w:w="10219"/>
          </w:cols>
          <w:pgMar w:left="240" w:top="709" w:right="1440" w:bottom="1440" w:gutter="0" w:footer="0" w:header="0"/>
        </w:sectPr>
      </w:pPr>
    </w:p>
    <w:bookmarkStart w:id="65" w:name="page66"/>
    <w:bookmarkEnd w:id="65"/>
    <w:p>
      <w:pPr>
        <w:ind w:left="-520" w:right="2399" w:firstLine="520"/>
        <w:spacing w:after="0" w:line="247" w:lineRule="auto"/>
        <w:tabs>
          <w:tab w:leader="none" w:pos="50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governed by and construed in accordance with the laws of the State of New York.</w:t>
      </w:r>
    </w:p>
    <w:p>
      <w:pPr>
        <w:spacing w:after="0" w:line="197" w:lineRule="exact"/>
        <w:rPr>
          <w:rFonts w:ascii="Courier New" w:cs="Courier New" w:eastAsia="Courier New" w:hAnsi="Courier New"/>
          <w:sz w:val="17"/>
          <w:szCs w:val="17"/>
          <w:color w:val="auto"/>
        </w:rPr>
      </w:pPr>
    </w:p>
    <w:p>
      <w:pPr>
        <w:ind w:left="-520" w:right="1979" w:firstLine="520"/>
        <w:spacing w:after="0" w:line="246" w:lineRule="auto"/>
        <w:tabs>
          <w:tab w:leader="none" w:pos="50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0"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31 -</w:t>
      </w:r>
    </w:p>
    <w:p>
      <w:pPr>
        <w:sectPr>
          <w:pgSz w:w="11900" w:h="16838" w:orient="portrait"/>
          <w:cols w:equalWidth="0" w:num="1">
            <w:col w:w="9699"/>
          </w:cols>
          <w:pgMar w:left="760" w:top="709" w:right="1440" w:bottom="1440" w:gutter="0" w:footer="0" w:header="0"/>
        </w:sectPr>
      </w:pPr>
    </w:p>
    <w:bookmarkStart w:id="66" w:name="page67"/>
    <w:bookmarkEnd w:id="66"/>
    <w:p>
      <w:pPr>
        <w:ind w:right="2079" w:firstLine="515"/>
        <w:spacing w:after="0" w:line="246" w:lineRule="auto"/>
        <w:rPr>
          <w:sz w:val="20"/>
          <w:szCs w:val="20"/>
          <w:color w:val="auto"/>
        </w:rPr>
      </w:pPr>
      <w:r>
        <w:rPr>
          <w:rFonts w:ascii="Courier New" w:cs="Courier New" w:eastAsia="Courier New" w:hAnsi="Courier New"/>
          <w:sz w:val="17"/>
          <w:szCs w:val="17"/>
          <w:color w:val="auto"/>
        </w:rPr>
        <w:t>Federal Realty Investment Trust is a business trust organized under District of Columbia law. Under the terms of Article VIII of the Company's Third Amended and Restated Declaration of Trust, all persons shall look solely to the Company's property, real, personal or otherwise, tangible or intangible, for the payment of any claim under or for the performance of this Agreement, and no trustee, officer, employee or agent of the Company shall be subject to any personal liability whatsoever, in tort, contract or otherwise in connection with the obligations of the Company hereunder.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to us [one for the Company and each of the Representatives plus one for each counsel] counterparts hereof.</w:t>
      </w:r>
    </w:p>
    <w:p>
      <w:pPr>
        <w:spacing w:after="0" w:line="398"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Representative]</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- 32 -</w:t>
      </w:r>
    </w:p>
    <w:p>
      <w:pPr>
        <w:sectPr>
          <w:pgSz w:w="11900" w:h="16838" w:orient="portrait"/>
          <w:cols w:equalWidth="0" w:num="1">
            <w:col w:w="10219"/>
          </w:cols>
          <w:pgMar w:left="240" w:top="709" w:right="1440" w:bottom="1440" w:gutter="0" w:footer="0" w:header="0"/>
        </w:sectPr>
      </w:pPr>
    </w:p>
    <w:bookmarkStart w:id="67" w:name="page68"/>
    <w:bookmarkEnd w:id="67"/>
    <w:p>
      <w:pPr>
        <w:jc w:val="right"/>
        <w:ind w:right="1979"/>
        <w:spacing w:after="0"/>
        <w:rPr>
          <w:sz w:val="20"/>
          <w:szCs w:val="20"/>
          <w:color w:val="auto"/>
        </w:rPr>
      </w:pPr>
      <w:r>
        <w:rPr>
          <w:rFonts w:ascii="Courier New" w:cs="Courier New" w:eastAsia="Courier New" w:hAnsi="Courier New"/>
          <w:sz w:val="17"/>
          <w:szCs w:val="17"/>
          <w:color w:val="auto"/>
        </w:rPr>
        <w:t>ANNEX I</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Pricing Agreement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As Representatives of the several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Underwriters named in Schedule I hereto,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 of Representative]</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_________________, 199_</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3"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Federal Realty Investment Trust, a business trust organized under the laws of the District of Columbia (the "Company"), proposes, subject to the terms and conditions stated herein and in the Underwriting Agreement, 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 __, 199_ (the "Underwriting Agreement"), between the Company on</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one hand and [names of Representatives]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w:t>
      </w:r>
    </w:p>
    <w:p>
      <w:pPr>
        <w:spacing w:after="0" w:line="20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10219"/>
          </w:cols>
          <w:pgMar w:left="240" w:top="709" w:right="1440" w:bottom="1440" w:gutter="0" w:footer="0" w:header="0"/>
        </w:sectPr>
      </w:pPr>
    </w:p>
    <w:bookmarkStart w:id="68" w:name="page69"/>
    <w:bookmarkEnd w:id="68"/>
    <w:p>
      <w:pPr>
        <w:ind w:right="2079"/>
        <w:spacing w:after="0" w:line="246" w:lineRule="auto"/>
        <w:rPr>
          <w:sz w:val="20"/>
          <w:szCs w:val="20"/>
          <w:color w:val="auto"/>
        </w:rPr>
      </w:pPr>
      <w:r>
        <w:rPr>
          <w:rFonts w:ascii="Courier New" w:cs="Courier New" w:eastAsia="Courier New" w:hAnsi="Courier New"/>
          <w:sz w:val="17"/>
          <w:szCs w:val="17"/>
          <w:color w:val="auto"/>
        </w:rPr>
        <w:t>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201"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- 2 -</w:t>
      </w:r>
    </w:p>
    <w:p>
      <w:pPr>
        <w:sectPr>
          <w:pgSz w:w="11900" w:h="16838" w:orient="portrait"/>
          <w:cols w:equalWidth="0" w:num="1">
            <w:col w:w="10219"/>
          </w:cols>
          <w:pgMar w:left="240" w:top="709" w:right="1440" w:bottom="1440" w:gutter="0" w:footer="0" w:header="0"/>
        </w:sectPr>
      </w:pPr>
    </w:p>
    <w:bookmarkStart w:id="69" w:name="page70"/>
    <w:bookmarkEnd w:id="69"/>
    <w:p>
      <w:pPr>
        <w:ind w:right="1979" w:firstLine="515"/>
        <w:spacing w:after="0" w:line="246"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to us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Representative]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behalf of each of the Underwriters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10219"/>
          </w:cols>
          <w:pgMar w:left="240" w:top="709" w:right="1440" w:bottom="1440" w:gutter="0" w:footer="0" w:header="0"/>
        </w:sectPr>
      </w:pPr>
    </w:p>
    <w:bookmarkStart w:id="70" w:name="page71"/>
    <w:bookmarkEnd w:id="70"/>
    <w:p>
      <w:pPr>
        <w:ind w:left="3500"/>
        <w:spacing w:after="0"/>
        <w:rPr>
          <w:sz w:val="20"/>
          <w:szCs w:val="20"/>
          <w:color w:val="auto"/>
        </w:rPr>
      </w:pPr>
      <w:r>
        <w:rPr>
          <w:rFonts w:ascii="Courier New" w:cs="Courier New" w:eastAsia="Courier New" w:hAnsi="Courier New"/>
          <w:sz w:val="17"/>
          <w:szCs w:val="17"/>
          <w:color w:val="auto"/>
        </w:rPr>
        <w:t>SCHEDULE I</w:t>
      </w:r>
    </w:p>
    <w:p>
      <w:pPr>
        <w:sectPr>
          <w:pgSz w:w="11900" w:h="16838" w:orient="portrait"/>
          <w:cols w:equalWidth="0" w:num="1">
            <w:col w:w="10119"/>
          </w:cols>
          <w:pgMar w:left="340" w:top="7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Underwriter</w:t>
      </w:r>
    </w:p>
    <w:p>
      <w:pPr>
        <w:spacing w:after="0" w:line="1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7"/>
          <w:szCs w:val="17"/>
          <w:color w:val="auto"/>
        </w:rPr>
        <w:t>Principal Amount of</w:t>
      </w:r>
    </w:p>
    <w:p>
      <w:pPr>
        <w:spacing w:after="0" w:line="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7"/>
          <w:szCs w:val="17"/>
          <w:color w:val="auto"/>
        </w:rPr>
        <w:t>Designated Securities</w:t>
      </w:r>
    </w:p>
    <w:p>
      <w:pPr>
        <w:spacing w:after="0" w:line="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7"/>
          <w:szCs w:val="17"/>
          <w:color w:val="auto"/>
        </w:rPr>
        <w:t>to be Purchased</w:t>
      </w:r>
    </w:p>
    <w:p>
      <w:pPr>
        <w:spacing w:after="0" w:line="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340" w:space="720"/>
            <w:col w:w="5059"/>
          </w:cols>
          <w:pgMar w:left="3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840" w:space="720"/>
            <w:col w:w="4559"/>
          </w:cols>
          <w:pgMar w:left="340" w:top="7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119"/>
          </w:cols>
          <w:pgMar w:left="340" w:top="709" w:right="1440" w:bottom="1440" w:gutter="0" w:footer="0" w:header="0"/>
          <w:type w:val="continuous"/>
        </w:sectPr>
      </w:pPr>
    </w:p>
    <w:p>
      <w:pPr>
        <w:spacing w:after="0" w:line="203"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740" w:space="720"/>
            <w:col w:w="4659"/>
          </w:cols>
          <w:pgMar w:left="340" w:top="709" w:right="1440" w:bottom="1440" w:gutter="0" w:footer="0" w:header="0"/>
          <w:type w:val="continuous"/>
        </w:sect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119"/>
          </w:cols>
          <w:pgMar w:left="340" w:top="709" w:right="1440" w:bottom="1440" w:gutter="0" w:footer="0" w:header="0"/>
          <w:type w:val="continuous"/>
        </w:sectPr>
      </w:pPr>
    </w:p>
    <w:bookmarkStart w:id="71" w:name="page72"/>
    <w:bookmarkEnd w:id="71"/>
    <w:p>
      <w:pPr>
        <w:ind w:left="3500"/>
        <w:spacing w:after="0"/>
        <w:rPr>
          <w:sz w:val="20"/>
          <w:szCs w:val="20"/>
          <w:color w:val="auto"/>
        </w:rPr>
      </w:pPr>
      <w:r>
        <w:rPr>
          <w:rFonts w:ascii="Courier New" w:cs="Courier New" w:eastAsia="Courier New" w:hAnsi="Courier New"/>
          <w:sz w:val="17"/>
          <w:szCs w:val="17"/>
          <w:color w:val="auto"/>
        </w:rPr>
        <w:t>SCHEDULE 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Designated Securities:</w:t>
      </w:r>
    </w:p>
    <w:p>
      <w:pPr>
        <w:spacing w:after="0" w:line="203" w:lineRule="exact"/>
        <w:rPr>
          <w:sz w:val="20"/>
          <w:szCs w:val="20"/>
          <w:color w:val="auto"/>
        </w:rPr>
      </w:pPr>
    </w:p>
    <w:p>
      <w:pPr>
        <w:ind w:left="520" w:right="2699"/>
        <w:spacing w:after="0" w:line="247" w:lineRule="auto"/>
        <w:tabs>
          <w:tab w:leader="none" w:pos="932"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[Senior] [Subordinated] [Floating Rate] [Zero Coupon] [Notes] [Debentures] due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principal amount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to Public:</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of the principal amount of the Designated Securities, plus accrued</w:t>
      </w:r>
    </w:p>
    <w:p>
      <w:pPr>
        <w:spacing w:after="0" w:line="5"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7"/>
          <w:szCs w:val="17"/>
          <w:color w:val="auto"/>
        </w:rPr>
        <w:t>interest from</w:t>
      </w:r>
      <w:r>
        <w:rPr>
          <w:sz w:val="20"/>
          <w:szCs w:val="20"/>
          <w:color w:val="auto"/>
        </w:rPr>
        <w:tab/>
      </w:r>
      <w:r>
        <w:rPr>
          <w:rFonts w:ascii="Courier New" w:cs="Courier New" w:eastAsia="Courier New" w:hAnsi="Courier New"/>
          <w:sz w:val="17"/>
          <w:szCs w:val="17"/>
          <w:color w:val="auto"/>
        </w:rPr>
        <w:t>to</w:t>
      </w:r>
    </w:p>
    <w:p>
      <w:pPr>
        <w:sectPr>
          <w:pgSz w:w="11900" w:h="16838" w:orient="portrait"/>
          <w:cols w:equalWidth="0" w:num="1">
            <w:col w:w="10219"/>
          </w:cols>
          <w:pgMar w:left="240" w:top="709" w:right="1440" w:bottom="1440" w:gutter="0" w:footer="0" w:header="0"/>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accrued amortization, if any,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3">
            <w:col w:w="4120" w:space="720"/>
            <w:col w:w="420" w:space="720"/>
            <w:col w:w="423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Price by Underwriters: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of the principal amount of the Designated Securities, plus accrued</w:t>
      </w:r>
    </w:p>
    <w:p>
      <w:pPr>
        <w:spacing w:after="0" w:line="5"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7"/>
          <w:szCs w:val="17"/>
          <w:color w:val="auto"/>
        </w:rPr>
        <w:t>interest from</w:t>
      </w:r>
      <w:r>
        <w:rPr>
          <w:sz w:val="20"/>
          <w:szCs w:val="20"/>
          <w:color w:val="auto"/>
        </w:rPr>
        <w:tab/>
      </w:r>
      <w:r>
        <w:rPr>
          <w:rFonts w:ascii="Courier New" w:cs="Courier New" w:eastAsia="Courier New" w:hAnsi="Courier New"/>
          <w:sz w:val="17"/>
          <w:szCs w:val="17"/>
          <w:color w:val="auto"/>
        </w:rPr>
        <w:t>to</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accrued amortization, if any,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3">
            <w:col w:w="4120" w:space="720"/>
            <w:col w:w="420" w:space="720"/>
            <w:col w:w="423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Specified funds for payment of purchase price: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[New York] Clearing House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Indenture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between the Company and</w:t>
      </w:r>
    </w:p>
    <w:p>
      <w:pPr>
        <w:spacing w:after="0" w:line="5" w:lineRule="exact"/>
        <w:rPr>
          <w:sz w:val="20"/>
          <w:szCs w:val="20"/>
          <w:color w:val="auto"/>
        </w:rPr>
      </w:pPr>
    </w:p>
    <w:p>
      <w:pPr>
        <w:sectPr>
          <w:pgSz w:w="11900" w:h="16838" w:orient="portrait"/>
          <w:cols w:equalWidth="0" w:num="3">
            <w:col w:w="3200" w:space="720"/>
            <w:col w:w="400" w:space="220"/>
            <w:col w:w="5679"/>
          </w:cols>
          <w:pgMar w:left="240" w:top="70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 as Trustee</w:t>
      </w:r>
    </w:p>
    <w:p>
      <w:pPr>
        <w:sectPr>
          <w:pgSz w:w="11900" w:h="16838" w:orient="portrait"/>
          <w:cols w:equalWidth="0" w:num="1">
            <w:col w:w="10219"/>
          </w:cols>
          <w:pgMar w:left="240" w:top="709" w:right="1440"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w:t>
      </w:r>
    </w:p>
    <w:p>
      <w:pPr>
        <w:spacing w:after="0" w:line="5" w:lineRule="exact"/>
        <w:rPr>
          <w:sz w:val="20"/>
          <w:szCs w:val="20"/>
          <w:color w:val="auto"/>
        </w:rPr>
      </w:pPr>
    </w:p>
    <w:p>
      <w:pPr>
        <w:ind w:left="940" w:hanging="420"/>
        <w:spacing w:after="0"/>
        <w:tabs>
          <w:tab w:leader="none" w:pos="94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[Zero Coupon] [See Floating Rate Provisions]</w:t>
      </w:r>
    </w:p>
    <w:p>
      <w:pPr>
        <w:spacing w:after="0" w:line="203"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7"/>
          <w:szCs w:val="17"/>
          <w:color w:val="auto"/>
        </w:rPr>
        <w:t>Interest Payment Dates:</w:t>
      </w:r>
    </w:p>
    <w:p>
      <w:pPr>
        <w:spacing w:after="0" w:line="5"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7"/>
          <w:szCs w:val="17"/>
          <w:color w:val="auto"/>
        </w:rPr>
        <w:t>[months and dates]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Provisions: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 provisions for redemption]</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10219"/>
          </w:cols>
          <w:pgMar w:left="240" w:top="709" w:right="1440" w:bottom="1440" w:gutter="0" w:footer="0" w:header="0"/>
          <w:type w:val="continuous"/>
        </w:sectPr>
      </w:pPr>
    </w:p>
    <w:bookmarkStart w:id="72" w:name="page73"/>
    <w:bookmarkEnd w:id="72"/>
    <w:p>
      <w:pPr>
        <w:ind w:left="520" w:right="2499"/>
        <w:spacing w:after="0" w:line="246" w:lineRule="auto"/>
        <w:rPr>
          <w:sz w:val="20"/>
          <w:szCs w:val="20"/>
          <w:color w:val="auto"/>
        </w:rPr>
      </w:pPr>
      <w:r>
        <w:rPr>
          <w:rFonts w:ascii="Courier New" w:cs="Courier New" w:eastAsia="Courier New" w:hAnsi="Courier New"/>
          <w:sz w:val="17"/>
          <w:szCs w:val="17"/>
          <w:color w:val="auto"/>
        </w:rPr>
        <w:t>[The Designated Securities may be redeemed, otherwise than through the sinking fund, in whole or in part at the option of the Company, in the</w:t>
      </w:r>
    </w:p>
    <w:p>
      <w:pPr>
        <w:spacing w:after="0" w:line="1" w:lineRule="exact"/>
        <w:rPr>
          <w:sz w:val="20"/>
          <w:szCs w:val="20"/>
          <w:color w:val="auto"/>
        </w:rPr>
      </w:pPr>
    </w:p>
    <w:p>
      <w:pPr>
        <w:ind w:left="520"/>
        <w:spacing w:after="0"/>
        <w:tabs>
          <w:tab w:leader="none" w:pos="2660" w:val="left"/>
        </w:tabs>
        <w:rPr>
          <w:sz w:val="20"/>
          <w:szCs w:val="20"/>
          <w:color w:val="auto"/>
        </w:rPr>
      </w:pPr>
      <w:r>
        <w:rPr>
          <w:rFonts w:ascii="Courier New" w:cs="Courier New" w:eastAsia="Courier New" w:hAnsi="Courier New"/>
          <w:sz w:val="17"/>
          <w:szCs w:val="17"/>
          <w:color w:val="auto"/>
        </w:rPr>
        <w:t>amount of [$]</w:t>
      </w:r>
      <w:r>
        <w:rPr>
          <w:sz w:val="20"/>
          <w:szCs w:val="20"/>
          <w:color w:val="auto"/>
        </w:rPr>
        <w:tab/>
      </w:r>
      <w:r>
        <w:rPr>
          <w:rFonts w:ascii="Courier New" w:cs="Courier New" w:eastAsia="Courier New" w:hAnsi="Courier New"/>
          <w:sz w:val="17"/>
          <w:szCs w:val="17"/>
          <w:color w:val="auto"/>
        </w:rPr>
        <w:t>or an integral multiple thereof,</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[on or after</w:t>
            </w:r>
          </w:p>
        </w:tc>
        <w:tc>
          <w:tcPr>
            <w:tcW w:w="108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5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at the following redemption prices (expressed in</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percentages of</w:t>
            </w:r>
          </w:p>
        </w:tc>
        <w:tc>
          <w:tcPr>
            <w:tcW w:w="23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amount).  If</w:t>
            </w:r>
          </w:p>
        </w:tc>
        <w:tc>
          <w:tcPr>
            <w:tcW w:w="25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[redeemed on or before</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gridSpan w:val="4"/>
          </w:tcPr>
          <w:p>
            <w:pPr>
              <w:spacing w:after="0"/>
              <w:rPr>
                <w:sz w:val="20"/>
                <w:szCs w:val="20"/>
                <w:color w:val="auto"/>
              </w:rPr>
            </w:pPr>
            <w:r>
              <w:rPr>
                <w:rFonts w:ascii="Courier New" w:cs="Courier New" w:eastAsia="Courier New" w:hAnsi="Courier New"/>
                <w:sz w:val="17"/>
                <w:szCs w:val="17"/>
                <w:color w:val="auto"/>
              </w:rPr>
              <w:t>%, and if] redeemed during the 12-month period beginning</w:t>
            </w:r>
          </w:p>
        </w:tc>
        <w:tc>
          <w:tcPr>
            <w:tcW w:w="460" w:type="dxa"/>
            <w:vAlign w:val="bottom"/>
          </w:tcPr>
          <w:p>
            <w:pPr>
              <w:spacing w:after="0"/>
              <w:rPr>
                <w:sz w:val="17"/>
                <w:szCs w:val="17"/>
                <w:color w:val="auto"/>
              </w:rPr>
            </w:pPr>
          </w:p>
        </w:tc>
        <w:tc>
          <w:tcPr>
            <w:tcW w:w="134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w:t>
            </w:r>
          </w:p>
        </w:tc>
      </w:tr>
      <w:tr>
        <w:trPr>
          <w:trHeight w:val="594"/>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Redemption</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1500" w:type="dxa"/>
            <w:vAlign w:val="bottom"/>
          </w:tcPr>
          <w:p>
            <w:pPr>
              <w:spacing w:after="0"/>
              <w:rPr>
                <w:sz w:val="17"/>
                <w:szCs w:val="17"/>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7"/>
                <w:szCs w:val="17"/>
                <w:color w:val="auto"/>
              </w:rPr>
              <w:t>Year</w:t>
            </w:r>
          </w:p>
        </w:tc>
        <w:tc>
          <w:tcPr>
            <w:tcW w:w="1280" w:type="dxa"/>
            <w:vAlign w:val="bottom"/>
          </w:tcPr>
          <w:p>
            <w:pPr>
              <w:spacing w:after="0"/>
              <w:rPr>
                <w:sz w:val="17"/>
                <w:szCs w:val="17"/>
                <w:color w:val="auto"/>
              </w:rPr>
            </w:pPr>
          </w:p>
        </w:tc>
        <w:tc>
          <w:tcPr>
            <w:tcW w:w="2060" w:type="dxa"/>
            <w:vAlign w:val="bottom"/>
          </w:tcPr>
          <w:p>
            <w:pPr>
              <w:ind w:left="260"/>
              <w:spacing w:after="0"/>
              <w:rPr>
                <w:sz w:val="20"/>
                <w:szCs w:val="20"/>
                <w:color w:val="auto"/>
              </w:rPr>
            </w:pPr>
            <w:r>
              <w:rPr>
                <w:rFonts w:ascii="Courier New" w:cs="Courier New" w:eastAsia="Courier New" w:hAnsi="Courier New"/>
                <w:sz w:val="17"/>
                <w:szCs w:val="17"/>
                <w:color w:val="auto"/>
              </w:rPr>
              <w:t>Price</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1500" w:type="dxa"/>
            <w:vAlign w:val="bottom"/>
          </w:tcPr>
          <w:p>
            <w:pPr>
              <w:spacing w:after="0"/>
              <w:rPr>
                <w:sz w:val="17"/>
                <w:szCs w:val="17"/>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92"/>
        </w:trPr>
        <w:tc>
          <w:tcPr>
            <w:tcW w:w="1500" w:type="dxa"/>
            <w:vAlign w:val="bottom"/>
          </w:tcPr>
          <w:p>
            <w:pPr>
              <w:spacing w:after="0"/>
              <w:rPr>
                <w:sz w:val="20"/>
                <w:szCs w:val="20"/>
                <w:color w:val="auto"/>
              </w:rPr>
            </w:pPr>
            <w:r>
              <w:rPr>
                <w:rFonts w:ascii="Courier New" w:cs="Courier New" w:eastAsia="Courier New" w:hAnsi="Courier New"/>
                <w:sz w:val="17"/>
                <w:szCs w:val="17"/>
                <w:color w:val="auto"/>
              </w:rPr>
              <w:t>and thereafter</w:t>
            </w:r>
          </w:p>
        </w:tc>
        <w:tc>
          <w:tcPr>
            <w:tcW w:w="6220" w:type="dxa"/>
            <w:vAlign w:val="bottom"/>
            <w:gridSpan w:val="5"/>
          </w:tcPr>
          <w:p>
            <w:pPr>
              <w:ind w:left="40"/>
              <w:spacing w:after="0"/>
              <w:rPr>
                <w:sz w:val="20"/>
                <w:szCs w:val="20"/>
                <w:color w:val="auto"/>
              </w:rPr>
            </w:pPr>
            <w:r>
              <w:rPr>
                <w:rFonts w:ascii="Courier New" w:cs="Courier New" w:eastAsia="Courier New" w:hAnsi="Courier New"/>
                <w:sz w:val="17"/>
                <w:szCs w:val="17"/>
                <w:color w:val="auto"/>
              </w:rPr>
              <w:t>at 100% of their principal amount, together in each case</w:t>
            </w:r>
          </w:p>
        </w:tc>
      </w:tr>
      <w:tr>
        <w:trPr>
          <w:trHeight w:val="198"/>
        </w:trPr>
        <w:tc>
          <w:tcPr>
            <w:tcW w:w="5920" w:type="dxa"/>
            <w:vAlign w:val="bottom"/>
            <w:gridSpan w:val="4"/>
          </w:tcPr>
          <w:p>
            <w:pPr>
              <w:spacing w:after="0"/>
              <w:rPr>
                <w:sz w:val="20"/>
                <w:szCs w:val="20"/>
                <w:color w:val="auto"/>
              </w:rPr>
            </w:pPr>
            <w:r>
              <w:rPr>
                <w:rFonts w:ascii="Courier New" w:cs="Courier New" w:eastAsia="Courier New" w:hAnsi="Courier New"/>
                <w:sz w:val="17"/>
                <w:szCs w:val="17"/>
                <w:color w:val="auto"/>
              </w:rPr>
              <w:t>with accrued interest to the redemption date.]</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3860" w:type="dxa"/>
            <w:vAlign w:val="bottom"/>
            <w:gridSpan w:val="3"/>
          </w:tcPr>
          <w:p>
            <w:pPr>
              <w:spacing w:after="0"/>
              <w:rPr>
                <w:sz w:val="20"/>
                <w:szCs w:val="20"/>
                <w:color w:val="auto"/>
              </w:rPr>
            </w:pPr>
            <w:r>
              <w:rPr>
                <w:rFonts w:ascii="Courier New" w:cs="Courier New" w:eastAsia="Courier New" w:hAnsi="Courier New"/>
                <w:sz w:val="17"/>
                <w:szCs w:val="17"/>
                <w:color w:val="auto"/>
              </w:rPr>
              <w:t>[on any interest payment date falling</w:t>
            </w:r>
          </w:p>
        </w:tc>
        <w:tc>
          <w:tcPr>
            <w:tcW w:w="2060" w:type="dxa"/>
            <w:vAlign w:val="bottom"/>
          </w:tcPr>
          <w:p>
            <w:pPr>
              <w:ind w:left="60"/>
              <w:spacing w:after="0"/>
              <w:rPr>
                <w:sz w:val="20"/>
                <w:szCs w:val="20"/>
                <w:color w:val="auto"/>
              </w:rPr>
            </w:pPr>
            <w:r>
              <w:rPr>
                <w:rFonts w:ascii="Courier New" w:cs="Courier New" w:eastAsia="Courier New" w:hAnsi="Courier New"/>
                <w:sz w:val="17"/>
                <w:szCs w:val="17"/>
                <w:color w:val="auto"/>
              </w:rPr>
              <w:t>on or after</w:t>
            </w:r>
          </w:p>
        </w:tc>
        <w:tc>
          <w:tcPr>
            <w:tcW w:w="4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at the</w:t>
            </w:r>
          </w:p>
        </w:tc>
      </w:tr>
      <w:tr>
        <w:trPr>
          <w:trHeight w:val="198"/>
        </w:trPr>
        <w:tc>
          <w:tcPr>
            <w:tcW w:w="7720" w:type="dxa"/>
            <w:vAlign w:val="bottom"/>
            <w:gridSpan w:val="6"/>
          </w:tcPr>
          <w:p>
            <w:pPr>
              <w:spacing w:after="0"/>
              <w:rPr>
                <w:sz w:val="20"/>
                <w:szCs w:val="20"/>
                <w:color w:val="auto"/>
              </w:rPr>
            </w:pPr>
            <w:r>
              <w:rPr>
                <w:rFonts w:ascii="Courier New" w:cs="Courier New" w:eastAsia="Courier New" w:hAnsi="Courier New"/>
                <w:sz w:val="17"/>
                <w:szCs w:val="17"/>
                <w:color w:val="auto"/>
              </w:rPr>
              <w:t>election of the Company, at a redemption price equal to the principal</w:t>
            </w:r>
          </w:p>
        </w:tc>
      </w:tr>
      <w:tr>
        <w:trPr>
          <w:trHeight w:val="198"/>
        </w:trPr>
        <w:tc>
          <w:tcPr>
            <w:tcW w:w="3860" w:type="dxa"/>
            <w:vAlign w:val="bottom"/>
            <w:gridSpan w:val="3"/>
          </w:tcPr>
          <w:p>
            <w:pPr>
              <w:spacing w:after="0"/>
              <w:rPr>
                <w:sz w:val="20"/>
                <w:szCs w:val="20"/>
                <w:color w:val="auto"/>
              </w:rPr>
            </w:pPr>
            <w:r>
              <w:rPr>
                <w:rFonts w:ascii="Courier New" w:cs="Courier New" w:eastAsia="Courier New" w:hAnsi="Courier New"/>
                <w:sz w:val="17"/>
                <w:szCs w:val="17"/>
                <w:color w:val="auto"/>
              </w:rPr>
              <w:t>amount thereof, plus accrued interest</w:t>
            </w:r>
          </w:p>
        </w:tc>
        <w:tc>
          <w:tcPr>
            <w:tcW w:w="38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to the date of redemption.]</w:t>
            </w:r>
          </w:p>
        </w:tc>
      </w:tr>
    </w:tbl>
    <w:p>
      <w:pPr>
        <w:spacing w:after="0" w:line="203" w:lineRule="exact"/>
        <w:rPr>
          <w:sz w:val="20"/>
          <w:szCs w:val="20"/>
          <w:color w:val="auto"/>
        </w:rPr>
      </w:pPr>
    </w:p>
    <w:p>
      <w:pPr>
        <w:ind w:left="520" w:right="2279"/>
        <w:spacing w:after="0" w:line="246" w:lineRule="auto"/>
        <w:rPr>
          <w:sz w:val="20"/>
          <w:szCs w:val="20"/>
          <w:color w:val="auto"/>
        </w:rPr>
      </w:pPr>
      <w:r>
        <w:rPr>
          <w:rFonts w:ascii="Courier New" w:cs="Courier New" w:eastAsia="Courier New" w:hAnsi="Courier New"/>
          <w:sz w:val="17"/>
          <w:szCs w:val="17"/>
          <w:color w:val="auto"/>
        </w:rPr>
        <w:t>[Other possible redemption provisions, such as mandatory redemption upon occurrence of certain events or redemption for changes in tax law] [Restriction on refunding]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Sinking Fund Provisions: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 sinking fund provisions]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Designated Securities are entitled to the benefit of a sinking fund to</w:t>
      </w:r>
    </w:p>
    <w:p>
      <w:pPr>
        <w:spacing w:after="0" w:line="5" w:lineRule="exact"/>
        <w:rPr>
          <w:sz w:val="20"/>
          <w:szCs w:val="20"/>
          <w:color w:val="auto"/>
        </w:rPr>
      </w:pPr>
    </w:p>
    <w:p>
      <w:pPr>
        <w:ind w:left="520" w:right="1979"/>
        <w:spacing w:after="0" w:line="246" w:lineRule="auto"/>
        <w:rPr>
          <w:sz w:val="20"/>
          <w:szCs w:val="20"/>
          <w:color w:val="auto"/>
        </w:rPr>
      </w:pPr>
      <w:r>
        <w:rPr>
          <w:rFonts w:ascii="Courier New" w:cs="Courier New" w:eastAsia="Courier New" w:hAnsi="Courier New"/>
          <w:sz w:val="17"/>
          <w:szCs w:val="17"/>
          <w:color w:val="auto"/>
        </w:rPr>
        <w:t>retire [$] principal amount of Designated Securities on in each of the years through at 100% of their principal amount plus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accrued interest] [,together with [cumulative] [noncumulative] redemptions</w:t>
      </w:r>
    </w:p>
    <w:p>
      <w:pPr>
        <w:spacing w:after="0" w:line="391" w:lineRule="exact"/>
        <w:rPr>
          <w:sz w:val="20"/>
          <w:szCs w:val="20"/>
          <w:color w:val="auto"/>
        </w:rPr>
      </w:pPr>
    </w:p>
    <w:p>
      <w:pPr>
        <w:ind w:left="520" w:right="1979"/>
        <w:spacing w:after="0" w:line="246" w:lineRule="auto"/>
        <w:rPr>
          <w:sz w:val="20"/>
          <w:szCs w:val="20"/>
          <w:color w:val="auto"/>
        </w:rPr>
      </w:pPr>
      <w:r>
        <w:rPr>
          <w:rFonts w:ascii="Courier New" w:cs="Courier New" w:eastAsia="Courier New" w:hAnsi="Courier New"/>
          <w:sz w:val="17"/>
          <w:szCs w:val="17"/>
          <w:color w:val="auto"/>
        </w:rPr>
        <w:t>at the option of the Company to retire an additional [$] principal amount of Designated Securities in the years through at 100% of their principal amount plus accrued interest].</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[If Securities are extendable debt Securities, insert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Extendable provisions: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- 2 -</w:t>
      </w:r>
    </w:p>
    <w:p>
      <w:pPr>
        <w:sectPr>
          <w:pgSz w:w="11900" w:h="16838" w:orient="portrait"/>
          <w:cols w:equalWidth="0" w:num="1">
            <w:col w:w="10219"/>
          </w:cols>
          <w:pgMar w:left="240" w:top="709" w:right="1440" w:bottom="1440" w:gutter="0" w:footer="0" w:header="0"/>
        </w:sectPr>
      </w:pPr>
    </w:p>
    <w:bookmarkStart w:id="73" w:name="page74"/>
    <w:bookmarkEnd w:id="73"/>
    <w:p>
      <w:pPr>
        <w:ind w:left="1040"/>
        <w:spacing w:after="0"/>
        <w:tabs>
          <w:tab w:leader="none" w:pos="4820" w:val="left"/>
          <w:tab w:leader="none" w:pos="5340" w:val="left"/>
        </w:tabs>
        <w:rPr>
          <w:sz w:val="20"/>
          <w:szCs w:val="20"/>
          <w:color w:val="auto"/>
        </w:rPr>
      </w:pPr>
      <w:r>
        <w:rPr>
          <w:rFonts w:ascii="Courier New" w:cs="Courier New" w:eastAsia="Courier New" w:hAnsi="Courier New"/>
          <w:sz w:val="17"/>
          <w:szCs w:val="17"/>
          <w:color w:val="auto"/>
        </w:rPr>
        <w:t>Securities are repayable on</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[insert date and years], at</w:t>
      </w:r>
    </w:p>
    <w:p>
      <w:pPr>
        <w:spacing w:after="0" w:line="5" w:lineRule="exact"/>
        <w:rPr>
          <w:sz w:val="20"/>
          <w:szCs w:val="20"/>
          <w:color w:val="auto"/>
        </w:rPr>
      </w:pPr>
    </w:p>
    <w:p>
      <w:pPr>
        <w:ind w:left="520" w:right="2079"/>
        <w:spacing w:after="0" w:line="246" w:lineRule="auto"/>
        <w:rPr>
          <w:sz w:val="20"/>
          <w:szCs w:val="20"/>
          <w:color w:val="auto"/>
        </w:rPr>
      </w:pPr>
      <w:r>
        <w:rPr>
          <w:rFonts w:ascii="Courier New" w:cs="Courier New" w:eastAsia="Courier New" w:hAnsi="Courier New"/>
          <w:sz w:val="17"/>
          <w:szCs w:val="17"/>
          <w:color w:val="auto"/>
        </w:rPr>
        <w:t>the option of the holder, at their principal amount with accrued interest. Initial annual interest rate will be %, and thereafter annual interest rate will be adjusted on , and to a rate not less than</w:t>
      </w:r>
    </w:p>
    <w:p>
      <w:pPr>
        <w:spacing w:after="0" w:line="2" w:lineRule="exact"/>
        <w:rPr>
          <w:sz w:val="20"/>
          <w:szCs w:val="20"/>
          <w:color w:val="auto"/>
        </w:rPr>
      </w:pPr>
    </w:p>
    <w:p>
      <w:pPr>
        <w:jc w:val="both"/>
        <w:ind w:left="940" w:right="1979" w:hanging="214"/>
        <w:spacing w:after="0" w:line="246" w:lineRule="auto"/>
        <w:tabs>
          <w:tab w:leader="none" w:pos="94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effective annual interest rate on U.S. Treasury obligations with -year maturities as of the [insert date 15 days prior to maturity date]</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prior to such [insert maturity date].]</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[If Securities are Floating Rate debt Securities, insert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Floating rate provisions: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41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Initial annual interest rate will be</w:t>
            </w:r>
          </w:p>
        </w:tc>
        <w:tc>
          <w:tcPr>
            <w:tcW w:w="16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 through</w:t>
            </w:r>
          </w:p>
        </w:tc>
        <w:tc>
          <w:tcPr>
            <w:tcW w:w="400" w:type="dxa"/>
            <w:vAlign w:val="bottom"/>
          </w:tcPr>
          <w:p>
            <w:pPr>
              <w:spacing w:after="0"/>
              <w:rPr>
                <w:sz w:val="16"/>
                <w:szCs w:val="16"/>
                <w:color w:val="auto"/>
              </w:rPr>
            </w:pPr>
          </w:p>
        </w:tc>
        <w:tc>
          <w:tcPr>
            <w:tcW w:w="13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[and</w:t>
            </w:r>
          </w:p>
        </w:tc>
      </w:tr>
      <w:tr>
        <w:trPr>
          <w:trHeight w:val="198"/>
        </w:trPr>
        <w:tc>
          <w:tcPr>
            <w:tcW w:w="4740" w:type="dxa"/>
            <w:vAlign w:val="bottom"/>
            <w:gridSpan w:val="5"/>
          </w:tcPr>
          <w:p>
            <w:pPr>
              <w:spacing w:after="0"/>
              <w:rPr>
                <w:sz w:val="20"/>
                <w:szCs w:val="20"/>
                <w:color w:val="auto"/>
              </w:rPr>
            </w:pPr>
            <w:r>
              <w:rPr>
                <w:rFonts w:ascii="Courier New" w:cs="Courier New" w:eastAsia="Courier New" w:hAnsi="Courier New"/>
                <w:sz w:val="17"/>
                <w:szCs w:val="17"/>
                <w:color w:val="auto"/>
              </w:rPr>
              <w:t>thereafter will be adjusted [monthly] [on each</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and</w:t>
            </w:r>
          </w:p>
        </w:tc>
      </w:tr>
      <w:tr>
        <w:trPr>
          <w:trHeight w:val="198"/>
        </w:trPr>
        <w:tc>
          <w:tcPr>
            <w:tcW w:w="2580" w:type="dxa"/>
            <w:vAlign w:val="bottom"/>
            <w:gridSpan w:val="3"/>
          </w:tcPr>
          <w:p>
            <w:pPr>
              <w:spacing w:after="0"/>
              <w:rPr>
                <w:sz w:val="20"/>
                <w:szCs w:val="20"/>
                <w:color w:val="auto"/>
              </w:rPr>
            </w:pPr>
            <w:r>
              <w:rPr>
                <w:rFonts w:ascii="Courier New" w:cs="Courier New" w:eastAsia="Courier New" w:hAnsi="Courier New"/>
                <w:sz w:val="17"/>
                <w:szCs w:val="17"/>
                <w:color w:val="auto"/>
              </w:rPr>
              <w:t>] [to an annual rate of</w:t>
            </w:r>
          </w:p>
        </w:tc>
        <w:tc>
          <w:tcPr>
            <w:tcW w:w="3400" w:type="dxa"/>
            <w:vAlign w:val="bottom"/>
            <w:gridSpan w:val="3"/>
          </w:tcPr>
          <w:p>
            <w:pPr>
              <w:jc w:val="right"/>
              <w:ind w:right="134"/>
              <w:spacing w:after="0"/>
              <w:rPr>
                <w:sz w:val="20"/>
                <w:szCs w:val="20"/>
                <w:color w:val="auto"/>
              </w:rPr>
            </w:pPr>
            <w:r>
              <w:rPr>
                <w:rFonts w:ascii="Courier New" w:cs="Courier New" w:eastAsia="Courier New" w:hAnsi="Courier New"/>
                <w:sz w:val="17"/>
                <w:szCs w:val="17"/>
                <w:color w:val="auto"/>
              </w:rPr>
              <w:t>% above the average rate for</w:t>
            </w:r>
          </w:p>
        </w:tc>
        <w:tc>
          <w:tcPr>
            <w:tcW w:w="40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-year</w:t>
            </w:r>
          </w:p>
        </w:tc>
      </w:tr>
      <w:tr>
        <w:trPr>
          <w:trHeight w:val="198"/>
        </w:trPr>
        <w:tc>
          <w:tcPr>
            <w:tcW w:w="2580" w:type="dxa"/>
            <w:vAlign w:val="bottom"/>
            <w:gridSpan w:val="3"/>
          </w:tcPr>
          <w:p>
            <w:pPr>
              <w:spacing w:after="0"/>
              <w:rPr>
                <w:sz w:val="20"/>
                <w:szCs w:val="20"/>
                <w:color w:val="auto"/>
              </w:rPr>
            </w:pPr>
            <w:r>
              <w:rPr>
                <w:rFonts w:ascii="Courier New" w:cs="Courier New" w:eastAsia="Courier New" w:hAnsi="Courier New"/>
                <w:sz w:val="17"/>
                <w:szCs w:val="17"/>
                <w:color w:val="auto"/>
              </w:rPr>
              <w:t>[month] [securities]</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580" w:type="dxa"/>
            <w:vAlign w:val="bottom"/>
            <w:gridSpan w:val="4"/>
          </w:tcPr>
          <w:p>
            <w:pPr>
              <w:spacing w:after="0"/>
              <w:rPr>
                <w:sz w:val="20"/>
                <w:szCs w:val="20"/>
                <w:color w:val="auto"/>
              </w:rPr>
            </w:pPr>
            <w:r>
              <w:rPr>
                <w:rFonts w:ascii="Courier New" w:cs="Courier New" w:eastAsia="Courier New" w:hAnsi="Courier New"/>
                <w:sz w:val="17"/>
                <w:szCs w:val="17"/>
                <w:color w:val="auto"/>
              </w:rPr>
              <w:t>[certificates of deposit] issued by</w:t>
            </w:r>
          </w:p>
        </w:tc>
        <w:tc>
          <w:tcPr>
            <w:tcW w:w="1400" w:type="dxa"/>
            <w:vAlign w:val="bottom"/>
            <w:gridSpan w:val="2"/>
          </w:tcPr>
          <w:p>
            <w:pPr>
              <w:jc w:val="right"/>
              <w:ind w:right="954"/>
              <w:spacing w:after="0"/>
              <w:rPr>
                <w:sz w:val="20"/>
                <w:szCs w:val="20"/>
                <w:color w:val="auto"/>
              </w:rPr>
            </w:pPr>
            <w:r>
              <w:rPr>
                <w:rFonts w:ascii="Courier New" w:cs="Courier New" w:eastAsia="Courier New" w:hAnsi="Courier New"/>
                <w:sz w:val="17"/>
                <w:szCs w:val="17"/>
                <w:color w:val="auto"/>
              </w:rPr>
              <w:t>and</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[insert names of</w:t>
            </w: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banks],] [and the</w:t>
            </w:r>
          </w:p>
        </w:tc>
        <w:tc>
          <w:tcPr>
            <w:tcW w:w="41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annual interest rate [thereafter] [from</w:t>
            </w:r>
          </w:p>
        </w:tc>
        <w:tc>
          <w:tcPr>
            <w:tcW w:w="40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through</w:t>
            </w:r>
          </w:p>
        </w:tc>
      </w:tr>
      <w:tr>
        <w:trPr>
          <w:trHeight w:val="198"/>
        </w:trPr>
        <w:tc>
          <w:tcPr>
            <w:tcW w:w="7720" w:type="dxa"/>
            <w:vAlign w:val="bottom"/>
            <w:gridSpan w:val="8"/>
          </w:tcPr>
          <w:p>
            <w:pPr>
              <w:spacing w:after="0"/>
              <w:rPr>
                <w:sz w:val="20"/>
                <w:szCs w:val="20"/>
                <w:color w:val="auto"/>
              </w:rPr>
            </w:pPr>
            <w:r>
              <w:rPr>
                <w:rFonts w:ascii="Courier New" w:cs="Courier New" w:eastAsia="Courier New" w:hAnsi="Courier New"/>
                <w:sz w:val="17"/>
                <w:szCs w:val="17"/>
                <w:color w:val="auto"/>
              </w:rPr>
              <w:t>] will be the interest yield equivalent of the weekly average per annum</w:t>
            </w:r>
          </w:p>
        </w:tc>
      </w:tr>
      <w:tr>
        <w:trPr>
          <w:trHeight w:val="198"/>
        </w:trPr>
        <w:tc>
          <w:tcPr>
            <w:tcW w:w="2580" w:type="dxa"/>
            <w:vAlign w:val="bottom"/>
            <w:gridSpan w:val="3"/>
          </w:tcPr>
          <w:p>
            <w:pPr>
              <w:spacing w:after="0"/>
              <w:rPr>
                <w:sz w:val="20"/>
                <w:szCs w:val="20"/>
                <w:color w:val="auto"/>
              </w:rPr>
            </w:pPr>
            <w:r>
              <w:rPr>
                <w:rFonts w:ascii="Courier New" w:cs="Courier New" w:eastAsia="Courier New" w:hAnsi="Courier New"/>
                <w:sz w:val="17"/>
                <w:szCs w:val="17"/>
                <w:color w:val="auto"/>
              </w:rPr>
              <w:t>market discount rate for</w:t>
            </w:r>
          </w:p>
        </w:tc>
        <w:tc>
          <w:tcPr>
            <w:tcW w:w="3800" w:type="dxa"/>
            <w:vAlign w:val="bottom"/>
            <w:gridSpan w:val="4"/>
          </w:tcPr>
          <w:p>
            <w:pPr>
              <w:jc w:val="right"/>
              <w:ind w:right="114"/>
              <w:spacing w:after="0"/>
              <w:rPr>
                <w:sz w:val="20"/>
                <w:szCs w:val="20"/>
                <w:color w:val="auto"/>
              </w:rPr>
            </w:pPr>
            <w:r>
              <w:rPr>
                <w:rFonts w:ascii="Courier New" w:cs="Courier New" w:eastAsia="Courier New" w:hAnsi="Courier New"/>
                <w:sz w:val="17"/>
                <w:szCs w:val="17"/>
                <w:color w:val="auto"/>
              </w:rPr>
              <w:t>-month Treasury bills plus</w:t>
            </w: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 of</w:t>
            </w:r>
          </w:p>
        </w:tc>
      </w:tr>
      <w:tr>
        <w:trPr>
          <w:trHeight w:val="198"/>
        </w:trPr>
        <w:tc>
          <w:tcPr>
            <w:tcW w:w="7720" w:type="dxa"/>
            <w:vAlign w:val="bottom"/>
            <w:gridSpan w:val="8"/>
          </w:tcPr>
          <w:p>
            <w:pPr>
              <w:spacing w:after="0"/>
              <w:rPr>
                <w:sz w:val="20"/>
                <w:szCs w:val="20"/>
                <w:color w:val="auto"/>
              </w:rPr>
            </w:pPr>
            <w:r>
              <w:rPr>
                <w:rFonts w:ascii="Courier New" w:cs="Courier New" w:eastAsia="Courier New" w:hAnsi="Courier New"/>
                <w:sz w:val="17"/>
                <w:szCs w:val="17"/>
                <w:color w:val="auto"/>
              </w:rPr>
              <w:t>Interest Differential (the excess, if any, of (i) then current weekly</w:t>
            </w: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average per annum</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secondary market yield for</w:t>
            </w:r>
          </w:p>
        </w:tc>
        <w:tc>
          <w:tcPr>
            <w:tcW w:w="160" w:type="dxa"/>
            <w:vAlign w:val="bottom"/>
          </w:tcPr>
          <w:p>
            <w:pPr>
              <w:spacing w:after="0"/>
              <w:rPr>
                <w:sz w:val="17"/>
                <w:szCs w:val="17"/>
                <w:color w:val="auto"/>
              </w:rPr>
            </w:pPr>
          </w:p>
        </w:tc>
        <w:tc>
          <w:tcPr>
            <w:tcW w:w="298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-month certificates of</w:t>
            </w: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deposit over (ii)</w:t>
            </w:r>
          </w:p>
        </w:tc>
        <w:tc>
          <w:tcPr>
            <w:tcW w:w="592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then current interest yield equivalent of the weekly</w:t>
            </w: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average per annum</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market discount rate for</w:t>
            </w:r>
          </w:p>
        </w:tc>
        <w:tc>
          <w:tcPr>
            <w:tcW w:w="160" w:type="dxa"/>
            <w:vAlign w:val="bottom"/>
          </w:tcPr>
          <w:p>
            <w:pPr>
              <w:spacing w:after="0"/>
              <w:rPr>
                <w:sz w:val="17"/>
                <w:szCs w:val="17"/>
                <w:color w:val="auto"/>
              </w:rPr>
            </w:pPr>
          </w:p>
        </w:tc>
        <w:tc>
          <w:tcPr>
            <w:tcW w:w="298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-month Treasury bills);</w:t>
            </w:r>
          </w:p>
        </w:tc>
      </w:tr>
      <w:tr>
        <w:trPr>
          <w:trHeight w:val="198"/>
        </w:trPr>
        <w:tc>
          <w:tcPr>
            <w:tcW w:w="460" w:type="dxa"/>
            <w:vAlign w:val="bottom"/>
          </w:tcPr>
          <w:p>
            <w:pPr>
              <w:spacing w:after="0"/>
              <w:rPr>
                <w:sz w:val="20"/>
                <w:szCs w:val="20"/>
                <w:color w:val="auto"/>
              </w:rPr>
            </w:pPr>
            <w:r>
              <w:rPr>
                <w:rFonts w:ascii="Courier New" w:cs="Courier New" w:eastAsia="Courier New" w:hAnsi="Courier New"/>
                <w:sz w:val="17"/>
                <w:szCs w:val="17"/>
                <w:color w:val="auto"/>
              </w:rPr>
              <w:t>from</w:t>
            </w:r>
          </w:p>
        </w:tc>
        <w:tc>
          <w:tcPr>
            <w:tcW w:w="1340" w:type="dxa"/>
            <w:vAlign w:val="bottom"/>
          </w:tcPr>
          <w:p>
            <w:pPr>
              <w:ind w:left="980"/>
              <w:spacing w:after="0"/>
              <w:rPr>
                <w:sz w:val="20"/>
                <w:szCs w:val="20"/>
                <w:color w:val="auto"/>
              </w:rPr>
            </w:pPr>
            <w:r>
              <w:rPr>
                <w:rFonts w:ascii="Courier New" w:cs="Courier New" w:eastAsia="Courier New" w:hAnsi="Courier New"/>
                <w:sz w:val="17"/>
                <w:szCs w:val="17"/>
                <w:color w:val="auto"/>
              </w:rPr>
              <w:t>and</w:t>
            </w:r>
          </w:p>
        </w:tc>
        <w:tc>
          <w:tcPr>
            <w:tcW w:w="592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thereafter the rate will be the then current interest</w:t>
            </w:r>
          </w:p>
        </w:tc>
      </w:tr>
      <w:tr>
        <w:trPr>
          <w:trHeight w:val="198"/>
        </w:trPr>
        <w:tc>
          <w:tcPr>
            <w:tcW w:w="2580" w:type="dxa"/>
            <w:vAlign w:val="bottom"/>
            <w:gridSpan w:val="3"/>
          </w:tcPr>
          <w:p>
            <w:pPr>
              <w:spacing w:after="0"/>
              <w:rPr>
                <w:sz w:val="20"/>
                <w:szCs w:val="20"/>
                <w:color w:val="auto"/>
              </w:rPr>
            </w:pPr>
            <w:r>
              <w:rPr>
                <w:rFonts w:ascii="Courier New" w:cs="Courier New" w:eastAsia="Courier New" w:hAnsi="Courier New"/>
                <w:sz w:val="17"/>
                <w:szCs w:val="17"/>
                <w:color w:val="auto"/>
              </w:rPr>
              <w:t>yield equivalent plus</w:t>
            </w:r>
          </w:p>
        </w:tc>
        <w:tc>
          <w:tcPr>
            <w:tcW w:w="3400" w:type="dxa"/>
            <w:vAlign w:val="bottom"/>
            <w:gridSpan w:val="3"/>
          </w:tcPr>
          <w:p>
            <w:pPr>
              <w:jc w:val="right"/>
              <w:ind w:right="234"/>
              <w:spacing w:after="0"/>
              <w:rPr>
                <w:sz w:val="20"/>
                <w:szCs w:val="20"/>
                <w:color w:val="auto"/>
              </w:rPr>
            </w:pPr>
            <w:r>
              <w:rPr>
                <w:rFonts w:ascii="Courier New" w:cs="Courier New" w:eastAsia="Courier New" w:hAnsi="Courier New"/>
                <w:sz w:val="17"/>
                <w:szCs w:val="17"/>
                <w:color w:val="auto"/>
              </w:rPr>
              <w:t>% of interest Differential].]</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Defeasance provisions: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 of Delivery: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Closing Location:</w:t>
      </w: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10219"/>
          </w:cols>
          <w:pgMar w:left="240" w:top="70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7"/>
          <w:szCs w:val="17"/>
          <w:color w:val="auto"/>
        </w:rPr>
        <w:t>Names and addresses of Representatives: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Designated Representatives: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Address for Notices, etc.: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Terms]*: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 description of particular tax, accounting or other unusual features (such as the addition of event risk provisions) of the Securities should be set forth, or referenced to an attached and accompanying description, if necessary to ensure agreement as to the terms of the Securities to be purchased and sold. Such a description might appropriately be in the form in which such features will be described in the Prospectus Supplement for the offering.</w:t>
      </w: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- 4 -</w:t>
      </w:r>
    </w:p>
    <w:p>
      <w:pPr>
        <w:sectPr>
          <w:pgSz w:w="11900" w:h="16838" w:orient="portrait"/>
          <w:cols w:equalWidth="0" w:num="1">
            <w:col w:w="10219"/>
          </w:cols>
          <w:pgMar w:left="240" w:top="709" w:right="1440" w:bottom="1440" w:gutter="0" w:footer="0" w:header="0"/>
        </w:sectPr>
      </w:pPr>
    </w:p>
    <w:bookmarkStart w:id="75" w:name="page76"/>
    <w:bookmarkEnd w:id="75"/>
    <w:p>
      <w:pPr>
        <w:jc w:val="right"/>
        <w:ind w:right="1979"/>
        <w:spacing w:after="0"/>
        <w:rPr>
          <w:sz w:val="20"/>
          <w:szCs w:val="20"/>
          <w:color w:val="auto"/>
        </w:rPr>
      </w:pPr>
      <w:r>
        <w:rPr>
          <w:rFonts w:ascii="Courier New" w:cs="Courier New" w:eastAsia="Courier New" w:hAnsi="Courier New"/>
          <w:sz w:val="17"/>
          <w:szCs w:val="17"/>
          <w:color w:val="auto"/>
        </w:rPr>
        <w:t>ANNEX II</w:t>
      </w:r>
    </w:p>
    <w:p>
      <w:pPr>
        <w:spacing w:after="0" w:line="200" w:lineRule="exact"/>
        <w:rPr>
          <w:sz w:val="20"/>
          <w:szCs w:val="20"/>
          <w:color w:val="auto"/>
        </w:rPr>
      </w:pPr>
    </w:p>
    <w:p>
      <w:pPr>
        <w:spacing w:after="0" w:line="399"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Pursuant to Section 7(e) of the Underwriting Agreement, the accountants shall furnish letters to the Underwriters to the effect that:</w:t>
      </w:r>
    </w:p>
    <w:p>
      <w:pPr>
        <w:spacing w:after="0" w:line="198" w:lineRule="exact"/>
        <w:rPr>
          <w:sz w:val="20"/>
          <w:szCs w:val="20"/>
          <w:color w:val="auto"/>
        </w:rPr>
      </w:pPr>
    </w:p>
    <w:p>
      <w:pPr>
        <w:ind w:left="520" w:right="1979" w:firstLine="515"/>
        <w:spacing w:after="0" w:line="246" w:lineRule="auto"/>
        <w:tabs>
          <w:tab w:leader="none" w:pos="154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are independent certified public accountants with respect to the Company and its subsidiaries within the meaning of the Act and the applicable published rules and regulations thereunder;</w:t>
      </w:r>
    </w:p>
    <w:p>
      <w:pPr>
        <w:spacing w:after="0" w:line="199" w:lineRule="exact"/>
        <w:rPr>
          <w:rFonts w:ascii="Courier New" w:cs="Courier New" w:eastAsia="Courier New" w:hAnsi="Courier New"/>
          <w:sz w:val="17"/>
          <w:szCs w:val="17"/>
          <w:color w:val="auto"/>
        </w:rPr>
      </w:pPr>
    </w:p>
    <w:p>
      <w:pPr>
        <w:ind w:left="520" w:right="1979" w:firstLine="412"/>
        <w:spacing w:after="0" w:line="246" w:lineRule="auto"/>
        <w:tabs>
          <w:tab w:leader="none" w:pos="154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206" w:lineRule="exact"/>
        <w:rPr>
          <w:rFonts w:ascii="Courier New" w:cs="Courier New" w:eastAsia="Courier New" w:hAnsi="Courier New"/>
          <w:sz w:val="17"/>
          <w:szCs w:val="17"/>
          <w:color w:val="auto"/>
        </w:rPr>
      </w:pPr>
    </w:p>
    <w:p>
      <w:pPr>
        <w:ind w:left="520" w:right="1979" w:firstLine="309"/>
        <w:spacing w:after="0" w:line="246" w:lineRule="auto"/>
        <w:tabs>
          <w:tab w:leader="none" w:pos="1549"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w:t>
      </w:r>
    </w:p>
    <w:p>
      <w:pPr>
        <w:spacing w:after="0" w:line="203" w:lineRule="exact"/>
        <w:rPr>
          <w:rFonts w:ascii="Courier New" w:cs="Courier New" w:eastAsia="Courier New" w:hAnsi="Courier New"/>
          <w:sz w:val="17"/>
          <w:szCs w:val="17"/>
          <w:color w:val="auto"/>
        </w:rPr>
      </w:pPr>
    </w:p>
    <w:p>
      <w:pPr>
        <w:ind w:left="4020" w:hanging="205"/>
        <w:spacing w:after="0"/>
        <w:tabs>
          <w:tab w:leader="none" w:pos="4020"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w:t>
      </w:r>
    </w:p>
    <w:p>
      <w:pPr>
        <w:sectPr>
          <w:pgSz w:w="11900" w:h="16838" w:orient="portrait"/>
          <w:cols w:equalWidth="0" w:num="1">
            <w:col w:w="10219"/>
          </w:cols>
          <w:pgMar w:left="240" w:top="709" w:right="1440" w:bottom="1440" w:gutter="0" w:footer="0" w:header="0"/>
        </w:sectPr>
      </w:pPr>
    </w:p>
    <w:bookmarkStart w:id="76" w:name="page77"/>
    <w:bookmarkEnd w:id="76"/>
    <w:p>
      <w:pPr>
        <w:ind w:right="1979"/>
        <w:spacing w:after="0" w:line="246" w:lineRule="auto"/>
        <w:rPr>
          <w:sz w:val="20"/>
          <w:szCs w:val="20"/>
          <w:color w:val="auto"/>
        </w:rPr>
      </w:pPr>
      <w:r>
        <w:rPr>
          <w:rFonts w:ascii="Courier New" w:cs="Courier New" w:eastAsia="Courier New" w:hAnsi="Courier New"/>
          <w:sz w:val="17"/>
          <w:szCs w:val="17"/>
          <w:color w:val="auto"/>
        </w:rPr>
        <w:t>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203" w:lineRule="exact"/>
        <w:rPr>
          <w:sz w:val="20"/>
          <w:szCs w:val="20"/>
          <w:color w:val="auto"/>
        </w:rPr>
      </w:pPr>
    </w:p>
    <w:p>
      <w:pPr>
        <w:ind w:right="1979" w:firstLine="515"/>
        <w:spacing w:after="0" w:line="246" w:lineRule="auto"/>
        <w:tabs>
          <w:tab w:leader="none" w:pos="1132"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203"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202" w:lineRule="exact"/>
        <w:rPr>
          <w:rFonts w:ascii="Courier New" w:cs="Courier New" w:eastAsia="Courier New" w:hAnsi="Courier New"/>
          <w:sz w:val="17"/>
          <w:szCs w:val="17"/>
          <w:color w:val="auto"/>
        </w:rPr>
      </w:pPr>
    </w:p>
    <w:p>
      <w:pPr>
        <w:ind w:right="1979" w:firstLine="412"/>
        <w:spacing w:after="0" w:line="246" w:lineRule="auto"/>
        <w:tabs>
          <w:tab w:leader="none" w:pos="1029"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w:t>
      </w:r>
    </w:p>
    <w:p>
      <w:pPr>
        <w:spacing w:after="0" w:line="203"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w:t>
      </w:r>
    </w:p>
    <w:p>
      <w:pPr>
        <w:sectPr>
          <w:pgSz w:w="11900" w:h="16838" w:orient="portrait"/>
          <w:cols w:equalWidth="0" w:num="1">
            <w:col w:w="9699"/>
          </w:cols>
          <w:pgMar w:left="760" w:top="709" w:right="1440" w:bottom="1440" w:gutter="0" w:footer="0" w:header="0"/>
        </w:sectPr>
      </w:pPr>
    </w:p>
    <w:bookmarkStart w:id="77" w:name="page78"/>
    <w:bookmarkEnd w:id="77"/>
    <w:p>
      <w:pPr>
        <w:ind w:right="2599"/>
        <w:spacing w:after="0" w:line="247" w:lineRule="auto"/>
        <w:rPr>
          <w:sz w:val="20"/>
          <w:szCs w:val="20"/>
          <w:color w:val="auto"/>
        </w:rPr>
      </w:pPr>
      <w:r>
        <w:rPr>
          <w:rFonts w:ascii="Courier New" w:cs="Courier New" w:eastAsia="Courier New" w:hAnsi="Courier New"/>
          <w:sz w:val="17"/>
          <w:szCs w:val="17"/>
          <w:color w:val="auto"/>
        </w:rPr>
        <w:t>may be specified in such letter, nothing came to their attention that caused them to believe that:</w:t>
      </w:r>
    </w:p>
    <w:p>
      <w:pPr>
        <w:spacing w:after="0" w:line="198" w:lineRule="exact"/>
        <w:rPr>
          <w:sz w:val="20"/>
          <w:szCs w:val="20"/>
          <w:color w:val="auto"/>
        </w:rPr>
      </w:pPr>
    </w:p>
    <w:p>
      <w:pPr>
        <w:ind w:left="520" w:right="1979" w:firstLine="510"/>
        <w:spacing w:after="0" w:line="246" w:lineRule="auto"/>
        <w:tabs>
          <w:tab w:leader="none" w:pos="155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w:t>
      </w:r>
    </w:p>
    <w:p>
      <w:pPr>
        <w:spacing w:after="0" w:line="4" w:lineRule="exact"/>
        <w:rPr>
          <w:rFonts w:ascii="Courier New" w:cs="Courier New" w:eastAsia="Courier New" w:hAnsi="Courier New"/>
          <w:sz w:val="17"/>
          <w:szCs w:val="17"/>
          <w:color w:val="auto"/>
        </w:rPr>
      </w:pPr>
    </w:p>
    <w:p>
      <w:pPr>
        <w:ind w:left="520" w:right="1979" w:hanging="5"/>
        <w:spacing w:after="0" w:line="246" w:lineRule="auto"/>
        <w:tabs>
          <w:tab w:leader="none" w:pos="103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201" w:lineRule="exact"/>
        <w:rPr>
          <w:rFonts w:ascii="Courier New" w:cs="Courier New" w:eastAsia="Courier New" w:hAnsi="Courier New"/>
          <w:sz w:val="17"/>
          <w:szCs w:val="17"/>
          <w:color w:val="auto"/>
        </w:rPr>
      </w:pPr>
    </w:p>
    <w:p>
      <w:pPr>
        <w:ind w:left="520" w:right="1979" w:firstLine="510"/>
        <w:spacing w:after="0" w:line="246" w:lineRule="auto"/>
        <w:tabs>
          <w:tab w:leader="none" w:pos="155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202" w:lineRule="exact"/>
        <w:rPr>
          <w:rFonts w:ascii="Courier New" w:cs="Courier New" w:eastAsia="Courier New" w:hAnsi="Courier New"/>
          <w:sz w:val="17"/>
          <w:szCs w:val="17"/>
          <w:color w:val="auto"/>
        </w:rPr>
      </w:pPr>
    </w:p>
    <w:p>
      <w:pPr>
        <w:ind w:left="520" w:right="2079" w:firstLine="510"/>
        <w:spacing w:after="0" w:line="246" w:lineRule="auto"/>
        <w:tabs>
          <w:tab w:leader="none" w:pos="155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202"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3 -</w:t>
      </w:r>
    </w:p>
    <w:p>
      <w:pPr>
        <w:sectPr>
          <w:pgSz w:w="11900" w:h="16838" w:orient="portrait"/>
          <w:cols w:equalWidth="0" w:num="1">
            <w:col w:w="9699"/>
          </w:cols>
          <w:pgMar w:left="760" w:top="709" w:right="1440" w:bottom="1440" w:gutter="0" w:footer="0" w:header="0"/>
        </w:sectPr>
      </w:pPr>
    </w:p>
    <w:bookmarkStart w:id="78" w:name="page79"/>
    <w:bookmarkEnd w:id="78"/>
    <w:p>
      <w:pPr>
        <w:ind w:left="-160" w:right="1979" w:firstLine="510"/>
        <w:spacing w:after="0" w:line="246" w:lineRule="auto"/>
        <w:tabs>
          <w:tab w:leader="none" w:pos="87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202" w:lineRule="exact"/>
        <w:rPr>
          <w:rFonts w:ascii="Courier New" w:cs="Courier New" w:eastAsia="Courier New" w:hAnsi="Courier New"/>
          <w:sz w:val="17"/>
          <w:szCs w:val="17"/>
          <w:color w:val="auto"/>
        </w:rPr>
      </w:pPr>
    </w:p>
    <w:p>
      <w:pPr>
        <w:ind w:left="-160" w:right="1979" w:firstLine="510"/>
        <w:spacing w:after="0" w:line="246" w:lineRule="auto"/>
        <w:tabs>
          <w:tab w:leader="none" w:pos="87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206" w:lineRule="exact"/>
        <w:rPr>
          <w:rFonts w:ascii="Courier New" w:cs="Courier New" w:eastAsia="Courier New" w:hAnsi="Courier New"/>
          <w:sz w:val="17"/>
          <w:szCs w:val="17"/>
          <w:color w:val="auto"/>
        </w:rPr>
      </w:pPr>
    </w:p>
    <w:p>
      <w:pPr>
        <w:ind w:left="-160" w:right="2079" w:firstLine="510"/>
        <w:spacing w:after="0" w:line="246" w:lineRule="auto"/>
        <w:tabs>
          <w:tab w:leader="none" w:pos="87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w:t>
      </w:r>
    </w:p>
    <w:p>
      <w:pPr>
        <w:spacing w:after="0" w:line="204" w:lineRule="exact"/>
        <w:rPr>
          <w:rFonts w:ascii="Courier New" w:cs="Courier New" w:eastAsia="Courier New" w:hAnsi="Courier New"/>
          <w:sz w:val="17"/>
          <w:szCs w:val="17"/>
          <w:color w:val="auto"/>
        </w:rPr>
      </w:pPr>
    </w:p>
    <w:p>
      <w:pPr>
        <w:ind w:left="2820" w:hanging="205"/>
        <w:spacing w:after="0"/>
        <w:tabs>
          <w:tab w:leader="none" w:pos="282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w:t>
      </w:r>
    </w:p>
    <w:p>
      <w:pPr>
        <w:sectPr>
          <w:pgSz w:w="11900" w:h="16838" w:orient="portrait"/>
          <w:cols w:equalWidth="0" w:num="1">
            <w:col w:w="9019"/>
          </w:cols>
          <w:pgMar w:left="1440" w:top="709" w:right="1440" w:bottom="1440" w:gutter="0" w:footer="0" w:header="0"/>
        </w:sectPr>
      </w:pPr>
    </w:p>
    <w:bookmarkStart w:id="79" w:name="page80"/>
    <w:bookmarkEnd w:id="79"/>
    <w:p>
      <w:pPr>
        <w:ind w:left="1040"/>
        <w:spacing w:after="0"/>
        <w:rPr>
          <w:sz w:val="20"/>
          <w:szCs w:val="20"/>
          <w:color w:val="auto"/>
        </w:rPr>
      </w:pPr>
      <w:r>
        <w:rPr>
          <w:rFonts w:ascii="Courier New" w:cs="Courier New" w:eastAsia="Courier New" w:hAnsi="Courier New"/>
          <w:sz w:val="17"/>
          <w:szCs w:val="17"/>
          <w:color w:val="auto"/>
        </w:rPr>
        <w:t>have occurred or may occur or which are described in such letter; and</w:t>
      </w:r>
    </w:p>
    <w:p>
      <w:pPr>
        <w:spacing w:after="0" w:line="203" w:lineRule="exact"/>
        <w:rPr>
          <w:sz w:val="20"/>
          <w:szCs w:val="20"/>
          <w:color w:val="auto"/>
        </w:rPr>
      </w:pPr>
    </w:p>
    <w:p>
      <w:pPr>
        <w:ind w:left="520" w:right="1979" w:firstLine="309"/>
        <w:spacing w:after="0" w:line="246" w:lineRule="auto"/>
        <w:tabs>
          <w:tab w:leader="none" w:pos="1549"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- 5 -</w:t>
      </w:r>
    </w:p>
    <w:p>
      <w:pPr>
        <w:sectPr>
          <w:pgSz w:w="11900" w:h="16838" w:orient="portrait"/>
          <w:cols w:equalWidth="0" w:num="1">
            <w:col w:w="10219"/>
          </w:cols>
          <w:pgMar w:left="240" w:top="709" w:right="1440" w:bottom="1440" w:gutter="0" w:footer="0" w:header="0"/>
        </w:sectPr>
      </w:pPr>
    </w:p>
    <w:bookmarkStart w:id="80" w:name="page81"/>
    <w:bookmarkEnd w:id="80"/>
    <w:p>
      <w:pPr>
        <w:jc w:val="right"/>
        <w:ind w:right="1979"/>
        <w:spacing w:after="0"/>
        <w:rPr>
          <w:sz w:val="20"/>
          <w:szCs w:val="20"/>
          <w:color w:val="auto"/>
        </w:rPr>
      </w:pPr>
      <w:r>
        <w:rPr>
          <w:rFonts w:ascii="Courier New" w:cs="Courier New" w:eastAsia="Courier New" w:hAnsi="Courier New"/>
          <w:sz w:val="17"/>
          <w:szCs w:val="17"/>
          <w:color w:val="auto"/>
        </w:rPr>
        <w:t>ANNEX III</w:t>
      </w: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List of Partnerships/Joint Ventures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Andorra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Berman Enterprises II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Congressional Plaza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R Associates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Governor Plaza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Loehmann's Plaza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Shopping Center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Terra 18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Virginia Real Estate Investors Limited Partnership</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10219"/>
          </w:cols>
          <w:pgMar w:left="240" w:top="709" w:right="1440" w:bottom="1440" w:gutter="0" w:footer="0" w:header="0"/>
        </w:sectPr>
      </w:pPr>
    </w:p>
    <w:bookmarkStart w:id="81" w:name="page82"/>
    <w:bookmarkEnd w:id="81"/>
    <w:p>
      <w:pPr>
        <w:jc w:val="right"/>
        <w:ind w:right="1979"/>
        <w:spacing w:after="0"/>
        <w:rPr>
          <w:sz w:val="20"/>
          <w:szCs w:val="20"/>
          <w:color w:val="auto"/>
        </w:rPr>
      </w:pPr>
      <w:r>
        <w:rPr>
          <w:rFonts w:ascii="Courier New" w:cs="Courier New" w:eastAsia="Courier New" w:hAnsi="Courier New"/>
          <w:sz w:val="17"/>
          <w:szCs w:val="17"/>
          <w:color w:val="auto"/>
        </w:rPr>
        <w:t>Exhibit (1)(b)</w:t>
      </w:r>
    </w:p>
    <w:p>
      <w:pPr>
        <w:spacing w:after="0" w:line="200" w:lineRule="exact"/>
        <w:rPr>
          <w:sz w:val="20"/>
          <w:szCs w:val="20"/>
          <w:color w:val="auto"/>
        </w:rPr>
      </w:pPr>
    </w:p>
    <w:p>
      <w:pPr>
        <w:spacing w:after="0" w:line="399"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Common Shares and Preferred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_______________</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Underwriting Agreement</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___________, 199_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Representatives of the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several Underwriters named in the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respective Pricing Agreements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hereinafter described.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From time to time Federal Realty Investment Trust, a business trust organized under the laws of the District of Columbia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shares of beneficial interest (the "Shares") specified in Schedule II to such Pricing Agreement (with respect to such Pricing Agreement, the "Designated Shares"). The Shares may include the Company's shares of beneficial interest, no par or stated value (the "Common Shares"), or preferred shares (the "Preferred Shares").</w:t>
      </w:r>
    </w:p>
    <w:p>
      <w:pPr>
        <w:spacing w:after="0" w:line="206"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The terms and rights of any particular issuance of Designated Shares shall be as specified in the Pricing Agreement relating</w:t>
      </w:r>
    </w:p>
    <w:p>
      <w:pPr>
        <w:sectPr>
          <w:pgSz w:w="11900" w:h="16838" w:orient="portrait"/>
          <w:cols w:equalWidth="0" w:num="1">
            <w:col w:w="10219"/>
          </w:cols>
          <w:pgMar w:left="240" w:top="538" w:right="1440" w:bottom="1440" w:gutter="0" w:footer="0" w:header="0"/>
        </w:sectPr>
      </w:pPr>
    </w:p>
    <w:bookmarkStart w:id="82" w:name="page83"/>
    <w:bookmarkEnd w:id="82"/>
    <w:p>
      <w:pPr>
        <w:ind w:right="2279"/>
        <w:spacing w:after="0" w:line="247" w:lineRule="auto"/>
        <w:rPr>
          <w:sz w:val="20"/>
          <w:szCs w:val="20"/>
          <w:color w:val="auto"/>
        </w:rPr>
      </w:pPr>
      <w:r>
        <w:rPr>
          <w:rFonts w:ascii="Courier New" w:cs="Courier New" w:eastAsia="Courier New" w:hAnsi="Courier New"/>
          <w:sz w:val="17"/>
          <w:szCs w:val="17"/>
          <w:color w:val="auto"/>
        </w:rPr>
        <w:t>thereto and in or pursuant to the resolutions of the board of trustees of the Company identified in such Pricing Agreement.</w:t>
      </w:r>
    </w:p>
    <w:p>
      <w:pPr>
        <w:spacing w:after="0" w:line="396" w:lineRule="exact"/>
        <w:rPr>
          <w:sz w:val="20"/>
          <w:szCs w:val="20"/>
          <w:color w:val="auto"/>
        </w:rPr>
      </w:pPr>
    </w:p>
    <w:p>
      <w:pPr>
        <w:ind w:right="1979" w:firstLine="6"/>
        <w:spacing w:after="0" w:line="246" w:lineRule="auto"/>
        <w:tabs>
          <w:tab w:leader="none" w:pos="412"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213" w:lineRule="exact"/>
        <w:rPr>
          <w:rFonts w:ascii="Courier New" w:cs="Courier New" w:eastAsia="Courier New" w:hAnsi="Courier New"/>
          <w:sz w:val="17"/>
          <w:szCs w:val="17"/>
          <w:color w:val="auto"/>
        </w:rPr>
      </w:pPr>
    </w:p>
    <w:p>
      <w:pPr>
        <w:ind w:right="2279" w:firstLine="520"/>
        <w:spacing w:after="0" w:line="247" w:lineRule="auto"/>
        <w:tabs>
          <w:tab w:leader="none" w:pos="927"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represents and warrants to, and agrees with, each of the Underwriters that:</w:t>
      </w:r>
    </w:p>
    <w:p>
      <w:pPr>
        <w:spacing w:after="0" w:line="197" w:lineRule="exact"/>
        <w:rPr>
          <w:rFonts w:ascii="Courier New" w:cs="Courier New" w:eastAsia="Courier New" w:hAnsi="Courier New"/>
          <w:sz w:val="17"/>
          <w:szCs w:val="17"/>
          <w:color w:val="auto"/>
        </w:rPr>
      </w:pPr>
    </w:p>
    <w:p>
      <w:pPr>
        <w:ind w:left="520" w:right="2179" w:firstLine="515"/>
        <w:spacing w:after="0" w:line="246" w:lineRule="auto"/>
        <w:tabs>
          <w:tab w:leader="none" w:pos="1549" w:val="left"/>
        </w:tabs>
        <w:numPr>
          <w:ilvl w:val="2"/>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registration statements on Form S-3 (File Nos. 33-51029 and 33-_______) (the "Initial Registration Statements") in respect of the Shares have been filed with the Securities and Exchange Commission (the "Commission"); the</w:t>
      </w:r>
    </w:p>
    <w:p>
      <w:pPr>
        <w:spacing w:after="0" w:line="200" w:lineRule="exact"/>
        <w:rPr>
          <w:rFonts w:ascii="Courier New" w:cs="Courier New" w:eastAsia="Courier New" w:hAnsi="Courier New"/>
          <w:sz w:val="17"/>
          <w:szCs w:val="17"/>
          <w:color w:val="auto"/>
        </w:rPr>
      </w:pPr>
    </w:p>
    <w:p>
      <w:pPr>
        <w:ind w:left="4020" w:hanging="205"/>
        <w:spacing w:after="0"/>
        <w:tabs>
          <w:tab w:leader="none" w:pos="4020" w:val="left"/>
        </w:tabs>
        <w:numPr>
          <w:ilvl w:val="3"/>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w:t>
      </w:r>
    </w:p>
    <w:p>
      <w:pPr>
        <w:sectPr>
          <w:pgSz w:w="11900" w:h="16838" w:orient="portrait"/>
          <w:cols w:equalWidth="0" w:num="1">
            <w:col w:w="10219"/>
          </w:cols>
          <w:pgMar w:left="240" w:top="709" w:right="1440" w:bottom="1440" w:gutter="0" w:footer="0" w:header="0"/>
        </w:sectPr>
      </w:pPr>
    </w:p>
    <w:bookmarkStart w:id="83" w:name="page84"/>
    <w:bookmarkEnd w:id="83"/>
    <w:p>
      <w:pPr>
        <w:ind w:right="3319"/>
        <w:spacing w:after="0" w:line="246" w:lineRule="auto"/>
        <w:rPr>
          <w:sz w:val="20"/>
          <w:szCs w:val="20"/>
          <w:color w:val="auto"/>
        </w:rPr>
      </w:pPr>
      <w:r>
        <w:rPr>
          <w:rFonts w:ascii="Courier New" w:cs="Courier New" w:eastAsia="Courier New" w:hAnsi="Courier New"/>
          <w:sz w:val="17"/>
          <w:szCs w:val="17"/>
          <w:color w:val="auto"/>
        </w:rPr>
        <w:t>Initial Registration Statements and any post-effective amendment thereto, each in the form heretofore delivered or to</w:t>
      </w:r>
    </w:p>
    <w:p>
      <w:pPr>
        <w:spacing w:after="0" w:line="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be delivered to the Representatives and, excluding exhibits to such registration statements, but including all documents incorporated by reference in the prospectus contained in the latest registration statement,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Statements or document incorporated by reference therein has heretofore been filed or transmitted for filing with the Commission (other than prospectuses filed pursuant to Rule 424(b) under the Act, each in the form heretofore delivered to the Representatives); and no stop order suspending the effectiveness of the Initial Registration Statements, any post-effective amendment thereto or the Rule 462(b) Registration Statement, if any, has been issued and no proceeding for that purpose has been initiated or threatened by the Commission (any preliminary prospectus included in the Initial Registration Statements or filed with the Commission pursuant to Rule 424(a) under the Act is hereinafter called a "Preliminary Prospectus"; the various parts of the Initial Registration Statements and the Rule 462(b) Registration Statement, if any, including all exhibits thereto and the documents incorporated by reference in the prospectus contained in the Initial Registration Statements at the time such part of the registration statements became effective, each as amended at the time such part of the Initial Registration Statements became effective or such part of the Rule 462(b) Registration Statement, if any, became or hereafter becomes effective, are hereinafter collectively called the "Registration Statement"; the prospectus relating to the Shares,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w:t>
      </w:r>
    </w:p>
    <w:p>
      <w:pPr>
        <w:spacing w:after="0" w:line="21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9699"/>
          </w:cols>
          <w:pgMar w:left="760" w:top="709" w:right="1440" w:bottom="1440" w:gutter="0" w:footer="0" w:header="0"/>
        </w:sectPr>
      </w:pPr>
    </w:p>
    <w:bookmarkStart w:id="84" w:name="page85"/>
    <w:bookmarkEnd w:id="84"/>
    <w:p>
      <w:pPr>
        <w:ind w:right="1979"/>
        <w:spacing w:after="0" w:line="246" w:lineRule="auto"/>
        <w:rPr>
          <w:sz w:val="20"/>
          <w:szCs w:val="20"/>
          <w:color w:val="auto"/>
        </w:rPr>
      </w:pPr>
      <w:r>
        <w:rPr>
          <w:rFonts w:ascii="Courier New" w:cs="Courier New" w:eastAsia="Courier New" w:hAnsi="Courier New"/>
          <w:sz w:val="17"/>
          <w:szCs w:val="17"/>
          <w:color w:val="auto"/>
        </w:rPr>
        <w:t>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10" w:lineRule="exact"/>
        <w:rPr>
          <w:sz w:val="20"/>
          <w:szCs w:val="20"/>
          <w:color w:val="auto"/>
        </w:rPr>
      </w:pPr>
    </w:p>
    <w:p>
      <w:pPr>
        <w:ind w:right="2179" w:firstLine="515"/>
        <w:spacing w:after="0" w:line="246" w:lineRule="auto"/>
        <w:tabs>
          <w:tab w:leader="none" w:pos="1029"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w:t>
      </w:r>
    </w:p>
    <w:p>
      <w:pPr>
        <w:spacing w:after="0" w:line="200" w:lineRule="exact"/>
        <w:rPr>
          <w:rFonts w:ascii="Courier New" w:cs="Courier New" w:eastAsia="Courier New" w:hAnsi="Courier New"/>
          <w:sz w:val="17"/>
          <w:szCs w:val="17"/>
          <w:color w:val="auto"/>
        </w:rPr>
      </w:pPr>
    </w:p>
    <w:p>
      <w:pPr>
        <w:spacing w:after="0" w:line="204"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w:t>
      </w:r>
    </w:p>
    <w:p>
      <w:pPr>
        <w:sectPr>
          <w:pgSz w:w="11900" w:h="16838" w:orient="portrait"/>
          <w:cols w:equalWidth="0" w:num="1">
            <w:col w:w="9699"/>
          </w:cols>
          <w:pgMar w:left="760" w:top="709" w:right="1440" w:bottom="1440" w:gutter="0" w:footer="0" w:header="0"/>
        </w:sectPr>
      </w:pPr>
    </w:p>
    <w:bookmarkStart w:id="85" w:name="page86"/>
    <w:bookmarkEnd w:id="85"/>
    <w:p>
      <w:pPr>
        <w:ind w:right="2499"/>
        <w:spacing w:after="0" w:line="246" w:lineRule="auto"/>
        <w:rPr>
          <w:sz w:val="20"/>
          <w:szCs w:val="20"/>
          <w:color w:val="auto"/>
        </w:rPr>
      </w:pPr>
      <w:r>
        <w:rPr>
          <w:rFonts w:ascii="Courier New" w:cs="Courier New" w:eastAsia="Courier New" w:hAnsi="Courier New"/>
          <w:sz w:val="17"/>
          <w:szCs w:val="17"/>
          <w:color w:val="auto"/>
        </w:rPr>
        <w:t>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02" w:lineRule="exact"/>
        <w:rPr>
          <w:sz w:val="20"/>
          <w:szCs w:val="20"/>
          <w:color w:val="auto"/>
        </w:rPr>
      </w:pPr>
    </w:p>
    <w:p>
      <w:pPr>
        <w:ind w:right="2079" w:firstLine="515"/>
        <w:spacing w:after="0" w:line="246" w:lineRule="auto"/>
        <w:tabs>
          <w:tab w:leader="none" w:pos="102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and the Prospectus conform,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06"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is validly existing as a business trust of unlimited duration with transferable shares of beneficial interest in good standing under the laws of the District of Columbia, with full power and authority to own, lease and operate its properties and conduct its business as described in the Prospectus; the Company has one subsidiary, Street Retail Inc. (the "Subsidiary"), which has been duly organized and is validly existing as a corporation in good standing under the laws of the state of Maryland, with full power and authority to own, lease and operate its properties and conduct its business as described in the Prospectus; all of the issued and outstanding stock of the Subsidiary has been duly authorized and validly issued, is fully paid and non-assessable and is owned by the Company free and clear of all pledges, liens, encumbrances,</w:t>
      </w:r>
    </w:p>
    <w:p>
      <w:pPr>
        <w:spacing w:after="0" w:line="205"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5 -</w:t>
      </w:r>
    </w:p>
    <w:p>
      <w:pPr>
        <w:sectPr>
          <w:pgSz w:w="11900" w:h="16838" w:orient="portrait"/>
          <w:cols w:equalWidth="0" w:num="1">
            <w:col w:w="9699"/>
          </w:cols>
          <w:pgMar w:left="760" w:top="709" w:right="1440" w:bottom="1440" w:gutter="0" w:footer="0" w:header="0"/>
        </w:sectPr>
      </w:pPr>
    </w:p>
    <w:bookmarkStart w:id="86" w:name="page87"/>
    <w:bookmarkEnd w:id="86"/>
    <w:p>
      <w:pPr>
        <w:ind w:right="1979"/>
        <w:spacing w:after="0" w:line="246" w:lineRule="auto"/>
        <w:rPr>
          <w:sz w:val="20"/>
          <w:szCs w:val="20"/>
          <w:color w:val="auto"/>
        </w:rPr>
      </w:pPr>
      <w:r>
        <w:rPr>
          <w:rFonts w:ascii="Courier New" w:cs="Courier New" w:eastAsia="Courier New" w:hAnsi="Courier New"/>
          <w:sz w:val="17"/>
          <w:szCs w:val="17"/>
          <w:color w:val="auto"/>
        </w:rPr>
        <w:t>claims, security interests and defects; each of the partnerships and joint ventures in which the Company has a material equity interest is listed in Annex III hereto (collectively, the "Partnerships") and each such Partnership has been duly organized and is validly existing as a limited partnership, general partnership or joint venture, as the case may be, in good standing under the laws of the jurisdiction of its organization, with power and authority to own or lease its properties and conduct its business as described in the Prospectus; the Company owns its interests in the Partnerships free and clear of all pledges, liens, encumbrances, claims, security interests and defects; no options, warrants or other rights to convert any obligations into partnership or other ownership interests in the Partnerships are outstanding; and the Company, the Subsidiary and each of the Partnerships are duly qualified to transact business in all jurisdictions in which the conduct of their respective businesses requires such qualification;</w:t>
      </w:r>
    </w:p>
    <w:p>
      <w:pPr>
        <w:spacing w:after="0" w:line="207" w:lineRule="exact"/>
        <w:rPr>
          <w:sz w:val="20"/>
          <w:szCs w:val="20"/>
          <w:color w:val="auto"/>
        </w:rPr>
      </w:pPr>
    </w:p>
    <w:p>
      <w:pPr>
        <w:ind w:right="1979" w:firstLine="515"/>
        <w:spacing w:after="0" w:line="246" w:lineRule="auto"/>
        <w:tabs>
          <w:tab w:leader="none" w:pos="102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Company, the Subsidiary or any of the Partnerships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the Subsidiary and the Partnerships taken as a whole, otherwise than as set forth or contemplated in the Prospectus;</w:t>
      </w:r>
    </w:p>
    <w:p>
      <w:pPr>
        <w:spacing w:after="0" w:line="207" w:lineRule="exact"/>
        <w:rPr>
          <w:rFonts w:ascii="Courier New" w:cs="Courier New" w:eastAsia="Courier New" w:hAnsi="Courier New"/>
          <w:sz w:val="17"/>
          <w:szCs w:val="17"/>
          <w:color w:val="auto"/>
        </w:rPr>
      </w:pPr>
    </w:p>
    <w:p>
      <w:pPr>
        <w:ind w:right="2079" w:firstLine="515"/>
        <w:spacing w:after="0" w:line="247" w:lineRule="auto"/>
        <w:tabs>
          <w:tab w:leader="none" w:pos="102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authorized capitalization as set forth in the Prospectus, and all of the issued shares of</w:t>
      </w:r>
    </w:p>
    <w:p>
      <w:pPr>
        <w:spacing w:after="0" w:line="395"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6 -</w:t>
      </w:r>
    </w:p>
    <w:p>
      <w:pPr>
        <w:sectPr>
          <w:pgSz w:w="11900" w:h="16838" w:orient="portrait"/>
          <w:cols w:equalWidth="0" w:num="1">
            <w:col w:w="9699"/>
          </w:cols>
          <w:pgMar w:left="760" w:top="709" w:right="1440" w:bottom="1440" w:gutter="0" w:footer="0" w:header="0"/>
        </w:sectPr>
      </w:pPr>
    </w:p>
    <w:bookmarkStart w:id="87" w:name="page88"/>
    <w:bookmarkEnd w:id="87"/>
    <w:p>
      <w:pPr>
        <w:ind w:right="2079"/>
        <w:spacing w:after="0" w:line="246" w:lineRule="auto"/>
        <w:rPr>
          <w:sz w:val="20"/>
          <w:szCs w:val="20"/>
          <w:color w:val="auto"/>
        </w:rPr>
      </w:pPr>
      <w:r>
        <w:rPr>
          <w:rFonts w:ascii="Courier New" w:cs="Courier New" w:eastAsia="Courier New" w:hAnsi="Courier New"/>
          <w:sz w:val="17"/>
          <w:szCs w:val="17"/>
          <w:color w:val="auto"/>
        </w:rPr>
        <w:t>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200" w:lineRule="exact"/>
        <w:rPr>
          <w:sz w:val="20"/>
          <w:szCs w:val="20"/>
          <w:color w:val="auto"/>
        </w:rPr>
      </w:pPr>
    </w:p>
    <w:p>
      <w:pPr>
        <w:ind w:right="2079" w:firstLine="515"/>
        <w:spacing w:after="0" w:line="246" w:lineRule="auto"/>
        <w:tabs>
          <w:tab w:leader="none" w:pos="102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have been duly and validly authorized, and, when Designated Shares are issued and delivered pursuant to this Agreement and the Pricing Agreement with respect to such Designated Shares, such Designated Shares will be duly and validly issued and fully paid and, except as set forth in the Prospectus under the captions "Description of Common Shares--Shareholder Liability" and "Description of Preferred Shares--Shareholder Liability", non-assessable; and the Shares conform to the description thereof contained in the Registration Statement, and the Designated Shares will conform to the description thereof contained in the Prospectus as amended or supplemented with respect to such Designated Shares;</w:t>
      </w:r>
    </w:p>
    <w:p>
      <w:pPr>
        <w:spacing w:after="0" w:line="204"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 and sale of the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the Subsidiary or any of the Partnerships is a party or by which the Company, the Subsidiary or any of the Partnerships is bound or to which any of the property or assets of the Company, the Subsidiary or any of the Partnerships is subject, nor will such action result in any violation of the provisions of the Declaration of Trust or By-laws of the Company or any statute or any order, rule or regulation of any court or governmental agency or body having jurisdiction over the Company, the Subsidiary or any of the Partnerships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 any Pricing Agreement, except such as have been, or will have been prior to the Time of Delivery (as defined in Section 4 hereof), obtained under</w:t>
      </w:r>
    </w:p>
    <w:p>
      <w:pPr>
        <w:spacing w:after="0" w:line="209"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7 -</w:t>
      </w:r>
    </w:p>
    <w:p>
      <w:pPr>
        <w:sectPr>
          <w:pgSz w:w="11900" w:h="16838" w:orient="portrait"/>
          <w:cols w:equalWidth="0" w:num="1">
            <w:col w:w="9699"/>
          </w:cols>
          <w:pgMar w:left="760" w:top="709" w:right="1440" w:bottom="1440" w:gutter="0" w:footer="0" w:header="0"/>
        </w:sectPr>
      </w:pPr>
    </w:p>
    <w:bookmarkStart w:id="88" w:name="page89"/>
    <w:bookmarkEnd w:id="88"/>
    <w:p>
      <w:pPr>
        <w:ind w:right="1979"/>
        <w:spacing w:after="0" w:line="246" w:lineRule="auto"/>
        <w:rPr>
          <w:sz w:val="20"/>
          <w:szCs w:val="20"/>
          <w:color w:val="auto"/>
        </w:rPr>
      </w:pPr>
      <w:r>
        <w:rPr>
          <w:rFonts w:ascii="Courier New" w:cs="Courier New" w:eastAsia="Courier New" w:hAnsi="Courier New"/>
          <w:sz w:val="17"/>
          <w:szCs w:val="17"/>
          <w:color w:val="auto"/>
        </w:rPr>
        <w:t>the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Shares by the Underwriters;</w:t>
      </w:r>
    </w:p>
    <w:p>
      <w:pPr>
        <w:spacing w:after="0" w:line="201" w:lineRule="exact"/>
        <w:rPr>
          <w:sz w:val="20"/>
          <w:szCs w:val="20"/>
          <w:color w:val="auto"/>
        </w:rPr>
      </w:pPr>
    </w:p>
    <w:p>
      <w:pPr>
        <w:ind w:right="1979" w:firstLine="515"/>
        <w:spacing w:after="0" w:line="246" w:lineRule="auto"/>
        <w:tabs>
          <w:tab w:leader="none" w:pos="1029"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set forth in the Prospectus, there are no legal or governmental proceedings pending to which the Company, the Subsidiary or any of the Partnerships is a party or of which any property of the Company, the Subsidiary or any of the Partnerships is the subject which, if determined adversely to the Company, the Subsidiary or any of the Partnerships, would individually or in the aggregate have a material adverse effect on the consolidated financial position, shareholders' equity or results of operations of the Company, the Subsidiary and the Partnerships; and, to the best of the Company's knowledge, no such proceedings are threatened or contemplated by governmental authorities or threatened by others;</w:t>
      </w:r>
    </w:p>
    <w:p>
      <w:pPr>
        <w:spacing w:after="0" w:line="204"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consolidated financial statements of the Company, the Subsidiary and the Partnerships, together with related notes and schedules as set forth or incorporated by reference in the Registration Statement, present fairly the financial position and the results of operations of the Company, the Subsidiary and the Partnerships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included in the Prospectus present fairly the information shown therein and have been compiled on a basis consistent with the consolidated financial statements incorporated by reference therein;</w:t>
      </w:r>
    </w:p>
    <w:p>
      <w:pPr>
        <w:spacing w:after="0" w:line="205"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the Partnerships have good and marketable title to, or valid and enforceable leasehold estates in, all items of real and personal property referred to in the Prospectus as owned or leased by the Company, the Subsidiary or any of the Partnerships, in each</w:t>
      </w:r>
    </w:p>
    <w:p>
      <w:pPr>
        <w:spacing w:after="0" w:line="200"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8 -</w:t>
      </w:r>
    </w:p>
    <w:p>
      <w:pPr>
        <w:sectPr>
          <w:pgSz w:w="11900" w:h="16838" w:orient="portrait"/>
          <w:cols w:equalWidth="0" w:num="1">
            <w:col w:w="9699"/>
          </w:cols>
          <w:pgMar w:left="760" w:top="709" w:right="1440" w:bottom="1440" w:gutter="0" w:footer="0" w:header="0"/>
        </w:sectPr>
      </w:pPr>
    </w:p>
    <w:bookmarkStart w:id="89" w:name="page90"/>
    <w:bookmarkEnd w:id="89"/>
    <w:p>
      <w:pPr>
        <w:ind w:right="2799"/>
        <w:spacing w:after="0" w:line="246" w:lineRule="auto"/>
        <w:rPr>
          <w:sz w:val="20"/>
          <w:szCs w:val="20"/>
          <w:color w:val="auto"/>
        </w:rPr>
      </w:pPr>
      <w:r>
        <w:rPr>
          <w:rFonts w:ascii="Courier New" w:cs="Courier New" w:eastAsia="Courier New" w:hAnsi="Courier New"/>
          <w:sz w:val="17"/>
          <w:szCs w:val="17"/>
          <w:color w:val="auto"/>
        </w:rPr>
        <w:t>case free and clear of all pledges, liens, encumbrances, claims, security interests and defects, other than those referred to in the Prospectus or which are not material in amount;</w:t>
      </w:r>
    </w:p>
    <w:p>
      <w:pPr>
        <w:spacing w:after="0" w:line="200" w:lineRule="exact"/>
        <w:rPr>
          <w:sz w:val="20"/>
          <w:szCs w:val="20"/>
          <w:color w:val="auto"/>
        </w:rPr>
      </w:pPr>
    </w:p>
    <w:p>
      <w:pPr>
        <w:ind w:right="2079" w:firstLine="515"/>
        <w:spacing w:after="0" w:line="246" w:lineRule="auto"/>
        <w:tabs>
          <w:tab w:leader="none" w:pos="102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the Partnerships have filed all Federal, State, local and foreign income tax returns which have been required to be filed, or appropriate extensions for such filings have been obtained as required by law, and all Federal, State, local and foreign taxes of the Company, the Subsidiary and the Partnerships have been paid except such taxes as are not yet due or are being contested in good faith;</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Subsidiary and each of the Partnerships hold all material licenses, certificates and permits from governmental authorities which are necessary to the conduct of their respective businesses; and none of the Company, the Subsidiary or any of the Partnerships has infringed any patents, patent rights, trade names, trademarks or copyrights, which infringement is material to the business of the Company;</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Thornton LLP, who have certified the consolidated financial statements filed with the Commission as part of, or incorporated by reference in, the Registration Statement and Prospectus, are independent public accountants as required by the Act and the rules and regulations of the Commission promulgated thereunder;</w:t>
      </w:r>
    </w:p>
    <w:p>
      <w:pPr>
        <w:spacing w:after="0" w:line="200"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conditions for use of registration statements on Form S-3 set forth in the General Instructions on Form S-3 have been satisfied and the Company is entitled to use such form for the transaction contemplated herein;</w:t>
      </w:r>
    </w:p>
    <w:p>
      <w:pPr>
        <w:spacing w:after="0" w:line="200" w:lineRule="exact"/>
        <w:rPr>
          <w:rFonts w:ascii="Courier New" w:cs="Courier New" w:eastAsia="Courier New" w:hAnsi="Courier New"/>
          <w:sz w:val="17"/>
          <w:szCs w:val="17"/>
          <w:color w:val="auto"/>
        </w:rPr>
      </w:pPr>
    </w:p>
    <w:p>
      <w:pPr>
        <w:ind w:right="1979" w:firstLine="515"/>
        <w:spacing w:after="0" w:line="246" w:lineRule="auto"/>
        <w:tabs>
          <w:tab w:leader="none" w:pos="926"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w:t>
      </w:r>
    </w:p>
    <w:p>
      <w:pPr>
        <w:spacing w:after="0" w:line="202" w:lineRule="exact"/>
        <w:rPr>
          <w:rFonts w:ascii="Courier New" w:cs="Courier New" w:eastAsia="Courier New" w:hAnsi="Courier New"/>
          <w:sz w:val="17"/>
          <w:szCs w:val="17"/>
          <w:color w:val="auto"/>
        </w:rPr>
      </w:pPr>
    </w:p>
    <w:p>
      <w:pPr>
        <w:ind w:left="3500" w:hanging="205"/>
        <w:spacing w:after="0"/>
        <w:tabs>
          <w:tab w:leader="none" w:pos="350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9 -</w:t>
      </w:r>
    </w:p>
    <w:p>
      <w:pPr>
        <w:sectPr>
          <w:pgSz w:w="11900" w:h="16838" w:orient="portrait"/>
          <w:cols w:equalWidth="0" w:num="1">
            <w:col w:w="9699"/>
          </w:cols>
          <w:pgMar w:left="760" w:top="709" w:right="1440" w:bottom="1440" w:gutter="0" w:footer="0" w:header="0"/>
        </w:sectPr>
      </w:pPr>
    </w:p>
    <w:bookmarkStart w:id="90" w:name="page91"/>
    <w:bookmarkEnd w:id="90"/>
    <w:p>
      <w:pPr>
        <w:ind w:right="2079"/>
        <w:spacing w:after="0" w:line="246" w:lineRule="auto"/>
        <w:rPr>
          <w:sz w:val="20"/>
          <w:szCs w:val="20"/>
          <w:color w:val="auto"/>
        </w:rPr>
      </w:pPr>
      <w:r>
        <w:rPr>
          <w:rFonts w:ascii="Courier New" w:cs="Courier New" w:eastAsia="Courier New" w:hAnsi="Courier New"/>
          <w:sz w:val="17"/>
          <w:szCs w:val="17"/>
          <w:color w:val="auto"/>
        </w:rPr>
        <w:t>on or operation and use of the properties owned or leased by the Company, the Subsidiary or the Partnerships, the Company represents that, as of the date of this Agreement, it has no knowledge of any material failure by the Company, the Subsidiary or the Partnerships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203" w:lineRule="exact"/>
        <w:rPr>
          <w:sz w:val="20"/>
          <w:szCs w:val="20"/>
          <w:color w:val="auto"/>
        </w:rPr>
      </w:pPr>
    </w:p>
    <w:p>
      <w:pPr>
        <w:ind w:right="1979" w:firstLine="515"/>
        <w:spacing w:after="0" w:line="246" w:lineRule="auto"/>
        <w:tabs>
          <w:tab w:leader="none" w:pos="1029"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203" w:lineRule="exact"/>
        <w:rPr>
          <w:rFonts w:ascii="Courier New" w:cs="Courier New" w:eastAsia="Courier New" w:hAnsi="Courier New"/>
          <w:sz w:val="17"/>
          <w:szCs w:val="17"/>
          <w:color w:val="auto"/>
        </w:rPr>
      </w:pPr>
    </w:p>
    <w:p>
      <w:pPr>
        <w:ind w:left="-520" w:right="2399" w:firstLine="520"/>
        <w:spacing w:after="0" w:line="246" w:lineRule="auto"/>
        <w:tabs>
          <w:tab w:leader="none" w:pos="407"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200" w:lineRule="exact"/>
        <w:rPr>
          <w:rFonts w:ascii="Courier New" w:cs="Courier New" w:eastAsia="Courier New" w:hAnsi="Courier New"/>
          <w:sz w:val="17"/>
          <w:szCs w:val="17"/>
          <w:color w:val="auto"/>
        </w:rPr>
      </w:pPr>
    </w:p>
    <w:p>
      <w:pPr>
        <w:ind w:left="-520" w:right="1979" w:firstLine="520"/>
        <w:spacing w:after="0" w:line="246" w:lineRule="auto"/>
        <w:tabs>
          <w:tab w:leader="none" w:pos="407"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at the place and time and date specified in such Pricing Agreement or at such other place and time and date as the Representatives and the Company may agree upon in writing, such time and date being herein called the "Time of Delivery" for such Shares.</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3400" w:hanging="208"/>
        <w:spacing w:after="0"/>
        <w:tabs>
          <w:tab w:leader="none" w:pos="3400" w:val="left"/>
        </w:tabs>
        <w:numPr>
          <w:ilvl w:val="2"/>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w:t>
      </w:r>
    </w:p>
    <w:p>
      <w:pPr>
        <w:sectPr>
          <w:pgSz w:w="11900" w:h="16838" w:orient="portrait"/>
          <w:cols w:equalWidth="0" w:num="1">
            <w:col w:w="9699"/>
          </w:cols>
          <w:pgMar w:left="760" w:top="709" w:right="1440" w:bottom="1440" w:gutter="0" w:footer="0" w:header="0"/>
        </w:sectPr>
      </w:pPr>
    </w:p>
    <w:bookmarkStart w:id="91" w:name="page92"/>
    <w:bookmarkEnd w:id="91"/>
    <w:p>
      <w:pPr>
        <w:ind w:right="1979" w:firstLine="515"/>
        <w:spacing w:after="0" w:line="246" w:lineRule="auto"/>
        <w:rPr>
          <w:sz w:val="20"/>
          <w:szCs w:val="20"/>
          <w:color w:val="auto"/>
        </w:rPr>
      </w:pPr>
      <w:r>
        <w:rPr>
          <w:rFonts w:ascii="Courier New" w:cs="Courier New" w:eastAsia="Courier New" w:hAnsi="Courier New"/>
          <w:sz w:val="17"/>
          <w:szCs w:val="17"/>
          <w:color w:val="auto"/>
        </w:rPr>
        <w:t>[As compensation to the Underwriters for their commitments to purchase the Designated Shares, the Company at each Time of Delivery will pay to the Representatives, for the accounts of the several Underwriters, an amount per share set forth in the Pricing Agreement relating to the Designated Shares to be sold by the Company thereunder.]</w:t>
      </w:r>
    </w:p>
    <w:p>
      <w:pPr>
        <w:spacing w:after="0" w:line="201" w:lineRule="exact"/>
        <w:rPr>
          <w:sz w:val="20"/>
          <w:szCs w:val="20"/>
          <w:color w:val="auto"/>
        </w:rPr>
      </w:pPr>
    </w:p>
    <w:p>
      <w:pPr>
        <w:ind w:left="940" w:hanging="420"/>
        <w:spacing w:after="0"/>
        <w:tabs>
          <w:tab w:leader="none" w:pos="9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with each of the Underwriters of any Designated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or if the Company elects to rely on Rule</w:t>
      </w:r>
    </w:p>
    <w:p>
      <w:pPr>
        <w:spacing w:after="0" w:line="5" w:lineRule="exact"/>
        <w:rPr>
          <w:rFonts w:ascii="Courier New" w:cs="Courier New" w:eastAsia="Courier New" w:hAnsi="Courier New"/>
          <w:sz w:val="17"/>
          <w:szCs w:val="17"/>
          <w:color w:val="auto"/>
        </w:rPr>
      </w:pPr>
    </w:p>
    <w:p>
      <w:pPr>
        <w:ind w:left="520" w:right="1979"/>
        <w:spacing w:after="0" w:line="246" w:lineRule="auto"/>
        <w:tabs>
          <w:tab w:leader="none" w:pos="932"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Shares and prior to the Time of Delivery for such Shares which shall be reasonably disapproved by the Representatives for such Shares promptly after reasonable notice thereof; to advise the Representatives promptly of any such amendment or supplement</w:t>
      </w:r>
    </w:p>
    <w:p>
      <w:pPr>
        <w:spacing w:after="0" w:line="8" w:lineRule="exact"/>
        <w:rPr>
          <w:rFonts w:ascii="Courier New" w:cs="Courier New" w:eastAsia="Courier New" w:hAnsi="Courier New"/>
          <w:sz w:val="17"/>
          <w:szCs w:val="17"/>
          <w:color w:val="auto"/>
        </w:rPr>
      </w:pPr>
    </w:p>
    <w:p>
      <w:pPr>
        <w:ind w:left="52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after such Time of Delivery and furnish the Representatives with copies thereof; to file promptly all reports and any definitive proxy or information statements required to be filed by the Company with the Commission pursuant to Section</w:t>
      </w:r>
    </w:p>
    <w:p>
      <w:pPr>
        <w:spacing w:after="0" w:line="200" w:lineRule="exact"/>
        <w:rPr>
          <w:rFonts w:ascii="Courier New" w:cs="Courier New" w:eastAsia="Courier New" w:hAnsi="Courier New"/>
          <w:sz w:val="17"/>
          <w:szCs w:val="17"/>
          <w:color w:val="auto"/>
        </w:rPr>
      </w:pPr>
    </w:p>
    <w:p>
      <w:pPr>
        <w:ind w:left="3920" w:hanging="208"/>
        <w:spacing w:after="0"/>
        <w:tabs>
          <w:tab w:leader="none" w:pos="3920" w:val="left"/>
        </w:tabs>
        <w:numPr>
          <w:ilvl w:val="2"/>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11 -</w:t>
      </w:r>
    </w:p>
    <w:p>
      <w:pPr>
        <w:sectPr>
          <w:pgSz w:w="11900" w:h="16838" w:orient="portrait"/>
          <w:cols w:equalWidth="0" w:num="1">
            <w:col w:w="10219"/>
          </w:cols>
          <w:pgMar w:left="240" w:top="709" w:right="1440" w:bottom="1440" w:gutter="0" w:footer="0" w:header="0"/>
        </w:sectPr>
      </w:pPr>
    </w:p>
    <w:bookmarkStart w:id="92" w:name="page93"/>
    <w:bookmarkEnd w:id="92"/>
    <w:p>
      <w:pPr>
        <w:ind w:right="1979"/>
        <w:spacing w:after="0" w:line="246" w:lineRule="auto"/>
        <w:rPr>
          <w:sz w:val="20"/>
          <w:szCs w:val="20"/>
          <w:color w:val="auto"/>
        </w:rPr>
      </w:pPr>
      <w:r>
        <w:rPr>
          <w:rFonts w:ascii="Courier New" w:cs="Courier New" w:eastAsia="Courier New" w:hAnsi="Courier New"/>
          <w:sz w:val="17"/>
          <w:szCs w:val="17"/>
          <w:color w:val="auto"/>
        </w:rPr>
        <w:t>13(a), 13(c), 14 or 15(d) of the Exchange Act for so long as the delivery of a prospectus is required in connection with the offering or sale of such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Shares, of the suspension of the qualification of such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Shares or suspending any such qualification, to use promptly its best efforts to obtain its withdrawal;</w:t>
      </w:r>
    </w:p>
    <w:p>
      <w:pPr>
        <w:spacing w:after="0" w:line="207" w:lineRule="exact"/>
        <w:rPr>
          <w:sz w:val="20"/>
          <w:szCs w:val="20"/>
          <w:color w:val="auto"/>
        </w:rPr>
      </w:pPr>
    </w:p>
    <w:p>
      <w:pPr>
        <w:ind w:right="1979" w:firstLine="515"/>
        <w:spacing w:after="0" w:line="246" w:lineRule="auto"/>
        <w:tabs>
          <w:tab w:leader="none" w:pos="1029"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from time to time to take such action as the Representatives may reasonably request to qualify such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Shares, provided that in connection therewith the Company shall not be required to qualify as a foreign corporation or to file a general consent to service of process in any jurisdiction;</w:t>
      </w:r>
    </w:p>
    <w:p>
      <w:pPr>
        <w:spacing w:after="0" w:line="203"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10:00 a.m. New York City time, on the New York business day next succeeding the date of the applicable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Shares and if at such time any event shall have occurred as a result of which the Prospectus as then amended or supplemented would include an untrue statement of a material fact or omit to state any material fact</w:t>
      </w:r>
    </w:p>
    <w:p>
      <w:pPr>
        <w:spacing w:after="0" w:line="203"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12 -</w:t>
      </w:r>
    </w:p>
    <w:p>
      <w:pPr>
        <w:sectPr>
          <w:pgSz w:w="11900" w:h="16838" w:orient="portrait"/>
          <w:cols w:equalWidth="0" w:num="1">
            <w:col w:w="9699"/>
          </w:cols>
          <w:pgMar w:left="760" w:top="709" w:right="1440" w:bottom="1440" w:gutter="0" w:footer="0" w:header="0"/>
        </w:sectPr>
      </w:pPr>
    </w:p>
    <w:bookmarkStart w:id="93" w:name="page94"/>
    <w:bookmarkEnd w:id="93"/>
    <w:p>
      <w:pPr>
        <w:ind w:right="1979"/>
        <w:spacing w:after="0" w:line="246" w:lineRule="auto"/>
        <w:rPr>
          <w:sz w:val="20"/>
          <w:szCs w:val="20"/>
          <w:color w:val="auto"/>
        </w:rPr>
      </w:pPr>
      <w:r>
        <w:rPr>
          <w:rFonts w:ascii="Courier New" w:cs="Courier New" w:eastAsia="Courier New" w:hAnsi="Courier New"/>
          <w:sz w:val="17"/>
          <w:szCs w:val="17"/>
          <w:color w:val="auto"/>
        </w:rPr>
        <w:t>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05" w:lineRule="exact"/>
        <w:rPr>
          <w:sz w:val="20"/>
          <w:szCs w:val="20"/>
          <w:color w:val="auto"/>
        </w:rPr>
      </w:pPr>
    </w:p>
    <w:p>
      <w:pPr>
        <w:ind w:right="2079" w:firstLine="515"/>
        <w:spacing w:after="0" w:line="246" w:lineRule="auto"/>
        <w:tabs>
          <w:tab w:leader="none" w:pos="102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201"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period beginning from the date of the Pricing Agreement for such Designated Shares and continuing to and including the earlier of (i) the termination of trading restrictions for such Designated Shares, as notified to the Company by the Representatives and (ii) the Time of Delivery for such Designated Shares, not to offer, sell, contract to sell or otherwise issue any shares of capital stock of the Company which are substantially similar to such Designated Shares, without the prior written consent of the Representatives;</w:t>
      </w:r>
    </w:p>
    <w:p>
      <w:pPr>
        <w:spacing w:after="0" w:line="202" w:lineRule="exact"/>
        <w:rPr>
          <w:rFonts w:ascii="Courier New" w:cs="Courier New" w:eastAsia="Courier New" w:hAnsi="Courier New"/>
          <w:sz w:val="17"/>
          <w:szCs w:val="17"/>
          <w:color w:val="auto"/>
        </w:rPr>
      </w:pPr>
    </w:p>
    <w:p>
      <w:pPr>
        <w:ind w:right="2079" w:firstLine="515"/>
        <w:spacing w:after="0" w:line="246" w:lineRule="auto"/>
        <w:tabs>
          <w:tab w:leader="none" w:pos="102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use the net proceeds received by it from the sale of the Shares in the manner specified in the Prospectus under the caption "Use of Proceeds";</w:t>
      </w:r>
    </w:p>
    <w:p>
      <w:pPr>
        <w:spacing w:after="0" w:line="199" w:lineRule="exact"/>
        <w:rPr>
          <w:rFonts w:ascii="Courier New" w:cs="Courier New" w:eastAsia="Courier New" w:hAnsi="Courier New"/>
          <w:sz w:val="17"/>
          <w:szCs w:val="17"/>
          <w:color w:val="auto"/>
        </w:rPr>
      </w:pPr>
    </w:p>
    <w:p>
      <w:pPr>
        <w:jc w:val="both"/>
        <w:ind w:right="1979" w:firstLine="515"/>
        <w:spacing w:after="0" w:line="246" w:lineRule="auto"/>
        <w:tabs>
          <w:tab w:leader="none" w:pos="102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to qualify as a "real estate investment trust" under the Internal Revenue Code of 1986, as amended (the "Code"), and to use its best efforts to continue to meet</w:t>
      </w:r>
    </w:p>
    <w:p>
      <w:pPr>
        <w:spacing w:after="0" w:line="199"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13 -</w:t>
      </w:r>
    </w:p>
    <w:p>
      <w:pPr>
        <w:sectPr>
          <w:pgSz w:w="11900" w:h="16838" w:orient="portrait"/>
          <w:cols w:equalWidth="0" w:num="1">
            <w:col w:w="9699"/>
          </w:cols>
          <w:pgMar w:left="760" w:top="709"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7"/>
          <w:szCs w:val="17"/>
          <w:color w:val="auto"/>
        </w:rPr>
        <w:t>the requirements to qualify as a "real estate investment trust"; and</w:t>
      </w:r>
    </w:p>
    <w:p>
      <w:pPr>
        <w:spacing w:after="0" w:line="203" w:lineRule="exact"/>
        <w:rPr>
          <w:sz w:val="20"/>
          <w:szCs w:val="20"/>
          <w:color w:val="auto"/>
        </w:rPr>
      </w:pPr>
    </w:p>
    <w:p>
      <w:pPr>
        <w:ind w:right="1979" w:firstLine="515"/>
        <w:spacing w:after="0" w:line="246" w:lineRule="auto"/>
        <w:tabs>
          <w:tab w:leader="none" w:pos="926"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all of the provisions of Florida H.B. 1771, and all regulations promulgated thereunder relating to issuers doing business with Cuba.</w:t>
      </w:r>
    </w:p>
    <w:p>
      <w:pPr>
        <w:spacing w:after="0" w:line="199" w:lineRule="exact"/>
        <w:rPr>
          <w:rFonts w:ascii="Courier New" w:cs="Courier New" w:eastAsia="Courier New" w:hAnsi="Courier New"/>
          <w:sz w:val="17"/>
          <w:szCs w:val="17"/>
          <w:color w:val="auto"/>
        </w:rPr>
      </w:pPr>
    </w:p>
    <w:p>
      <w:pPr>
        <w:ind w:left="-520" w:right="1979" w:firstLine="520"/>
        <w:spacing w:after="0" w:line="246" w:lineRule="auto"/>
        <w:tabs>
          <w:tab w:leader="none" w:pos="407"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Shares;] (v) any filing fees incident to any required review by the National Association of Securities Dealers, Inc. of the terms of the sale of the Shares; (vi) the cost of preparing certificates for the Shares; (vii) the costs and charges of any transfer agent or registrar or dividend disbursing agent; and (viii)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214" w:lineRule="exact"/>
        <w:rPr>
          <w:rFonts w:ascii="Courier New" w:cs="Courier New" w:eastAsia="Courier New" w:hAnsi="Courier New"/>
          <w:sz w:val="17"/>
          <w:szCs w:val="17"/>
          <w:color w:val="auto"/>
        </w:rPr>
      </w:pPr>
    </w:p>
    <w:p>
      <w:pPr>
        <w:ind w:left="-520" w:right="2079" w:firstLine="520"/>
        <w:spacing w:after="0" w:line="247" w:lineRule="auto"/>
        <w:tabs>
          <w:tab w:leader="none" w:pos="407"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Underwriters of any Designated Shares under the Pricing Agreement relating to such Designated</w:t>
      </w:r>
    </w:p>
    <w:p>
      <w:pPr>
        <w:spacing w:after="0" w:line="197" w:lineRule="exact"/>
        <w:rPr>
          <w:rFonts w:ascii="Courier New" w:cs="Courier New" w:eastAsia="Courier New" w:hAnsi="Courier New"/>
          <w:sz w:val="17"/>
          <w:szCs w:val="17"/>
          <w:color w:val="auto"/>
        </w:rPr>
      </w:pPr>
    </w:p>
    <w:p>
      <w:pPr>
        <w:ind w:left="3400" w:hanging="208"/>
        <w:spacing w:after="0"/>
        <w:tabs>
          <w:tab w:leader="none" w:pos="3400" w:val="left"/>
        </w:tabs>
        <w:numPr>
          <w:ilvl w:val="2"/>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14 -</w:t>
      </w:r>
    </w:p>
    <w:p>
      <w:pPr>
        <w:sectPr>
          <w:pgSz w:w="11900" w:h="16838" w:orient="portrait"/>
          <w:cols w:equalWidth="0" w:num="1">
            <w:col w:w="9699"/>
          </w:cols>
          <w:pgMar w:left="760" w:top="709" w:right="1440" w:bottom="1440" w:gutter="0" w:footer="0" w:header="0"/>
        </w:sectPr>
      </w:pPr>
    </w:p>
    <w:bookmarkStart w:id="95" w:name="page96"/>
    <w:bookmarkEnd w:id="95"/>
    <w:p>
      <w:pPr>
        <w:ind w:right="1979"/>
        <w:spacing w:after="0" w:line="246" w:lineRule="auto"/>
        <w:rPr>
          <w:sz w:val="20"/>
          <w:szCs w:val="20"/>
          <w:color w:val="auto"/>
        </w:rPr>
      </w:pPr>
      <w:r>
        <w:rPr>
          <w:rFonts w:ascii="Courier New" w:cs="Courier New" w:eastAsia="Courier New" w:hAnsi="Courier New"/>
          <w:sz w:val="17"/>
          <w:szCs w:val="17"/>
          <w:color w:val="auto"/>
        </w:rPr>
        <w:t>Shares shall be subject, in the discretion of the Representatives, to the condition that all representations and warranties and other statements of the Company in or incorporated by reference in the Pricing Agreement relating to such Designated Shares are, at and as of the Time of Delivery for such Designated Shares, true and correct, to the condition that the Company shall have performed all of its obligations hereunder theretofore to be performed, and to the following additional conditions:</w:t>
      </w:r>
    </w:p>
    <w:p>
      <w:pPr>
        <w:spacing w:after="0" w:line="202" w:lineRule="exact"/>
        <w:rPr>
          <w:sz w:val="20"/>
          <w:szCs w:val="20"/>
          <w:color w:val="auto"/>
        </w:rPr>
      </w:pPr>
    </w:p>
    <w:p>
      <w:pPr>
        <w:ind w:left="520" w:right="1979" w:firstLine="515"/>
        <w:spacing w:after="0" w:line="246" w:lineRule="auto"/>
        <w:tabs>
          <w:tab w:leader="none" w:pos="154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03"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Brown &amp; Wood,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w:t>
      </w:r>
    </w:p>
    <w:p>
      <w:pPr>
        <w:spacing w:after="0" w:line="203" w:lineRule="exact"/>
        <w:rPr>
          <w:rFonts w:ascii="Courier New" w:cs="Courier New" w:eastAsia="Courier New" w:hAnsi="Courier New"/>
          <w:sz w:val="17"/>
          <w:szCs w:val="17"/>
          <w:color w:val="auto"/>
        </w:rPr>
      </w:pPr>
    </w:p>
    <w:p>
      <w:pPr>
        <w:ind w:left="520" w:right="2079" w:firstLine="515"/>
        <w:spacing w:after="0" w:line="246" w:lineRule="auto"/>
        <w:tabs>
          <w:tab w:leader="none" w:pos="154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Kirkpatrick &amp; Lockhart, counsel for the Company, shall have furnished to the Representatives their written opinion, dated the Time of Delivery for such Designated Shares, in form and substance satisfactory to the Representatives, to the effect that:</w:t>
      </w:r>
    </w:p>
    <w:p>
      <w:pPr>
        <w:spacing w:after="0" w:line="200" w:lineRule="exact"/>
        <w:rPr>
          <w:rFonts w:ascii="Courier New" w:cs="Courier New" w:eastAsia="Courier New" w:hAnsi="Courier New"/>
          <w:sz w:val="17"/>
          <w:szCs w:val="17"/>
          <w:color w:val="auto"/>
        </w:rPr>
      </w:pPr>
    </w:p>
    <w:p>
      <w:pPr>
        <w:ind w:left="1040" w:right="1979" w:firstLine="510"/>
        <w:spacing w:after="0" w:line="246" w:lineRule="auto"/>
        <w:tabs>
          <w:tab w:leader="none" w:pos="207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is validly existing as a business trust in good standing under the laws of the District of Columbia, with full power and authority to own its properties and conduct its</w:t>
      </w:r>
    </w:p>
    <w:p>
      <w:pPr>
        <w:spacing w:after="0" w:line="398" w:lineRule="exact"/>
        <w:rPr>
          <w:rFonts w:ascii="Courier New" w:cs="Courier New" w:eastAsia="Courier New" w:hAnsi="Courier New"/>
          <w:sz w:val="17"/>
          <w:szCs w:val="17"/>
          <w:color w:val="auto"/>
        </w:rPr>
      </w:pPr>
    </w:p>
    <w:p>
      <w:pPr>
        <w:ind w:left="3920" w:hanging="208"/>
        <w:spacing w:after="0"/>
        <w:tabs>
          <w:tab w:leader="none" w:pos="3920" w:val="left"/>
        </w:tabs>
        <w:numPr>
          <w:ilvl w:val="2"/>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15 -</w:t>
      </w:r>
    </w:p>
    <w:p>
      <w:pPr>
        <w:sectPr>
          <w:pgSz w:w="11900" w:h="16838" w:orient="portrait"/>
          <w:cols w:equalWidth="0" w:num="1">
            <w:col w:w="10219"/>
          </w:cols>
          <w:pgMar w:left="240" w:top="709" w:right="1440" w:bottom="1440" w:gutter="0" w:footer="0" w:header="0"/>
        </w:sectPr>
      </w:pPr>
    </w:p>
    <w:bookmarkStart w:id="96" w:name="page97"/>
    <w:bookmarkEnd w:id="96"/>
    <w:p>
      <w:pPr>
        <w:ind w:right="1979"/>
        <w:spacing w:after="0" w:line="246" w:lineRule="auto"/>
        <w:rPr>
          <w:sz w:val="20"/>
          <w:szCs w:val="20"/>
          <w:color w:val="auto"/>
        </w:rPr>
      </w:pPr>
      <w:r>
        <w:rPr>
          <w:rFonts w:ascii="Courier New" w:cs="Courier New" w:eastAsia="Courier New" w:hAnsi="Courier New"/>
          <w:sz w:val="17"/>
          <w:szCs w:val="17"/>
          <w:color w:val="auto"/>
        </w:rPr>
        <w:t>business as described in the Prospectus; the Subsidiary has been duly organized and is validly existing as a corporation in good standing under the laws of the state of Maryland with full power and authority to own its properties and conduct its business as described in the Prospectus; all of the issued and outstanding capital stock of the Subsidiary has been duly authorized and validly issued, is fully paid and non-assessable and is owned by the Company free and clear of all pledges, liens, encumbrances, claims and security interests; the Partnerships have been duly formed and are validly existing as limited partnerships, general partnerships or joint ventures, as the case may be; the limited partnerships and general partnerships are in good standing under the laws of the jurisdictions of their organization; the Partnerships have power and authority to own their properties and conduct their businesses as described in the Prospectus; to the best of such counsel's knowledge, the equity interests in the Partnerships which are owned by the Company are owned free and clear of all pledges, liens, encumbrances, claims and security interests, and to the best of such counsel's knowledge, no options, warrants or other rights to convert any obligations into partnership or other ownership interests in the Partnerships are outstanding; and the Company, the Subsidiary and the Partnerships are duly qualified to transact business in all jurisdictions in which the Company, the Subsidiary and the Partnerships are, to such counsel's knowledge, transacting business and in which the conduct of their respective businesses requires such qualification; and the conditions for use of a registration statement on Form S-3 have been satisfied;</w:t>
      </w:r>
    </w:p>
    <w:p>
      <w:pPr>
        <w:spacing w:after="0" w:line="213" w:lineRule="exact"/>
        <w:rPr>
          <w:sz w:val="20"/>
          <w:szCs w:val="20"/>
          <w:color w:val="auto"/>
        </w:rPr>
      </w:pPr>
    </w:p>
    <w:p>
      <w:pPr>
        <w:ind w:right="2179" w:firstLine="510"/>
        <w:spacing w:after="0" w:line="246" w:lineRule="auto"/>
        <w:tabs>
          <w:tab w:leader="none" w:pos="1133"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authorized capitalization as set forth in the Prospectus as amended or supplemented and all of the issued shares of capital stock of the Company (including the Designated Shares being delivered at such Time of Delivery) have been duly and validly authorized and issued and are fully paid and, except as set forth in the Prospectus under the captions "Description of Common Shares--Shareholder Liability" and</w:t>
      </w:r>
    </w:p>
    <w:p>
      <w:pPr>
        <w:spacing w:after="0" w:line="202" w:lineRule="exact"/>
        <w:rPr>
          <w:rFonts w:ascii="Courier New" w:cs="Courier New" w:eastAsia="Courier New" w:hAnsi="Courier New"/>
          <w:sz w:val="17"/>
          <w:szCs w:val="17"/>
          <w:color w:val="auto"/>
        </w:rPr>
      </w:pPr>
    </w:p>
    <w:p>
      <w:pPr>
        <w:ind w:left="2880" w:hanging="208"/>
        <w:spacing w:after="0"/>
        <w:tabs>
          <w:tab w:leader="none" w:pos="288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16 -</w:t>
      </w:r>
    </w:p>
    <w:p>
      <w:pPr>
        <w:sectPr>
          <w:pgSz w:w="11900" w:h="16838" w:orient="portrait"/>
          <w:cols w:equalWidth="0" w:num="1">
            <w:col w:w="9179"/>
          </w:cols>
          <w:pgMar w:left="1280" w:top="709" w:right="1440" w:bottom="1440" w:gutter="0" w:footer="0" w:header="0"/>
        </w:sectPr>
      </w:pPr>
    </w:p>
    <w:bookmarkStart w:id="97" w:name="page98"/>
    <w:bookmarkEnd w:id="97"/>
    <w:p>
      <w:pPr>
        <w:ind w:right="3319"/>
        <w:spacing w:after="0" w:line="247" w:lineRule="auto"/>
        <w:rPr>
          <w:sz w:val="20"/>
          <w:szCs w:val="20"/>
          <w:color w:val="auto"/>
        </w:rPr>
      </w:pPr>
      <w:r>
        <w:rPr>
          <w:rFonts w:ascii="Courier New" w:cs="Courier New" w:eastAsia="Courier New" w:hAnsi="Courier New"/>
          <w:sz w:val="17"/>
          <w:szCs w:val="17"/>
          <w:color w:val="auto"/>
        </w:rPr>
        <w:t>"Description of Preferred Shares--Shareholder Liability", non-assessable;</w:t>
      </w:r>
    </w:p>
    <w:p>
      <w:pPr>
        <w:spacing w:after="0" w:line="198" w:lineRule="exact"/>
        <w:rPr>
          <w:sz w:val="20"/>
          <w:szCs w:val="20"/>
          <w:color w:val="auto"/>
        </w:rPr>
      </w:pPr>
    </w:p>
    <w:p>
      <w:pPr>
        <w:ind w:right="1979" w:firstLine="510"/>
        <w:spacing w:after="0" w:line="246" w:lineRule="auto"/>
        <w:tabs>
          <w:tab w:leader="none" w:pos="1235"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best of such counsel's knowledge and other than as set forth in the Prospectus, there are no legal or governmental proceedings pending to which the Company, the Subsidiary or any of the Partnerships is a party or of which any property of the Company, the Subsidiary or any of the Partnerships is the subject which, if determined adversely to the Company, the Subsidiary or any of the Partnerships, would individually or in the aggregate have a material adverse effect on the consolidated financial position, shareholders' equity or results of operations of the Company, the Subsidiary and the Partnerships; and, to the best of such counsel's knowledge, no such proceedings are threatened or contemplated by governmental authorities or threatened by others;</w:t>
      </w:r>
    </w:p>
    <w:p>
      <w:pPr>
        <w:spacing w:after="0" w:line="205" w:lineRule="exact"/>
        <w:rPr>
          <w:rFonts w:ascii="Courier New" w:cs="Courier New" w:eastAsia="Courier New" w:hAnsi="Courier New"/>
          <w:sz w:val="17"/>
          <w:szCs w:val="17"/>
          <w:color w:val="auto"/>
        </w:rPr>
      </w:pPr>
    </w:p>
    <w:p>
      <w:pPr>
        <w:ind w:right="2279" w:firstLine="510"/>
        <w:spacing w:after="0" w:line="246" w:lineRule="auto"/>
        <w:tabs>
          <w:tab w:leader="none" w:pos="113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Pricing Agreement with respect to the Designated Shares have been duly authorized, executed and delivered by the Company;</w:t>
      </w:r>
    </w:p>
    <w:p>
      <w:pPr>
        <w:spacing w:after="0" w:line="199" w:lineRule="exact"/>
        <w:rPr>
          <w:rFonts w:ascii="Courier New" w:cs="Courier New" w:eastAsia="Courier New" w:hAnsi="Courier New"/>
          <w:sz w:val="17"/>
          <w:szCs w:val="17"/>
          <w:color w:val="auto"/>
        </w:rPr>
      </w:pPr>
    </w:p>
    <w:p>
      <w:pPr>
        <w:ind w:right="2079" w:firstLine="510"/>
        <w:spacing w:after="0" w:line="247" w:lineRule="auto"/>
        <w:tabs>
          <w:tab w:leader="none" w:pos="103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Designated Shares conform to the description thereof in the Prospectus as amended or supplemented;</w:t>
      </w:r>
    </w:p>
    <w:p>
      <w:pPr>
        <w:spacing w:after="0" w:line="197" w:lineRule="exact"/>
        <w:rPr>
          <w:rFonts w:ascii="Courier New" w:cs="Courier New" w:eastAsia="Courier New" w:hAnsi="Courier New"/>
          <w:sz w:val="17"/>
          <w:szCs w:val="17"/>
          <w:color w:val="auto"/>
        </w:rPr>
      </w:pPr>
    </w:p>
    <w:p>
      <w:pPr>
        <w:ind w:right="1979" w:firstLine="510"/>
        <w:spacing w:after="0" w:line="246" w:lineRule="auto"/>
        <w:tabs>
          <w:tab w:leader="none" w:pos="113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 and sale of the Designated Shares being delivered at such Time of Delivery and the compliance by the Company with all of the provisions of this Agreement and the Pricing Agreement with respect to the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the Subsidiary or any of the Partnerships is a party or by which the Company, the Subsidiary or any of the Partnerships is bound or to which any of the property or assets of the Company, the Subsidiary or any of the Partnerships is subject, nor will such actions result in any violation of the provi-</w:t>
      </w:r>
    </w:p>
    <w:p>
      <w:pPr>
        <w:spacing w:after="0" w:line="205" w:lineRule="exact"/>
        <w:rPr>
          <w:rFonts w:ascii="Courier New" w:cs="Courier New" w:eastAsia="Courier New" w:hAnsi="Courier New"/>
          <w:sz w:val="17"/>
          <w:szCs w:val="17"/>
          <w:color w:val="auto"/>
        </w:rPr>
      </w:pPr>
    </w:p>
    <w:p>
      <w:pPr>
        <w:ind w:left="2880" w:hanging="208"/>
        <w:spacing w:after="0"/>
        <w:tabs>
          <w:tab w:leader="none" w:pos="2880"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17 -</w:t>
      </w:r>
    </w:p>
    <w:p>
      <w:pPr>
        <w:sectPr>
          <w:pgSz w:w="11900" w:h="16838" w:orient="portrait"/>
          <w:cols w:equalWidth="0" w:num="1">
            <w:col w:w="9179"/>
          </w:cols>
          <w:pgMar w:left="1280" w:top="709" w:right="1440" w:bottom="1440" w:gutter="0" w:footer="0" w:header="0"/>
        </w:sectPr>
      </w:pPr>
    </w:p>
    <w:bookmarkStart w:id="98" w:name="page99"/>
    <w:bookmarkEnd w:id="98"/>
    <w:p>
      <w:pPr>
        <w:ind w:right="2079"/>
        <w:spacing w:after="0" w:line="246" w:lineRule="auto"/>
        <w:rPr>
          <w:sz w:val="20"/>
          <w:szCs w:val="20"/>
          <w:color w:val="auto"/>
        </w:rPr>
      </w:pPr>
      <w:r>
        <w:rPr>
          <w:rFonts w:ascii="Courier New" w:cs="Courier New" w:eastAsia="Courier New" w:hAnsi="Courier New"/>
          <w:sz w:val="17"/>
          <w:szCs w:val="17"/>
          <w:color w:val="auto"/>
        </w:rPr>
        <w:t>sions of the Declaration of Trust or By-laws of the Company or any statute or any order, rule or regulation known to such counsel of any court or governmental agency or body having jurisdiction over the Company, the Subsidiary or any of the Partnerships or any of their respective properties;</w:t>
      </w:r>
    </w:p>
    <w:p>
      <w:pPr>
        <w:spacing w:after="0" w:line="201" w:lineRule="exact"/>
        <w:rPr>
          <w:sz w:val="20"/>
          <w:szCs w:val="20"/>
          <w:color w:val="auto"/>
        </w:rPr>
      </w:pPr>
    </w:p>
    <w:p>
      <w:pPr>
        <w:ind w:right="2079" w:firstLine="510"/>
        <w:spacing w:after="0" w:line="246" w:lineRule="auto"/>
        <w:tabs>
          <w:tab w:leader="none" w:pos="123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authorization, order, registration or qualification of or with any court or governmental agency or body is required for the issue and sale of the Designated Shares being delivered at such Time of Delivery or the consummation by the Company of the transactions contemplated by this Agreement or the Pricing Agreement, except such as have been obtained under the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Designated Shares by the Underwriters;</w:t>
      </w:r>
    </w:p>
    <w:p>
      <w:pPr>
        <w:spacing w:after="0" w:line="205" w:lineRule="exact"/>
        <w:rPr>
          <w:rFonts w:ascii="Courier New" w:cs="Courier New" w:eastAsia="Courier New" w:hAnsi="Courier New"/>
          <w:sz w:val="17"/>
          <w:szCs w:val="17"/>
          <w:color w:val="auto"/>
        </w:rPr>
      </w:pPr>
    </w:p>
    <w:p>
      <w:pPr>
        <w:ind w:right="2079" w:firstLine="510"/>
        <w:spacing w:after="0" w:line="246" w:lineRule="auto"/>
        <w:tabs>
          <w:tab w:leader="none" w:pos="1338"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under caption "Item 3. Legal Proceedings" in the Company's most recent Form 10-K filed with the Commission and under the captions "Remuneration of Executive Officers and Trustees" and "Certain Transactions" in the Company's most recent Proxy Statement filed with the Commission, insofar as such statements constitute a summary of documents referred to therein or matters of law, are accurate summaries and fairly and correctly present the information called for with respect to such documents and matters;</w:t>
      </w:r>
    </w:p>
    <w:p>
      <w:pPr>
        <w:spacing w:after="0" w:line="202" w:lineRule="exact"/>
        <w:rPr>
          <w:rFonts w:ascii="Courier New" w:cs="Courier New" w:eastAsia="Courier New" w:hAnsi="Courier New"/>
          <w:sz w:val="17"/>
          <w:szCs w:val="17"/>
          <w:color w:val="auto"/>
        </w:rPr>
      </w:pPr>
    </w:p>
    <w:p>
      <w:pPr>
        <w:ind w:right="2079" w:firstLine="510"/>
        <w:spacing w:after="0" w:line="247" w:lineRule="auto"/>
        <w:tabs>
          <w:tab w:leader="none" w:pos="1133"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investments of the Company described in the Prospectus are permitted investments under the Declaration of Trust;</w:t>
      </w:r>
    </w:p>
    <w:p>
      <w:pPr>
        <w:spacing w:after="0" w:line="197" w:lineRule="exact"/>
        <w:rPr>
          <w:rFonts w:ascii="Courier New" w:cs="Courier New" w:eastAsia="Courier New" w:hAnsi="Courier New"/>
          <w:sz w:val="17"/>
          <w:szCs w:val="17"/>
          <w:color w:val="auto"/>
        </w:rPr>
      </w:pPr>
    </w:p>
    <w:p>
      <w:pPr>
        <w:ind w:right="1979" w:firstLine="510"/>
        <w:spacing w:after="0" w:line="246" w:lineRule="auto"/>
        <w:tabs>
          <w:tab w:leader="none" w:pos="103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w:t>
      </w:r>
    </w:p>
    <w:p>
      <w:pPr>
        <w:spacing w:after="0" w:line="398" w:lineRule="exact"/>
        <w:rPr>
          <w:rFonts w:ascii="Courier New" w:cs="Courier New" w:eastAsia="Courier New" w:hAnsi="Courier New"/>
          <w:sz w:val="17"/>
          <w:szCs w:val="17"/>
          <w:color w:val="auto"/>
        </w:rPr>
      </w:pPr>
    </w:p>
    <w:p>
      <w:pPr>
        <w:ind w:left="2880" w:hanging="208"/>
        <w:spacing w:after="0"/>
        <w:tabs>
          <w:tab w:leader="none" w:pos="2880"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18 -</w:t>
      </w:r>
    </w:p>
    <w:p>
      <w:pPr>
        <w:sectPr>
          <w:pgSz w:w="11900" w:h="16838" w:orient="portrait"/>
          <w:cols w:equalWidth="0" w:num="1">
            <w:col w:w="9179"/>
          </w:cols>
          <w:pgMar w:left="1280" w:top="709" w:right="1440" w:bottom="1440" w:gutter="0" w:footer="0" w:header="0"/>
        </w:sectPr>
      </w:pPr>
    </w:p>
    <w:bookmarkStart w:id="99" w:name="page100"/>
    <w:bookmarkEnd w:id="99"/>
    <w:p>
      <w:pPr>
        <w:ind w:right="1979"/>
        <w:spacing w:after="0" w:line="246" w:lineRule="auto"/>
        <w:rPr>
          <w:sz w:val="20"/>
          <w:szCs w:val="20"/>
          <w:color w:val="auto"/>
        </w:rPr>
      </w:pPr>
      <w:r>
        <w:rPr>
          <w:rFonts w:ascii="Courier New" w:cs="Courier New" w:eastAsia="Courier New" w:hAnsi="Courier New"/>
          <w:sz w:val="17"/>
          <w:szCs w:val="17"/>
          <w:color w:val="auto"/>
        </w:rPr>
        <w:t>respects with the requirements of the Act or the Exchange Act, as applicable, and the rules and regulations of the Commission thereunder; and they have no reason to believe that any of such documents, when they became effective or were so filed, as the case may be, contained, in the case of a registration statement which became effective under the Act, an untrue statement of a material 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206" w:lineRule="exact"/>
        <w:rPr>
          <w:sz w:val="20"/>
          <w:szCs w:val="20"/>
          <w:color w:val="auto"/>
        </w:rPr>
      </w:pPr>
    </w:p>
    <w:p>
      <w:pPr>
        <w:ind w:right="1979" w:firstLine="510"/>
        <w:spacing w:after="0" w:line="246" w:lineRule="auto"/>
        <w:tabs>
          <w:tab w:leader="none" w:pos="1133"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and the Prospectus as amended or supplemented and any further amendments and supplements thereto made by the Company prior to the Time of Delivery for the Designated Shares (other than the financial statements and related schedules therein, as to which such counsel need express no opinion) comply as to form in all material respects with the requirements of the Act and the rules and regulations thereunder; if applicable, the Rule 434 Prospectus complies as to form in all material respects with the requirements of Rule 434 under the Act; they have no reason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w:t>
      </w:r>
    </w:p>
    <w:p>
      <w:pPr>
        <w:spacing w:after="0" w:line="210" w:lineRule="exact"/>
        <w:rPr>
          <w:rFonts w:ascii="Courier New" w:cs="Courier New" w:eastAsia="Courier New" w:hAnsi="Courier New"/>
          <w:sz w:val="17"/>
          <w:szCs w:val="17"/>
          <w:color w:val="auto"/>
        </w:rPr>
      </w:pPr>
    </w:p>
    <w:p>
      <w:pPr>
        <w:ind w:left="2880" w:hanging="208"/>
        <w:spacing w:after="0"/>
        <w:tabs>
          <w:tab w:leader="none" w:pos="2880"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19 -</w:t>
      </w:r>
    </w:p>
    <w:p>
      <w:pPr>
        <w:sectPr>
          <w:pgSz w:w="11900" w:h="16838" w:orient="portrait"/>
          <w:cols w:equalWidth="0" w:num="1">
            <w:col w:w="9179"/>
          </w:cols>
          <w:pgMar w:left="1280" w:top="709" w:right="1440" w:bottom="1440" w:gutter="0" w:footer="0" w:header="0"/>
        </w:sectPr>
      </w:pPr>
    </w:p>
    <w:bookmarkStart w:id="100" w:name="page101"/>
    <w:bookmarkEnd w:id="100"/>
    <w:p>
      <w:pPr>
        <w:ind w:left="520" w:right="1979"/>
        <w:spacing w:after="0" w:line="246" w:lineRule="auto"/>
        <w:rPr>
          <w:sz w:val="20"/>
          <w:szCs w:val="20"/>
          <w:color w:val="auto"/>
        </w:rPr>
      </w:pPr>
      <w:r>
        <w:rPr>
          <w:rFonts w:ascii="Courier New" w:cs="Courier New" w:eastAsia="Courier New" w:hAnsi="Courier New"/>
          <w:sz w:val="17"/>
          <w:szCs w:val="17"/>
          <w:color w:val="auto"/>
        </w:rPr>
        <w:t>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201" w:lineRule="exact"/>
        <w:rPr>
          <w:sz w:val="20"/>
          <w:szCs w:val="20"/>
          <w:color w:val="auto"/>
        </w:rPr>
      </w:pPr>
    </w:p>
    <w:p>
      <w:pPr>
        <w:ind w:right="1979" w:firstLine="515"/>
        <w:spacing w:after="0" w:line="246" w:lineRule="auto"/>
        <w:tabs>
          <w:tab w:leader="none" w:pos="102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above opinion, the Representatives shall have received the opinion or opinions of Goodwin, Procter &amp; Hoar, Special Tax Counsel to the Company, or other counsel to the Company, dated the Time of Delivery for such Designated Shares, in form and substance satisfactory to the Representatives, to the effect that (1) the Company has qualified to be taxed as a real estate investment trust pursuant to Sections 856-860 of the Code, for the fiscal years ended December 31, 1985 through the date of its most recent fiscal year ended and that the form of organization of the Company and its current operations, assets and contemplated income are such that the Company is in a position under present law to so qualify for the current taxable year and should so qualify for such taxable year provided that the Company continues to meet the asset composition, source of</w:t>
      </w:r>
    </w:p>
    <w:p>
      <w:pPr>
        <w:spacing w:after="0" w:line="205"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20 -</w:t>
      </w:r>
    </w:p>
    <w:p>
      <w:pPr>
        <w:sectPr>
          <w:pgSz w:w="11900" w:h="16838" w:orient="portrait"/>
          <w:cols w:equalWidth="0" w:num="1">
            <w:col w:w="9699"/>
          </w:cols>
          <w:pgMar w:left="760" w:top="709" w:right="1440" w:bottom="1440" w:gutter="0" w:footer="0" w:header="0"/>
        </w:sectPr>
      </w:pPr>
    </w:p>
    <w:bookmarkStart w:id="101" w:name="page102"/>
    <w:bookmarkEnd w:id="101"/>
    <w:p>
      <w:pPr>
        <w:ind w:right="2079"/>
        <w:spacing w:after="0" w:line="246" w:lineRule="auto"/>
        <w:rPr>
          <w:sz w:val="20"/>
          <w:szCs w:val="20"/>
          <w:color w:val="auto"/>
        </w:rPr>
      </w:pPr>
      <w:r>
        <w:rPr>
          <w:rFonts w:ascii="Courier New" w:cs="Courier New" w:eastAsia="Courier New" w:hAnsi="Courier New"/>
          <w:sz w:val="17"/>
          <w:szCs w:val="17"/>
          <w:color w:val="auto"/>
        </w:rPr>
        <w:t>income, shareholder diversification, distributions, record-keeping and other requirements of the Code necessary for the Company to qualify as a real estate investment trust and (2) such Special Tax Counsel concurs with the accuracy of the legal statements set forth in "Description of Common Shares--REIT Qualification" and "--Federal Income Tax Considerations" in the Prospectus. In rendering its opinion pursuant to paragraph</w:t>
      </w:r>
    </w:p>
    <w:p>
      <w:pPr>
        <w:spacing w:after="0" w:line="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(1), Goodwin, Procter &amp; Hoar may rely exclusively (and without any investigation on its part) on the opinion of Kirkpatrick &amp; Lockhart dated April 30, 1987, with respect to the qualification of the Company as a real estate investment trust for the fiscal years ended December 31, 1982 through December 31, 1986.</w:t>
      </w:r>
    </w:p>
    <w:p>
      <w:pPr>
        <w:spacing w:after="0" w:line="201" w:lineRule="exact"/>
        <w:rPr>
          <w:sz w:val="20"/>
          <w:szCs w:val="20"/>
          <w:color w:val="auto"/>
        </w:rPr>
      </w:pPr>
    </w:p>
    <w:p>
      <w:pPr>
        <w:ind w:right="1979" w:firstLine="515"/>
        <w:spacing w:after="0" w:line="246" w:lineRule="auto"/>
        <w:tabs>
          <w:tab w:leader="none" w:pos="102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of the Pricing Agreement for such Designated Shares and at the Time of Delivery for such Designated Shares, the independent accountants of the Company who have certified the financial statements of the Company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205"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None of the Company, the Subsidiary or any of the Partnerships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the Subsidiary or any of the Partnerships or any</w:t>
      </w:r>
    </w:p>
    <w:p>
      <w:pPr>
        <w:spacing w:after="0" w:line="205"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21 -</w:t>
      </w:r>
    </w:p>
    <w:p>
      <w:pPr>
        <w:sectPr>
          <w:pgSz w:w="11900" w:h="16838" w:orient="portrait"/>
          <w:cols w:equalWidth="0" w:num="1">
            <w:col w:w="9699"/>
          </w:cols>
          <w:pgMar w:left="760" w:top="709" w:right="1440" w:bottom="1440" w:gutter="0" w:footer="0" w:header="0"/>
        </w:sectPr>
      </w:pPr>
    </w:p>
    <w:bookmarkStart w:id="102" w:name="page103"/>
    <w:bookmarkEnd w:id="102"/>
    <w:p>
      <w:pPr>
        <w:ind w:right="1979"/>
        <w:spacing w:after="0" w:line="246" w:lineRule="auto"/>
        <w:rPr>
          <w:sz w:val="20"/>
          <w:szCs w:val="20"/>
          <w:color w:val="auto"/>
        </w:rPr>
      </w:pPr>
      <w:r>
        <w:rPr>
          <w:rFonts w:ascii="Courier New" w:cs="Courier New" w:eastAsia="Courier New" w:hAnsi="Courier New"/>
          <w:sz w:val="17"/>
          <w:szCs w:val="17"/>
          <w:color w:val="auto"/>
        </w:rPr>
        <w:t>change, or any development involving a prospective change, in or affecting the general affairs, management, financial position, shareholders' equity or results of operations of the Company, the Subsidiary and the Partnerships,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204" w:lineRule="exact"/>
        <w:rPr>
          <w:sz w:val="20"/>
          <w:szCs w:val="20"/>
          <w:color w:val="auto"/>
        </w:rPr>
      </w:pPr>
    </w:p>
    <w:p>
      <w:pPr>
        <w:ind w:right="2079" w:firstLine="515"/>
        <w:spacing w:after="0" w:line="246" w:lineRule="auto"/>
        <w:tabs>
          <w:tab w:leader="none" w:pos="1029"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w:t>
      </w:r>
    </w:p>
    <w:p>
      <w:pPr>
        <w:spacing w:after="0" w:line="2" w:lineRule="exact"/>
        <w:rPr>
          <w:rFonts w:ascii="Courier New" w:cs="Courier New" w:eastAsia="Courier New" w:hAnsi="Courier New"/>
          <w:sz w:val="17"/>
          <w:szCs w:val="17"/>
          <w:color w:val="auto"/>
        </w:rPr>
      </w:pPr>
    </w:p>
    <w:p>
      <w:pPr>
        <w:ind w:right="2079"/>
        <w:spacing w:after="0" w:line="246" w:lineRule="auto"/>
        <w:tabs>
          <w:tab w:leader="none" w:pos="515"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organization shall have publicly announced that it has under surveillance or review, with possible negative implications, its rating of any of the Company's debt securities or preferred shares;</w:t>
      </w:r>
    </w:p>
    <w:p>
      <w:pPr>
        <w:spacing w:after="0" w:line="199"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1"/>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after the date of the Pricing Agreement relating to the Designated Shares there shall not have occurred any of the following: (i) a suspension or material limitation in trading in securities generally on the New York Stock Exchange; (ii) a suspension or material limitation in trading in the Company's securities on the New York Stock Exchange; (iii) 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205" w:lineRule="exact"/>
        <w:rPr>
          <w:rFonts w:ascii="Courier New" w:cs="Courier New" w:eastAsia="Courier New" w:hAnsi="Courier New"/>
          <w:sz w:val="17"/>
          <w:szCs w:val="17"/>
          <w:color w:val="auto"/>
        </w:rPr>
      </w:pPr>
    </w:p>
    <w:p>
      <w:pPr>
        <w:ind w:left="3400" w:hanging="208"/>
        <w:spacing w:after="0"/>
        <w:tabs>
          <w:tab w:leader="none" w:pos="3400" w:val="left"/>
        </w:tabs>
        <w:numPr>
          <w:ilvl w:val="2"/>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22 -</w:t>
      </w:r>
    </w:p>
    <w:p>
      <w:pPr>
        <w:sectPr>
          <w:pgSz w:w="11900" w:h="16838" w:orient="portrait"/>
          <w:cols w:equalWidth="0" w:num="1">
            <w:col w:w="9699"/>
          </w:cols>
          <w:pgMar w:left="760" w:top="709" w:right="1440" w:bottom="1440" w:gutter="0" w:footer="0" w:header="0"/>
        </w:sectPr>
      </w:pPr>
    </w:p>
    <w:bookmarkStart w:id="103" w:name="page104"/>
    <w:bookmarkEnd w:id="103"/>
    <w:p>
      <w:pPr>
        <w:ind w:left="-515" w:right="2079" w:firstLine="515"/>
        <w:spacing w:after="0" w:line="246" w:lineRule="auto"/>
        <w:tabs>
          <w:tab w:leader="none" w:pos="514"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complied with the provisions of Section 5(c) hereof with respect to the furnishing of prospectuses on the New York business day next succeeding the date of the applicable Pricing Agreement; and</w:t>
      </w:r>
    </w:p>
    <w:p>
      <w:pPr>
        <w:spacing w:after="0" w:line="200" w:lineRule="exact"/>
        <w:rPr>
          <w:rFonts w:ascii="Courier New" w:cs="Courier New" w:eastAsia="Courier New" w:hAnsi="Courier New"/>
          <w:sz w:val="17"/>
          <w:szCs w:val="17"/>
          <w:color w:val="auto"/>
        </w:rPr>
      </w:pPr>
    </w:p>
    <w:p>
      <w:pPr>
        <w:ind w:left="-515" w:right="1979" w:firstLine="515"/>
        <w:spacing w:after="0" w:line="246" w:lineRule="auto"/>
        <w:tabs>
          <w:tab w:leader="none" w:pos="514"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furnished or caused to be furnished to the Representatives at the Time of Delivery for the Designated Shares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203" w:lineRule="exact"/>
        <w:rPr>
          <w:sz w:val="20"/>
          <w:szCs w:val="20"/>
          <w:color w:val="auto"/>
        </w:rPr>
      </w:pPr>
    </w:p>
    <w:p>
      <w:pPr>
        <w:ind w:left="-515" w:right="1979" w:firstLine="515"/>
        <w:spacing w:after="0" w:line="246" w:lineRule="auto"/>
        <w:tabs>
          <w:tab w:leader="none" w:pos="411"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w:t>
      </w:r>
    </w:p>
    <w:p>
      <w:pPr>
        <w:spacing w:after="0" w:line="200" w:lineRule="exact"/>
        <w:rPr>
          <w:rFonts w:ascii="Courier New" w:cs="Courier New" w:eastAsia="Courier New" w:hAnsi="Courier New"/>
          <w:sz w:val="17"/>
          <w:szCs w:val="17"/>
          <w:color w:val="auto"/>
        </w:rPr>
      </w:pPr>
    </w:p>
    <w:p>
      <w:pPr>
        <w:spacing w:after="0" w:line="208" w:lineRule="exact"/>
        <w:rPr>
          <w:rFonts w:ascii="Courier New" w:cs="Courier New" w:eastAsia="Courier New" w:hAnsi="Courier New"/>
          <w:sz w:val="17"/>
          <w:szCs w:val="17"/>
          <w:color w:val="auto"/>
        </w:rPr>
      </w:pPr>
    </w:p>
    <w:p>
      <w:pPr>
        <w:ind w:left="2885" w:hanging="208"/>
        <w:spacing w:after="0"/>
        <w:tabs>
          <w:tab w:leader="none" w:pos="2885" w:val="left"/>
        </w:tabs>
        <w:numPr>
          <w:ilvl w:val="1"/>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23 -</w:t>
      </w:r>
    </w:p>
    <w:p>
      <w:pPr>
        <w:sectPr>
          <w:pgSz w:w="11900" w:h="16838" w:orient="portrait"/>
          <w:cols w:equalWidth="0" w:num="1">
            <w:col w:w="9184"/>
          </w:cols>
          <w:pgMar w:left="1275" w:top="709" w:right="1440" w:bottom="1440" w:gutter="0" w:footer="0" w:header="0"/>
        </w:sectPr>
      </w:pPr>
    </w:p>
    <w:bookmarkStart w:id="104" w:name="page105"/>
    <w:bookmarkEnd w:id="104"/>
    <w:p>
      <w:pPr>
        <w:ind w:right="2179"/>
        <w:spacing w:after="0" w:line="246" w:lineRule="auto"/>
        <w:rPr>
          <w:sz w:val="20"/>
          <w:szCs w:val="20"/>
          <w:color w:val="auto"/>
        </w:rPr>
      </w:pPr>
      <w:r>
        <w:rPr>
          <w:rFonts w:ascii="Courier New" w:cs="Courier New" w:eastAsia="Courier New" w:hAnsi="Courier New"/>
          <w:sz w:val="17"/>
          <w:szCs w:val="17"/>
          <w:color w:val="auto"/>
        </w:rPr>
        <w:t>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201" w:lineRule="exact"/>
        <w:rPr>
          <w:sz w:val="20"/>
          <w:szCs w:val="20"/>
          <w:color w:val="auto"/>
        </w:rPr>
      </w:pPr>
    </w:p>
    <w:p>
      <w:pPr>
        <w:ind w:right="1979" w:firstLine="515"/>
        <w:spacing w:after="0" w:line="246" w:lineRule="auto"/>
        <w:tabs>
          <w:tab w:leader="none" w:pos="1029" w:val="left"/>
        </w:tabs>
        <w:numPr>
          <w:ilvl w:val="1"/>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212"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receipt by an indemnified party under subsection</w:t>
      </w:r>
    </w:p>
    <w:p>
      <w:pPr>
        <w:spacing w:after="0" w:line="5" w:lineRule="exact"/>
        <w:rPr>
          <w:rFonts w:ascii="Courier New" w:cs="Courier New" w:eastAsia="Courier New" w:hAnsi="Courier New"/>
          <w:sz w:val="17"/>
          <w:szCs w:val="17"/>
          <w:color w:val="auto"/>
        </w:rPr>
      </w:pPr>
    </w:p>
    <w:p>
      <w:pPr>
        <w:ind w:right="1979"/>
        <w:spacing w:after="0" w:line="246" w:lineRule="auto"/>
        <w:tabs>
          <w:tab w:leader="none" w:pos="412"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w:t>
      </w:r>
    </w:p>
    <w:p>
      <w:pPr>
        <w:spacing w:after="0" w:line="398" w:lineRule="exact"/>
        <w:rPr>
          <w:rFonts w:ascii="Courier New" w:cs="Courier New" w:eastAsia="Courier New" w:hAnsi="Courier New"/>
          <w:sz w:val="17"/>
          <w:szCs w:val="17"/>
          <w:color w:val="auto"/>
        </w:rPr>
      </w:pPr>
    </w:p>
    <w:p>
      <w:pPr>
        <w:ind w:left="3400" w:hanging="208"/>
        <w:spacing w:after="0"/>
        <w:tabs>
          <w:tab w:leader="none" w:pos="3400" w:val="left"/>
        </w:tabs>
        <w:numPr>
          <w:ilvl w:val="2"/>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24 -</w:t>
      </w:r>
    </w:p>
    <w:p>
      <w:pPr>
        <w:sectPr>
          <w:pgSz w:w="11900" w:h="16838" w:orient="portrait"/>
          <w:cols w:equalWidth="0" w:num="1">
            <w:col w:w="9699"/>
          </w:cols>
          <w:pgMar w:left="760" w:top="709" w:right="1440" w:bottom="1440" w:gutter="0" w:footer="0" w:header="0"/>
        </w:sectPr>
      </w:pPr>
    </w:p>
    <w:bookmarkStart w:id="105" w:name="page106"/>
    <w:bookmarkEnd w:id="105"/>
    <w:p>
      <w:pPr>
        <w:ind w:right="1979"/>
        <w:spacing w:after="0" w:line="246" w:lineRule="auto"/>
        <w:rPr>
          <w:sz w:val="20"/>
          <w:szCs w:val="20"/>
          <w:color w:val="auto"/>
        </w:rPr>
      </w:pPr>
      <w:r>
        <w:rPr>
          <w:rFonts w:ascii="Courier New" w:cs="Courier New" w:eastAsia="Courier New" w:hAnsi="Courier New"/>
          <w:sz w:val="17"/>
          <w:szCs w:val="17"/>
          <w:color w:val="auto"/>
        </w:rPr>
        <w:t>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w:t>
      </w:r>
    </w:p>
    <w:p>
      <w:pPr>
        <w:spacing w:after="0" w:line="207" w:lineRule="exact"/>
        <w:rPr>
          <w:sz w:val="20"/>
          <w:szCs w:val="20"/>
          <w:color w:val="auto"/>
        </w:rPr>
      </w:pPr>
    </w:p>
    <w:p>
      <w:pPr>
        <w:ind w:right="1979" w:firstLine="515"/>
        <w:spacing w:after="0" w:line="246" w:lineRule="auto"/>
        <w:tabs>
          <w:tab w:leader="none" w:pos="1029"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w:t>
      </w:r>
    </w:p>
    <w:p>
      <w:pPr>
        <w:spacing w:after="0" w:line="209"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25 -</w:t>
      </w:r>
    </w:p>
    <w:p>
      <w:pPr>
        <w:sectPr>
          <w:pgSz w:w="11900" w:h="16838" w:orient="portrait"/>
          <w:cols w:equalWidth="0" w:num="1">
            <w:col w:w="9699"/>
          </w:cols>
          <w:pgMar w:left="760" w:top="709" w:right="1440" w:bottom="1440" w:gutter="0" w:footer="0" w:header="0"/>
        </w:sectPr>
      </w:pPr>
    </w:p>
    <w:bookmarkStart w:id="106" w:name="page107"/>
    <w:bookmarkEnd w:id="106"/>
    <w:p>
      <w:pPr>
        <w:ind w:right="1979"/>
        <w:spacing w:after="0" w:line="246" w:lineRule="auto"/>
        <w:rPr>
          <w:sz w:val="20"/>
          <w:szCs w:val="20"/>
          <w:color w:val="auto"/>
        </w:rPr>
      </w:pPr>
      <w:r>
        <w:rPr>
          <w:rFonts w:ascii="Courier New" w:cs="Courier New" w:eastAsia="Courier New" w:hAnsi="Courier New"/>
          <w:sz w:val="17"/>
          <w:szCs w:val="17"/>
          <w:color w:val="auto"/>
        </w:rPr>
        <w:t>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217" w:lineRule="exact"/>
        <w:rPr>
          <w:sz w:val="20"/>
          <w:szCs w:val="20"/>
          <w:color w:val="auto"/>
        </w:rPr>
      </w:pPr>
    </w:p>
    <w:p>
      <w:pPr>
        <w:ind w:right="2179" w:firstLine="515"/>
        <w:spacing w:after="0" w:line="247" w:lineRule="auto"/>
        <w:tabs>
          <w:tab w:leader="none" w:pos="1029"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Company under this Section 8 shall be in addition to any liability which the Company may</w:t>
      </w:r>
    </w:p>
    <w:p>
      <w:pPr>
        <w:spacing w:after="0" w:line="197"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26 -</w:t>
      </w:r>
    </w:p>
    <w:p>
      <w:pPr>
        <w:sectPr>
          <w:pgSz w:w="11900" w:h="16838" w:orient="portrait"/>
          <w:cols w:equalWidth="0" w:num="1">
            <w:col w:w="9699"/>
          </w:cols>
          <w:pgMar w:left="760" w:top="709" w:right="1440" w:bottom="1440" w:gutter="0" w:footer="0" w:header="0"/>
        </w:sectPr>
      </w:pPr>
    </w:p>
    <w:bookmarkStart w:id="107" w:name="page108"/>
    <w:bookmarkEnd w:id="107"/>
    <w:p>
      <w:pPr>
        <w:ind w:right="1979"/>
        <w:spacing w:after="0" w:line="246" w:lineRule="auto"/>
        <w:rPr>
          <w:sz w:val="20"/>
          <w:szCs w:val="20"/>
          <w:color w:val="auto"/>
        </w:rPr>
      </w:pPr>
      <w:r>
        <w:rPr>
          <w:rFonts w:ascii="Courier New" w:cs="Courier New" w:eastAsia="Courier New" w:hAnsi="Courier New"/>
          <w:sz w:val="17"/>
          <w:szCs w:val="17"/>
          <w:color w:val="auto"/>
        </w:rPr>
        <w:t>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202" w:lineRule="exact"/>
        <w:rPr>
          <w:sz w:val="20"/>
          <w:szCs w:val="20"/>
          <w:color w:val="auto"/>
        </w:rPr>
      </w:pPr>
    </w:p>
    <w:p>
      <w:pPr>
        <w:ind w:right="1979" w:firstLine="515"/>
        <w:spacing w:after="0" w:line="246" w:lineRule="auto"/>
        <w:tabs>
          <w:tab w:leader="none" w:pos="926"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any Underwriter shall default in its obligation to purchase the Designated Shares which it has agreed to purchase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213" w:lineRule="exact"/>
        <w:rPr>
          <w:sz w:val="20"/>
          <w:szCs w:val="20"/>
          <w:color w:val="auto"/>
        </w:rPr>
      </w:pPr>
    </w:p>
    <w:p>
      <w:pPr>
        <w:ind w:right="2179" w:firstLine="515"/>
        <w:spacing w:after="0" w:line="246" w:lineRule="auto"/>
        <w:tabs>
          <w:tab w:leader="none" w:pos="1029"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Shares of a defaulting Underwriter or Underwriters by the Representatives and the Company as</w:t>
      </w:r>
    </w:p>
    <w:p>
      <w:pPr>
        <w:spacing w:after="0" w:line="397"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27 -</w:t>
      </w:r>
    </w:p>
    <w:p>
      <w:pPr>
        <w:sectPr>
          <w:pgSz w:w="11900" w:h="16838" w:orient="portrait"/>
          <w:cols w:equalWidth="0" w:num="1">
            <w:col w:w="9699"/>
          </w:cols>
          <w:pgMar w:left="760" w:top="709" w:right="1440" w:bottom="1440" w:gutter="0" w:footer="0" w:header="0"/>
        </w:sectPr>
      </w:pPr>
    </w:p>
    <w:bookmarkStart w:id="108" w:name="page109"/>
    <w:bookmarkEnd w:id="108"/>
    <w:p>
      <w:pPr>
        <w:ind w:right="1979"/>
        <w:spacing w:after="0" w:line="246" w:lineRule="auto"/>
        <w:rPr>
          <w:sz w:val="20"/>
          <w:szCs w:val="20"/>
          <w:color w:val="auto"/>
        </w:rPr>
      </w:pPr>
      <w:r>
        <w:rPr>
          <w:rFonts w:ascii="Courier New" w:cs="Courier New" w:eastAsia="Courier New" w:hAnsi="Courier New"/>
          <w:sz w:val="17"/>
          <w:szCs w:val="17"/>
          <w:color w:val="auto"/>
        </w:rPr>
        <w:t>provided in subsection (a) above, the aggregate number of such Designated Shares which remains unpurchased does not exceed one-tenth of the aggregate number of the Designated Shares, then the Company shall have the right to require each non-defaulting Underwriter to purchase the number of Designated Shares which such Underwriter agreed to purchase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205" w:lineRule="exact"/>
        <w:rPr>
          <w:sz w:val="20"/>
          <w:szCs w:val="20"/>
          <w:color w:val="auto"/>
        </w:rPr>
      </w:pPr>
    </w:p>
    <w:p>
      <w:pPr>
        <w:ind w:right="1979" w:firstLine="515"/>
        <w:spacing w:after="0" w:line="246" w:lineRule="auto"/>
        <w:tabs>
          <w:tab w:leader="none" w:pos="1029" w:val="left"/>
        </w:tabs>
        <w:numPr>
          <w:ilvl w:val="1"/>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as referred to in subsection (b) above, or if the Company shall not exercise the right described in subsection (b) above to require non-defaulting Underwriters to purchase Designated Shares of a defaulting Underwriter or Underwriters, then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206" w:lineRule="exact"/>
        <w:rPr>
          <w:rFonts w:ascii="Courier New" w:cs="Courier New" w:eastAsia="Courier New" w:hAnsi="Courier New"/>
          <w:sz w:val="17"/>
          <w:szCs w:val="17"/>
          <w:color w:val="auto"/>
        </w:rPr>
      </w:pPr>
    </w:p>
    <w:p>
      <w:pPr>
        <w:ind w:left="-520" w:right="1979" w:firstLine="520"/>
        <w:spacing w:after="0" w:line="246" w:lineRule="auto"/>
        <w:tabs>
          <w:tab w:leader="none" w:pos="509"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202" w:lineRule="exact"/>
        <w:rPr>
          <w:rFonts w:ascii="Courier New" w:cs="Courier New" w:eastAsia="Courier New" w:hAnsi="Courier New"/>
          <w:sz w:val="17"/>
          <w:szCs w:val="17"/>
          <w:color w:val="auto"/>
        </w:rPr>
      </w:pPr>
    </w:p>
    <w:p>
      <w:pPr>
        <w:ind w:left="3400" w:hanging="208"/>
        <w:spacing w:after="0"/>
        <w:tabs>
          <w:tab w:leader="none" w:pos="3400" w:val="left"/>
        </w:tabs>
        <w:numPr>
          <w:ilvl w:val="2"/>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28 -</w:t>
      </w:r>
    </w:p>
    <w:p>
      <w:pPr>
        <w:sectPr>
          <w:pgSz w:w="11900" w:h="16838" w:orient="portrait"/>
          <w:cols w:equalWidth="0" w:num="1">
            <w:col w:w="9699"/>
          </w:cols>
          <w:pgMar w:left="760" w:top="709" w:right="1440" w:bottom="1440" w:gutter="0" w:footer="0" w:header="0"/>
        </w:sectPr>
      </w:pPr>
    </w:p>
    <w:bookmarkStart w:id="109" w:name="page110"/>
    <w:bookmarkEnd w:id="109"/>
    <w:p>
      <w:pPr>
        <w:ind w:right="2079" w:firstLine="520"/>
        <w:spacing w:after="0" w:line="246" w:lineRule="auto"/>
        <w:tabs>
          <w:tab w:leader="none" w:pos="1029"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Agreement shall be terminated as a result of any of the conditions set forth in Section 7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205" w:lineRule="exact"/>
        <w:rPr>
          <w:rFonts w:ascii="Courier New" w:cs="Courier New" w:eastAsia="Courier New" w:hAnsi="Courier New"/>
          <w:sz w:val="17"/>
          <w:szCs w:val="17"/>
          <w:color w:val="auto"/>
        </w:rPr>
      </w:pPr>
    </w:p>
    <w:p>
      <w:pPr>
        <w:ind w:right="2079" w:firstLine="520"/>
        <w:spacing w:after="0" w:line="246" w:lineRule="auto"/>
        <w:tabs>
          <w:tab w:leader="none" w:pos="1029"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205" w:lineRule="exact"/>
        <w:rPr>
          <w:sz w:val="20"/>
          <w:szCs w:val="20"/>
          <w:color w:val="auto"/>
        </w:rPr>
      </w:pPr>
    </w:p>
    <w:p>
      <w:pPr>
        <w:ind w:right="1979" w:firstLine="520"/>
        <w:spacing w:after="0" w:line="246" w:lineRule="auto"/>
        <w:tabs>
          <w:tab w:leader="none" w:pos="1029"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binding upon, and inure solely to the benefit of, the Underwriters, the Company and, to the extent provided in Section 8 and Section 10 hereof, the officers and trustees of the Company and each person</w:t>
      </w:r>
    </w:p>
    <w:p>
      <w:pPr>
        <w:spacing w:after="0" w:line="398" w:lineRule="exact"/>
        <w:rPr>
          <w:rFonts w:ascii="Courier New" w:cs="Courier New" w:eastAsia="Courier New" w:hAnsi="Courier New"/>
          <w:sz w:val="17"/>
          <w:szCs w:val="17"/>
          <w:color w:val="auto"/>
        </w:rPr>
      </w:pPr>
    </w:p>
    <w:p>
      <w:pPr>
        <w:ind w:left="3920" w:hanging="208"/>
        <w:spacing w:after="0"/>
        <w:tabs>
          <w:tab w:leader="none" w:pos="392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29 -</w:t>
      </w:r>
    </w:p>
    <w:p>
      <w:pPr>
        <w:sectPr>
          <w:pgSz w:w="11900" w:h="16838" w:orient="portrait"/>
          <w:cols w:equalWidth="0" w:num="1">
            <w:col w:w="10219"/>
          </w:cols>
          <w:pgMar w:left="240" w:top="709" w:right="1440" w:bottom="1440" w:gutter="0" w:footer="0" w:header="0"/>
        </w:sectPr>
      </w:pPr>
    </w:p>
    <w:bookmarkStart w:id="110" w:name="page111"/>
    <w:bookmarkEnd w:id="110"/>
    <w:p>
      <w:pPr>
        <w:ind w:right="1979"/>
        <w:spacing w:after="0" w:line="246" w:lineRule="auto"/>
        <w:rPr>
          <w:sz w:val="20"/>
          <w:szCs w:val="20"/>
          <w:color w:val="auto"/>
        </w:rPr>
      </w:pPr>
      <w:r>
        <w:rPr>
          <w:rFonts w:ascii="Courier New" w:cs="Courier New" w:eastAsia="Courier New" w:hAnsi="Courier New"/>
          <w:sz w:val="17"/>
          <w:szCs w:val="17"/>
          <w:color w:val="auto"/>
        </w:rPr>
        <w:t>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201" w:lineRule="exact"/>
        <w:rPr>
          <w:sz w:val="20"/>
          <w:szCs w:val="20"/>
          <w:color w:val="auto"/>
        </w:rPr>
      </w:pPr>
    </w:p>
    <w:p>
      <w:pPr>
        <w:ind w:right="2599" w:firstLine="520"/>
        <w:spacing w:after="0" w:line="246" w:lineRule="auto"/>
        <w:tabs>
          <w:tab w:leader="none" w:pos="1029"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shall be of the essence of each Pricing Agreement. As used herein, "business day" shall mean any day when the Commission's office in Washington, D.C. is open for business.</w:t>
      </w:r>
    </w:p>
    <w:p>
      <w:pPr>
        <w:spacing w:after="0" w:line="199" w:lineRule="exact"/>
        <w:rPr>
          <w:rFonts w:ascii="Courier New" w:cs="Courier New" w:eastAsia="Courier New" w:hAnsi="Courier New"/>
          <w:sz w:val="17"/>
          <w:szCs w:val="17"/>
          <w:color w:val="auto"/>
        </w:rPr>
      </w:pPr>
    </w:p>
    <w:p>
      <w:pPr>
        <w:ind w:right="2399" w:firstLine="520"/>
        <w:spacing w:after="0" w:line="247" w:lineRule="auto"/>
        <w:tabs>
          <w:tab w:leader="none" w:pos="1029"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governed by and construed in accordance with the laws of the State of New York.</w:t>
      </w:r>
    </w:p>
    <w:p>
      <w:pPr>
        <w:spacing w:after="0" w:line="197"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Federal Realty Investment Trust is a business trust organized under District of Columbia law. Under the terms of Article VIII of the Company's Third Amended and Restated Declaration of Trust, all persons shall look solely to the Company's property, real, personal or otherwise, tangible or intangible, for the payment of any claim under or for the performance of this Agreement, and no trustee, officer, employee or agent of the Company shall be subject to any personal liability whatsoever, in tort, contract or otherwise in connection with the obligations of the Company hereunder.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to us [one for the Company and each of the Representatives plus one for each counsel] counterparts hereof.</w:t>
      </w:r>
    </w:p>
    <w:p>
      <w:pPr>
        <w:spacing w:after="0" w:line="20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Underwriter]</w:t>
      </w:r>
    </w:p>
    <w:p>
      <w:pPr>
        <w:spacing w:after="0" w:line="200" w:lineRule="exact"/>
        <w:rPr>
          <w:sz w:val="20"/>
          <w:szCs w:val="20"/>
          <w:color w:val="auto"/>
        </w:rPr>
      </w:pPr>
    </w:p>
    <w:p>
      <w:pPr>
        <w:spacing w:after="0" w:line="39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- 30 -</w:t>
      </w:r>
    </w:p>
    <w:p>
      <w:pPr>
        <w:sectPr>
          <w:pgSz w:w="11900" w:h="16838" w:orient="portrait"/>
          <w:cols w:equalWidth="0" w:num="1">
            <w:col w:w="10219"/>
          </w:cols>
          <w:pgMar w:left="240" w:top="709" w:right="1440" w:bottom="1440" w:gutter="0" w:footer="0" w:header="0"/>
        </w:sectPr>
      </w:pPr>
    </w:p>
    <w:bookmarkStart w:id="111" w:name="page112"/>
    <w:bookmarkEnd w:id="111"/>
    <w:p>
      <w:pPr>
        <w:jc w:val="right"/>
        <w:ind w:right="1979"/>
        <w:spacing w:after="0"/>
        <w:rPr>
          <w:sz w:val="20"/>
          <w:szCs w:val="20"/>
          <w:color w:val="auto"/>
        </w:rPr>
      </w:pPr>
      <w:r>
        <w:rPr>
          <w:rFonts w:ascii="Courier New" w:cs="Courier New" w:eastAsia="Courier New" w:hAnsi="Courier New"/>
          <w:sz w:val="17"/>
          <w:szCs w:val="17"/>
          <w:color w:val="auto"/>
        </w:rPr>
        <w:t>ANNEX I</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Pricing Agreement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As Representatives of the several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Underwriters named in Schedule I hereto,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 of Representative]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 199=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3"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Federal Realty Investment Trust, a business trust organized under the laws of the District of Columbia (the "Company"), proposes, subject to the terms and conditions stated herein and in the Underwriting Agreement, dated ============</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 199=(the "Underwriting Agreement"), between the Company on the one hand and [names of Representatives] on the other hand, to issue and sell to the Underwriters named in Schedule I hereto (the "Underwriters") the Shares specified in Schedule II hereto (the "Designated Shares").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w:t>
      </w:r>
    </w:p>
    <w:p>
      <w:pPr>
        <w:spacing w:after="0" w:line="20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10219"/>
          </w:cols>
          <w:pgMar w:left="240" w:top="709"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7"/>
          <w:szCs w:val="17"/>
          <w:color w:val="auto"/>
        </w:rPr>
        <w:t>Agreement so incorporated by reference shall be deemed to refer to</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you. Unless otherwise defined herein, terms defined in the Underwriting Agreement are used herein as therein defined. The Representatives designated to act on behalf of the Representatives and on behalf of each of the Underwriters of the Designated Shares pursuant to Section 12 of the Underwriting Agreement and the address of the Representatives referred to in such Section 12 are set forth at the end of Schedule II hereto.</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An amendment to the Registration Statement, or a supplement to the Prospectus, as the case may be, relating to the Designated Shares, in the form heretofore delivered to you is now proposed to be filed with the Commission.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number of Designated Shares set forth opposite the name of such Underwriter in Schedule I hereto.</w:t>
      </w:r>
    </w:p>
    <w:p>
      <w:pPr>
        <w:spacing w:after="0" w:line="40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- 2 -</w:t>
      </w:r>
    </w:p>
    <w:p>
      <w:pPr>
        <w:sectPr>
          <w:pgSz w:w="11900" w:h="16838" w:orient="portrait"/>
          <w:cols w:equalWidth="0" w:num="1">
            <w:col w:w="10219"/>
          </w:cols>
          <w:pgMar w:left="240" w:top="709" w:right="1440" w:bottom="1440" w:gutter="0" w:footer="0" w:header="0"/>
        </w:sectPr>
      </w:pPr>
    </w:p>
    <w:bookmarkStart w:id="113" w:name="page114"/>
    <w:bookmarkEnd w:id="113"/>
    <w:p>
      <w:pPr>
        <w:ind w:right="1979" w:firstLine="515"/>
        <w:spacing w:after="0" w:line="246"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to us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Representative]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behalf of each of the Underwriters</w:t>
      </w: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10219"/>
          </w:cols>
          <w:pgMar w:left="240" w:top="709" w:right="1440" w:bottom="1440" w:gutter="0" w:footer="0" w:header="0"/>
        </w:sectPr>
      </w:pPr>
    </w:p>
    <w:bookmarkStart w:id="114" w:name="page115"/>
    <w:bookmarkEnd w:id="114"/>
    <w:p>
      <w:pPr>
        <w:ind w:left="2880"/>
        <w:spacing w:after="0"/>
        <w:rPr>
          <w:sz w:val="20"/>
          <w:szCs w:val="20"/>
          <w:color w:val="auto"/>
        </w:rPr>
      </w:pPr>
      <w:r>
        <w:rPr>
          <w:rFonts w:ascii="Courier New" w:cs="Courier New" w:eastAsia="Courier New" w:hAnsi="Courier New"/>
          <w:sz w:val="17"/>
          <w:szCs w:val="17"/>
          <w:color w:val="auto"/>
        </w:rPr>
        <w:t>SCHEDULE I</w:t>
      </w:r>
    </w:p>
    <w:p>
      <w:pPr>
        <w:sectPr>
          <w:pgSz w:w="11900" w:h="16838" w:orient="portrait"/>
          <w:cols w:equalWidth="0" w:num="1">
            <w:col w:w="9599"/>
          </w:cols>
          <w:pgMar w:left="860" w:top="7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Underwriter</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Designated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be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95" w:lineRule="exact"/>
        <w:rPr>
          <w:sz w:val="20"/>
          <w:szCs w:val="20"/>
          <w:color w:val="auto"/>
        </w:rPr>
      </w:pPr>
    </w:p>
    <w:p>
      <w:pPr>
        <w:sectPr>
          <w:pgSz w:w="11900" w:h="16838" w:orient="portrait"/>
          <w:cols w:equalWidth="0" w:num="2">
            <w:col w:w="4640" w:space="720"/>
            <w:col w:w="4239"/>
          </w:cols>
          <w:pgMar w:left="860" w:top="7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 . . . . . . . . . . . . .</w:t>
      </w:r>
    </w:p>
    <w:p>
      <w:pPr>
        <w:spacing w:after="0" w:line="200" w:lineRule="exact"/>
        <w:rPr>
          <w:sz w:val="20"/>
          <w:szCs w:val="20"/>
          <w:color w:val="auto"/>
        </w:rPr>
      </w:pPr>
    </w:p>
    <w:p>
      <w:pPr>
        <w:spacing w:after="0" w:line="399"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9599"/>
          </w:cols>
          <w:pgMar w:left="860" w:top="709" w:right="1440" w:bottom="1440" w:gutter="0" w:footer="0" w:header="0"/>
          <w:type w:val="continuous"/>
        </w:sectPr>
      </w:pPr>
    </w:p>
    <w:bookmarkStart w:id="115" w:name="page116"/>
    <w:bookmarkEnd w:id="115"/>
    <w:p>
      <w:pPr>
        <w:ind w:left="3500"/>
        <w:spacing w:after="0"/>
        <w:rPr>
          <w:sz w:val="20"/>
          <w:szCs w:val="20"/>
          <w:color w:val="auto"/>
        </w:rPr>
      </w:pPr>
      <w:r>
        <w:rPr>
          <w:rFonts w:ascii="Courier New" w:cs="Courier New" w:eastAsia="Courier New" w:hAnsi="Courier New"/>
          <w:sz w:val="17"/>
          <w:szCs w:val="17"/>
          <w:color w:val="auto"/>
        </w:rPr>
        <w:t>SCHEDULE 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Designated Shares:</w:t>
      </w:r>
    </w:p>
    <w:p>
      <w:pPr>
        <w:spacing w:after="0" w:line="203" w:lineRule="exact"/>
        <w:rPr>
          <w:sz w:val="20"/>
          <w:szCs w:val="20"/>
          <w:color w:val="auto"/>
        </w:rPr>
      </w:pPr>
    </w:p>
    <w:p>
      <w:pPr>
        <w:ind w:right="3939" w:firstLine="515"/>
        <w:spacing w:after="0" w:line="247" w:lineRule="auto"/>
        <w:rPr>
          <w:sz w:val="20"/>
          <w:szCs w:val="20"/>
          <w:color w:val="auto"/>
        </w:rPr>
      </w:pPr>
      <w:r>
        <w:rPr>
          <w:rFonts w:ascii="Courier New" w:cs="Courier New" w:eastAsia="Courier New" w:hAnsi="Courier New"/>
          <w:sz w:val="17"/>
          <w:szCs w:val="17"/>
          <w:color w:val="auto"/>
        </w:rPr>
        <w:t>[Date of Board of Resolution Establishing the Designated Shares ....., 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Designated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Initial Offering Price to Public:</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per Share] [Formula]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Price by Underwriters: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per Share] [Formula]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Payable to Underwriters: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Specified Funds for Payment of Purchase Price: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[New York] Clearing House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Rate: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per annum]</w:t>
      </w:r>
    </w:p>
    <w:p>
      <w:pPr>
        <w:spacing w:after="0" w:line="203"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7"/>
          <w:szCs w:val="17"/>
          <w:color w:val="auto"/>
        </w:rPr>
        <w:t>Dividend Payment Dates:</w:t>
      </w:r>
    </w:p>
    <w:p>
      <w:pPr>
        <w:spacing w:after="0" w:line="5"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7"/>
          <w:szCs w:val="17"/>
          <w:color w:val="auto"/>
        </w:rPr>
        <w:t>[months and dates]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Rights: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 cumulative, [deferred]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Preemptive and Conversion Rights: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- 1 -</w:t>
      </w:r>
    </w:p>
    <w:p>
      <w:pPr>
        <w:sectPr>
          <w:pgSz w:w="11900" w:h="16838" w:orient="portrait"/>
          <w:cols w:equalWidth="0" w:num="1">
            <w:col w:w="10219"/>
          </w:cols>
          <w:pgMar w:left="240" w:top="709"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7"/>
          <w:szCs w:val="17"/>
          <w:color w:val="auto"/>
        </w:rPr>
        <w:t>Redemption Provisions: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 provisions for redemption]</w:t>
      </w:r>
    </w:p>
    <w:p>
      <w:pPr>
        <w:spacing w:after="0" w:line="203" w:lineRule="exact"/>
        <w:rPr>
          <w:sz w:val="20"/>
          <w:szCs w:val="20"/>
          <w:color w:val="auto"/>
        </w:rPr>
      </w:pPr>
    </w:p>
    <w:p>
      <w:pPr>
        <w:ind w:left="520" w:right="1979"/>
        <w:spacing w:after="0" w:line="246" w:lineRule="auto"/>
        <w:rPr>
          <w:sz w:val="20"/>
          <w:szCs w:val="20"/>
          <w:color w:val="auto"/>
        </w:rPr>
      </w:pPr>
      <w:r>
        <w:rPr>
          <w:rFonts w:ascii="Courier New" w:cs="Courier New" w:eastAsia="Courier New" w:hAnsi="Courier New"/>
          <w:sz w:val="17"/>
          <w:szCs w:val="17"/>
          <w:color w:val="auto"/>
        </w:rPr>
        <w:t>[The Designated Shares may be redeemed, [otherwise than through the sinking fund,] in whole or in part at the option of the Company, [on or after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at the following redemption prices: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2">
            <w:col w:w="3720" w:space="720"/>
            <w:col w:w="5779"/>
          </w:cols>
          <w:pgMar w:left="240" w:top="709" w:right="1440" w:bottom="1440" w:gutter="0" w:footer="0" w:header="0"/>
          <w:type w:val="continuous"/>
        </w:sectPr>
      </w:pPr>
    </w:p>
    <w:p>
      <w:pPr>
        <w:spacing w:after="0" w:line="399" w:lineRule="exact"/>
        <w:rPr>
          <w:sz w:val="20"/>
          <w:szCs w:val="20"/>
          <w:color w:val="auto"/>
        </w:rPr>
      </w:pPr>
    </w:p>
    <w:p>
      <w:pPr>
        <w:ind w:left="520" w:right="2499"/>
        <w:spacing w:after="0" w:line="247" w:lineRule="auto"/>
        <w:rPr>
          <w:sz w:val="20"/>
          <w:szCs w:val="20"/>
          <w:color w:val="auto"/>
        </w:rPr>
      </w:pPr>
      <w:r>
        <w:rPr>
          <w:rFonts w:ascii="Courier New" w:cs="Courier New" w:eastAsia="Courier New" w:hAnsi="Courier New"/>
          <w:sz w:val="17"/>
          <w:szCs w:val="17"/>
          <w:color w:val="auto"/>
        </w:rPr>
        <w:t>and thereafter at $..... per share, together in each case with accrued dividends to the redemption date.]</w:t>
      </w:r>
    </w:p>
    <w:p>
      <w:pPr>
        <w:spacing w:after="0" w:line="198" w:lineRule="exact"/>
        <w:rPr>
          <w:sz w:val="20"/>
          <w:szCs w:val="20"/>
          <w:color w:val="auto"/>
        </w:rPr>
      </w:pPr>
    </w:p>
    <w:p>
      <w:pPr>
        <w:jc w:val="both"/>
        <w:ind w:left="520" w:right="2179"/>
        <w:spacing w:after="0" w:line="246" w:lineRule="auto"/>
        <w:rPr>
          <w:sz w:val="20"/>
          <w:szCs w:val="20"/>
          <w:color w:val="auto"/>
        </w:rPr>
      </w:pPr>
      <w:r>
        <w:rPr>
          <w:rFonts w:ascii="Courier New" w:cs="Courier New" w:eastAsia="Courier New" w:hAnsi="Courier New"/>
          <w:sz w:val="17"/>
          <w:szCs w:val="17"/>
          <w:color w:val="auto"/>
        </w:rPr>
        <w:t>[on any dividend payment date falling in or after , , at the election of the Company, at a redemption price equal to the stated amount thereof, plus accrued dividends to the date of redemption.]</w:t>
      </w:r>
    </w:p>
    <w:p>
      <w:pPr>
        <w:sectPr>
          <w:pgSz w:w="11900" w:h="16838" w:orient="portrait"/>
          <w:cols w:equalWidth="0" w:num="1">
            <w:col w:w="10219"/>
          </w:cols>
          <w:pgMar w:left="240" w:top="709" w:right="1440" w:bottom="1440" w:gutter="0" w:footer="0" w:header="0"/>
          <w:type w:val="continuous"/>
        </w:sectPr>
      </w:pPr>
    </w:p>
    <w:p>
      <w:pPr>
        <w:spacing w:after="0" w:line="200" w:lineRule="exact"/>
        <w:rPr>
          <w:sz w:val="20"/>
          <w:szCs w:val="20"/>
          <w:color w:val="auto"/>
        </w:rPr>
      </w:pPr>
    </w:p>
    <w:p>
      <w:pPr>
        <w:ind w:left="520" w:right="2279"/>
        <w:spacing w:after="0" w:line="247" w:lineRule="auto"/>
        <w:rPr>
          <w:sz w:val="20"/>
          <w:szCs w:val="20"/>
          <w:color w:val="auto"/>
        </w:rPr>
      </w:pPr>
      <w:r>
        <w:rPr>
          <w:rFonts w:ascii="Courier New" w:cs="Courier New" w:eastAsia="Courier New" w:hAnsi="Courier New"/>
          <w:sz w:val="17"/>
          <w:szCs w:val="17"/>
          <w:color w:val="auto"/>
        </w:rPr>
        <w:t>[Other possible redemption provisions, such as mandatory redemption upon occurrence of certain events or redemption for changes in tax law]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Sinking Fund Provisions: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line="201" w:lineRule="exact"/>
        <w:rPr>
          <w:sz w:val="20"/>
          <w:szCs w:val="20"/>
          <w:color w:val="auto"/>
        </w:rPr>
      </w:pPr>
    </w:p>
    <w:p>
      <w:pPr>
        <w:ind w:right="2599" w:firstLine="515"/>
        <w:spacing w:after="0"/>
        <w:rPr>
          <w:sz w:val="20"/>
          <w:szCs w:val="20"/>
          <w:color w:val="auto"/>
        </w:rPr>
      </w:pPr>
      <w:r>
        <w:rPr>
          <w:rFonts w:ascii="Courier New" w:cs="Courier New" w:eastAsia="Courier New" w:hAnsi="Courier New"/>
          <w:sz w:val="1"/>
          <w:szCs w:val="1"/>
          <w:color w:val="auto"/>
        </w:rPr>
        <w:t>[The Designated Shares are entitled to the benefit of a sinking fund to retire Designated Shares on in each of the years through at 100% of their stated amount plus accrued dividends]</w:t>
      </w:r>
    </w:p>
    <w:p>
      <w:pPr>
        <w:spacing w:after="0" w:line="396"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[,together with [cumulative] [noncumulative] redemptions at the option of the Company to retire an additional Designated Shares in the years through at 100% of their stated amount plus accrued dividends].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 of Delivery:</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- 2 -</w:t>
      </w:r>
    </w:p>
    <w:p>
      <w:pPr>
        <w:sectPr>
          <w:pgSz w:w="11900" w:h="16838" w:orient="portrait"/>
          <w:cols w:equalWidth="0" w:num="1">
            <w:col w:w="10219"/>
          </w:cols>
          <w:pgMar w:left="240" w:top="709" w:right="1440" w:bottom="1440" w:gutter="0" w:footer="0" w:header="0"/>
          <w:type w:val="continuous"/>
        </w:sectPr>
      </w:pPr>
    </w:p>
    <w:bookmarkStart w:id="117" w:name="page118"/>
    <w:bookmarkEnd w:id="117"/>
    <w:p>
      <w:pPr>
        <w:spacing w:after="0"/>
        <w:rPr>
          <w:sz w:val="20"/>
          <w:szCs w:val="20"/>
          <w:color w:val="auto"/>
        </w:rPr>
      </w:pPr>
      <w:r>
        <w:rPr>
          <w:rFonts w:ascii="Courier New" w:cs="Courier New" w:eastAsia="Courier New" w:hAnsi="Courier New"/>
          <w:sz w:val="17"/>
          <w:szCs w:val="17"/>
          <w:color w:val="auto"/>
        </w:rPr>
        <w:t>Closing Location: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Names and addresses of Representatives: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Designated Representatives: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Address for Notices, etc.:</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Terms]*: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 description of particular tax, accounting or other unusual features (such as the addition of event risk provisions) of the Designated Shares should be set forth, or referenced to an attached and accompanying description, if necessary to ensure agreement as to the terms of the Shares to be purchased and sold. Such a description might appropriately be in the form in which such features will be described in the Prospectus Supplement for the offering.</w:t>
      </w:r>
    </w:p>
    <w:p>
      <w:pPr>
        <w:spacing w:after="0" w:line="20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- 3 -</w:t>
      </w:r>
    </w:p>
    <w:p>
      <w:pPr>
        <w:sectPr>
          <w:pgSz w:w="11900" w:h="16838" w:orient="portrait"/>
          <w:cols w:equalWidth="0" w:num="1">
            <w:col w:w="10219"/>
          </w:cols>
          <w:pgMar w:left="240" w:top="709" w:right="1440" w:bottom="1440" w:gutter="0" w:footer="0" w:header="0"/>
        </w:sectPr>
      </w:pPr>
    </w:p>
    <w:bookmarkStart w:id="118" w:name="page119"/>
    <w:bookmarkEnd w:id="118"/>
    <w:p>
      <w:pPr>
        <w:jc w:val="right"/>
        <w:ind w:right="1979"/>
        <w:spacing w:after="0"/>
        <w:rPr>
          <w:sz w:val="20"/>
          <w:szCs w:val="20"/>
          <w:color w:val="auto"/>
        </w:rPr>
      </w:pPr>
      <w:r>
        <w:rPr>
          <w:rFonts w:ascii="Courier New" w:cs="Courier New" w:eastAsia="Courier New" w:hAnsi="Courier New"/>
          <w:sz w:val="17"/>
          <w:szCs w:val="17"/>
          <w:color w:val="auto"/>
        </w:rPr>
        <w:t>ANNEX II</w:t>
      </w:r>
    </w:p>
    <w:p>
      <w:pPr>
        <w:spacing w:after="0" w:line="200" w:lineRule="exact"/>
        <w:rPr>
          <w:sz w:val="20"/>
          <w:szCs w:val="20"/>
          <w:color w:val="auto"/>
        </w:rPr>
      </w:pPr>
    </w:p>
    <w:p>
      <w:pPr>
        <w:spacing w:after="0" w:line="399"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Pursuant to Section 7(e) of the Underwriting Agreement, the accountants shall furnish letters to the Underwriters to the effect that:</w:t>
      </w:r>
    </w:p>
    <w:p>
      <w:pPr>
        <w:spacing w:after="0" w:line="198" w:lineRule="exact"/>
        <w:rPr>
          <w:sz w:val="20"/>
          <w:szCs w:val="20"/>
          <w:color w:val="auto"/>
        </w:rPr>
      </w:pPr>
    </w:p>
    <w:p>
      <w:pPr>
        <w:ind w:left="520" w:right="1979" w:firstLine="515"/>
        <w:spacing w:after="0" w:line="246" w:lineRule="auto"/>
        <w:tabs>
          <w:tab w:leader="none" w:pos="1549"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are independent certified public accountants with respect to the Company and its subsidiaries within the meaning of the Act and the applicable published rules and regulations thereunder;</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652"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206" w:lineRule="exact"/>
        <w:rPr>
          <w:rFonts w:ascii="Courier New" w:cs="Courier New" w:eastAsia="Courier New" w:hAnsi="Courier New"/>
          <w:sz w:val="17"/>
          <w:szCs w:val="17"/>
          <w:color w:val="auto"/>
        </w:rPr>
      </w:pPr>
    </w:p>
    <w:p>
      <w:pPr>
        <w:ind w:left="520" w:right="1979" w:firstLine="515"/>
        <w:spacing w:after="0" w:line="246" w:lineRule="auto"/>
        <w:tabs>
          <w:tab w:leader="none" w:pos="1755"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w:t>
      </w:r>
    </w:p>
    <w:p>
      <w:pPr>
        <w:spacing w:after="0" w:line="203" w:lineRule="exact"/>
        <w:rPr>
          <w:rFonts w:ascii="Courier New" w:cs="Courier New" w:eastAsia="Courier New" w:hAnsi="Courier New"/>
          <w:sz w:val="17"/>
          <w:szCs w:val="17"/>
          <w:color w:val="auto"/>
        </w:rPr>
      </w:pPr>
    </w:p>
    <w:p>
      <w:pPr>
        <w:ind w:left="3920" w:hanging="208"/>
        <w:spacing w:after="0"/>
        <w:tabs>
          <w:tab w:leader="none" w:pos="392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w:t>
      </w:r>
    </w:p>
    <w:p>
      <w:pPr>
        <w:sectPr>
          <w:pgSz w:w="11900" w:h="16838" w:orient="portrait"/>
          <w:cols w:equalWidth="0" w:num="1">
            <w:col w:w="10219"/>
          </w:cols>
          <w:pgMar w:left="240" w:top="709" w:right="1440" w:bottom="1440" w:gutter="0" w:footer="0" w:header="0"/>
        </w:sectPr>
      </w:pPr>
    </w:p>
    <w:bookmarkStart w:id="119" w:name="page120"/>
    <w:bookmarkEnd w:id="119"/>
    <w:p>
      <w:pPr>
        <w:ind w:right="1979"/>
        <w:spacing w:after="0" w:line="246" w:lineRule="auto"/>
        <w:rPr>
          <w:sz w:val="20"/>
          <w:szCs w:val="20"/>
          <w:color w:val="auto"/>
        </w:rPr>
      </w:pPr>
      <w:r>
        <w:rPr>
          <w:rFonts w:ascii="Courier New" w:cs="Courier New" w:eastAsia="Courier New" w:hAnsi="Courier New"/>
          <w:sz w:val="17"/>
          <w:szCs w:val="17"/>
          <w:color w:val="auto"/>
        </w:rPr>
        <w:t>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203" w:lineRule="exact"/>
        <w:rPr>
          <w:sz w:val="20"/>
          <w:szCs w:val="20"/>
          <w:color w:val="auto"/>
        </w:rPr>
      </w:pPr>
    </w:p>
    <w:p>
      <w:pPr>
        <w:ind w:right="1979" w:firstLine="515"/>
        <w:spacing w:after="0" w:line="246" w:lineRule="auto"/>
        <w:tabs>
          <w:tab w:leader="none" w:pos="1132"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203" w:lineRule="exact"/>
        <w:rPr>
          <w:rFonts w:ascii="Courier New" w:cs="Courier New" w:eastAsia="Courier New" w:hAnsi="Courier New"/>
          <w:sz w:val="17"/>
          <w:szCs w:val="17"/>
          <w:color w:val="auto"/>
        </w:rPr>
      </w:pPr>
    </w:p>
    <w:p>
      <w:pPr>
        <w:ind w:right="1979" w:firstLine="515"/>
        <w:spacing w:after="0" w:line="246" w:lineRule="auto"/>
        <w:tabs>
          <w:tab w:leader="none" w:pos="1029"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202" w:lineRule="exact"/>
        <w:rPr>
          <w:rFonts w:ascii="Courier New" w:cs="Courier New" w:eastAsia="Courier New" w:hAnsi="Courier New"/>
          <w:sz w:val="17"/>
          <w:szCs w:val="17"/>
          <w:color w:val="auto"/>
        </w:rPr>
      </w:pPr>
    </w:p>
    <w:p>
      <w:pPr>
        <w:ind w:right="1979" w:firstLine="515"/>
        <w:spacing w:after="0" w:line="246" w:lineRule="auto"/>
        <w:tabs>
          <w:tab w:leader="none" w:pos="1132"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w:t>
      </w:r>
    </w:p>
    <w:p>
      <w:pPr>
        <w:spacing w:after="0" w:line="203" w:lineRule="exact"/>
        <w:rPr>
          <w:rFonts w:ascii="Courier New" w:cs="Courier New" w:eastAsia="Courier New" w:hAnsi="Courier New"/>
          <w:sz w:val="17"/>
          <w:szCs w:val="17"/>
          <w:color w:val="auto"/>
        </w:rPr>
      </w:pPr>
    </w:p>
    <w:p>
      <w:pPr>
        <w:ind w:left="3400" w:hanging="208"/>
        <w:spacing w:after="0"/>
        <w:tabs>
          <w:tab w:leader="none" w:pos="3400" w:val="left"/>
        </w:tabs>
        <w:numPr>
          <w:ilvl w:val="1"/>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w:t>
      </w:r>
    </w:p>
    <w:p>
      <w:pPr>
        <w:sectPr>
          <w:pgSz w:w="11900" w:h="16838" w:orient="portrait"/>
          <w:cols w:equalWidth="0" w:num="1">
            <w:col w:w="9699"/>
          </w:cols>
          <w:pgMar w:left="760" w:top="709" w:right="1440" w:bottom="1440" w:gutter="0" w:footer="0" w:header="0"/>
        </w:sectPr>
      </w:pPr>
    </w:p>
    <w:bookmarkStart w:id="120" w:name="page121"/>
    <w:bookmarkEnd w:id="120"/>
    <w:p>
      <w:pPr>
        <w:ind w:right="2599"/>
        <w:spacing w:after="0" w:line="247" w:lineRule="auto"/>
        <w:rPr>
          <w:sz w:val="20"/>
          <w:szCs w:val="20"/>
          <w:color w:val="auto"/>
        </w:rPr>
      </w:pPr>
      <w:r>
        <w:rPr>
          <w:rFonts w:ascii="Courier New" w:cs="Courier New" w:eastAsia="Courier New" w:hAnsi="Courier New"/>
          <w:sz w:val="17"/>
          <w:szCs w:val="17"/>
          <w:color w:val="auto"/>
        </w:rPr>
        <w:t>may be specified in such letter, nothing came to their attention that caused them to believe that:</w:t>
      </w:r>
    </w:p>
    <w:p>
      <w:pPr>
        <w:spacing w:after="0" w:line="198" w:lineRule="exact"/>
        <w:rPr>
          <w:sz w:val="20"/>
          <w:szCs w:val="20"/>
          <w:color w:val="auto"/>
        </w:rPr>
      </w:pPr>
    </w:p>
    <w:p>
      <w:pPr>
        <w:ind w:left="520" w:right="1979" w:firstLine="510"/>
        <w:spacing w:after="0" w:line="246" w:lineRule="auto"/>
        <w:tabs>
          <w:tab w:leader="none" w:pos="1550"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w:t>
      </w:r>
    </w:p>
    <w:p>
      <w:pPr>
        <w:spacing w:after="0" w:line="4" w:lineRule="exact"/>
        <w:rPr>
          <w:rFonts w:ascii="Courier New" w:cs="Courier New" w:eastAsia="Courier New" w:hAnsi="Courier New"/>
          <w:sz w:val="17"/>
          <w:szCs w:val="17"/>
          <w:color w:val="auto"/>
        </w:rPr>
      </w:pPr>
    </w:p>
    <w:p>
      <w:pPr>
        <w:ind w:left="520" w:right="1979" w:hanging="5"/>
        <w:spacing w:after="0" w:line="246" w:lineRule="auto"/>
        <w:tabs>
          <w:tab w:leader="none" w:pos="1035"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201" w:lineRule="exact"/>
        <w:rPr>
          <w:rFonts w:ascii="Courier New" w:cs="Courier New" w:eastAsia="Courier New" w:hAnsi="Courier New"/>
          <w:sz w:val="17"/>
          <w:szCs w:val="17"/>
          <w:color w:val="auto"/>
        </w:rPr>
      </w:pPr>
    </w:p>
    <w:p>
      <w:pPr>
        <w:ind w:left="520" w:right="1979" w:firstLine="510"/>
        <w:spacing w:after="0" w:line="246" w:lineRule="auto"/>
        <w:tabs>
          <w:tab w:leader="none" w:pos="155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202" w:lineRule="exact"/>
        <w:rPr>
          <w:rFonts w:ascii="Courier New" w:cs="Courier New" w:eastAsia="Courier New" w:hAnsi="Courier New"/>
          <w:sz w:val="17"/>
          <w:szCs w:val="17"/>
          <w:color w:val="auto"/>
        </w:rPr>
      </w:pPr>
    </w:p>
    <w:p>
      <w:pPr>
        <w:ind w:left="520" w:right="2079" w:firstLine="510"/>
        <w:spacing w:after="0" w:line="246" w:lineRule="auto"/>
        <w:tabs>
          <w:tab w:leader="none" w:pos="155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202" w:lineRule="exact"/>
        <w:rPr>
          <w:rFonts w:ascii="Courier New" w:cs="Courier New" w:eastAsia="Courier New" w:hAnsi="Courier New"/>
          <w:sz w:val="17"/>
          <w:szCs w:val="17"/>
          <w:color w:val="auto"/>
        </w:rPr>
      </w:pPr>
    </w:p>
    <w:p>
      <w:pPr>
        <w:ind w:left="3500" w:hanging="205"/>
        <w:spacing w:after="0"/>
        <w:tabs>
          <w:tab w:leader="none" w:pos="3500" w:val="left"/>
        </w:tabs>
        <w:numPr>
          <w:ilvl w:val="2"/>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3 -</w:t>
      </w:r>
    </w:p>
    <w:p>
      <w:pPr>
        <w:sectPr>
          <w:pgSz w:w="11900" w:h="16838" w:orient="portrait"/>
          <w:cols w:equalWidth="0" w:num="1">
            <w:col w:w="9699"/>
          </w:cols>
          <w:pgMar w:left="760" w:top="709" w:right="1440" w:bottom="1440" w:gutter="0" w:footer="0" w:header="0"/>
        </w:sectPr>
      </w:pPr>
    </w:p>
    <w:bookmarkStart w:id="121" w:name="page122"/>
    <w:bookmarkEnd w:id="121"/>
    <w:p>
      <w:pPr>
        <w:ind w:left="-160" w:right="1979" w:firstLine="510"/>
        <w:spacing w:after="0" w:line="246" w:lineRule="auto"/>
        <w:tabs>
          <w:tab w:leader="none" w:pos="87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202" w:lineRule="exact"/>
        <w:rPr>
          <w:rFonts w:ascii="Courier New" w:cs="Courier New" w:eastAsia="Courier New" w:hAnsi="Courier New"/>
          <w:sz w:val="17"/>
          <w:szCs w:val="17"/>
          <w:color w:val="auto"/>
        </w:rPr>
      </w:pPr>
    </w:p>
    <w:p>
      <w:pPr>
        <w:ind w:left="-160" w:right="1979" w:firstLine="510"/>
        <w:spacing w:after="0" w:line="246" w:lineRule="auto"/>
        <w:tabs>
          <w:tab w:leader="none" w:pos="87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206" w:lineRule="exact"/>
        <w:rPr>
          <w:rFonts w:ascii="Courier New" w:cs="Courier New" w:eastAsia="Courier New" w:hAnsi="Courier New"/>
          <w:sz w:val="17"/>
          <w:szCs w:val="17"/>
          <w:color w:val="auto"/>
        </w:rPr>
      </w:pPr>
    </w:p>
    <w:p>
      <w:pPr>
        <w:ind w:left="-160" w:right="2079" w:firstLine="510"/>
        <w:spacing w:after="0" w:line="246" w:lineRule="auto"/>
        <w:tabs>
          <w:tab w:leader="none" w:pos="87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2820" w:hanging="205"/>
        <w:spacing w:after="0"/>
        <w:tabs>
          <w:tab w:leader="none" w:pos="282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w:t>
      </w:r>
    </w:p>
    <w:p>
      <w:pPr>
        <w:sectPr>
          <w:pgSz w:w="11900" w:h="16838" w:orient="portrait"/>
          <w:cols w:equalWidth="0" w:num="1">
            <w:col w:w="9019"/>
          </w:cols>
          <w:pgMar w:left="1440" w:top="709" w:right="1440" w:bottom="1440" w:gutter="0" w:footer="0" w:header="0"/>
        </w:sectPr>
      </w:pPr>
    </w:p>
    <w:bookmarkStart w:id="122" w:name="page123"/>
    <w:bookmarkEnd w:id="122"/>
    <w:p>
      <w:pPr>
        <w:ind w:left="520" w:right="1979" w:firstLine="1030"/>
        <w:spacing w:after="0" w:line="246" w:lineRule="auto"/>
        <w:tabs>
          <w:tab w:leader="none" w:pos="227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Shares for purposes of the letter delivered at the Time of Delivery for such Designated Shares.</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- 5 -</w:t>
      </w:r>
    </w:p>
    <w:p>
      <w:pPr>
        <w:sectPr>
          <w:pgSz w:w="11900" w:h="16838" w:orient="portrait"/>
          <w:cols w:equalWidth="0" w:num="1">
            <w:col w:w="10219"/>
          </w:cols>
          <w:pgMar w:left="240" w:top="709" w:right="1440" w:bottom="1440" w:gutter="0" w:footer="0" w:header="0"/>
        </w:sectPr>
      </w:pPr>
    </w:p>
    <w:bookmarkStart w:id="123" w:name="page124"/>
    <w:bookmarkEnd w:id="123"/>
    <w:p>
      <w:pPr>
        <w:jc w:val="right"/>
        <w:ind w:right="1979"/>
        <w:spacing w:after="0"/>
        <w:rPr>
          <w:sz w:val="20"/>
          <w:szCs w:val="20"/>
          <w:color w:val="auto"/>
        </w:rPr>
      </w:pPr>
      <w:r>
        <w:rPr>
          <w:rFonts w:ascii="Courier New" w:cs="Courier New" w:eastAsia="Courier New" w:hAnsi="Courier New"/>
          <w:sz w:val="17"/>
          <w:szCs w:val="17"/>
          <w:color w:val="auto"/>
        </w:rPr>
        <w:t>ANNEX III</w:t>
      </w: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List of Partnerships/Joint Ventures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Andorra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Berman Enterprises II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Congressional Plaza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R Associates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Governor Plaza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Loehmann's Plaza Limited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Shopping Center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Terra 18 Associates</w:t>
      </w:r>
    </w:p>
    <w:p>
      <w:pPr>
        <w:spacing w:after="0" w:line="203" w:lineRule="exact"/>
        <w:rPr>
          <w:sz w:val="20"/>
          <w:szCs w:val="20"/>
          <w:color w:val="auto"/>
        </w:rPr>
      </w:pPr>
    </w:p>
    <w:p>
      <w:pPr>
        <w:ind w:left="3820" w:right="5059" w:hanging="3808"/>
        <w:spacing w:after="0" w:line="493" w:lineRule="auto"/>
        <w:rPr>
          <w:sz w:val="20"/>
          <w:szCs w:val="20"/>
          <w:color w:val="auto"/>
        </w:rPr>
      </w:pPr>
      <w:r>
        <w:rPr>
          <w:rFonts w:ascii="Courier New" w:cs="Courier New" w:eastAsia="Courier New" w:hAnsi="Courier New"/>
          <w:sz w:val="17"/>
          <w:szCs w:val="17"/>
          <w:color w:val="auto"/>
        </w:rPr>
        <w:t>Virginia Real Estate Investors Limited Partnership - 1 -</w:t>
      </w:r>
    </w:p>
    <w:p>
      <w:pPr>
        <w:sectPr>
          <w:pgSz w:w="11900" w:h="16838" w:orient="portrait"/>
          <w:cols w:equalWidth="0" w:num="1">
            <w:col w:w="10219"/>
          </w:cols>
          <w:pgMar w:left="240" w:top="709" w:right="1440" w:bottom="1440" w:gutter="0" w:footer="0" w:header="0"/>
        </w:sectPr>
      </w:pPr>
    </w:p>
    <w:bookmarkStart w:id="124" w:name="page125"/>
    <w:bookmarkEnd w:id="124"/>
    <w:p>
      <w:pPr>
        <w:jc w:val="right"/>
        <w:ind w:right="1979"/>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pacing w:after="0" w:line="201"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October 24, 1995</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4800 Hampden Lane, Suite 500</w:t>
      </w:r>
    </w:p>
    <w:p>
      <w:pPr>
        <w:spacing w:after="0" w:line="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Bethesda, Maryland</w:t>
        <w:tab/>
        <w:t>20814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You have requested our opinion as counsel to Federal Realty Investment Trust, a business trust organized under the laws of the District of Columbia with its headquarters located in Bethesda, Maryland ("Trust"), in connection with a combined registration statement on Form S-3 and Post-Effective Amendment No. 2 to registration statement no. 33-51029 (collectively, "Registration Statement"), both being filed by you with the Securities and Exchange Commission ("Commission") under the Securities Act of 1933, as amended ("Act"), relating to the offering from time to time, as set forth in the combined prospectus pursuant to Rule 429 under the Act contained in such Registration Statement ("Prospectus") and as to be set forth in one or more supplements to the Prospectus (each, a "Prospectus Supplement") of up to $480,000,000 aggregate offering price of (i) one or more series of debt securities ("Debt Securities"),</w:t>
      </w:r>
    </w:p>
    <w:p>
      <w:pPr>
        <w:spacing w:after="0" w:line="7" w:lineRule="exact"/>
        <w:rPr>
          <w:sz w:val="20"/>
          <w:szCs w:val="20"/>
          <w:color w:val="auto"/>
        </w:rPr>
      </w:pPr>
    </w:p>
    <w:p>
      <w:pPr>
        <w:ind w:right="2499" w:firstLine="6"/>
        <w:spacing w:after="0" w:line="246" w:lineRule="auto"/>
        <w:tabs>
          <w:tab w:leader="none" w:pos="515"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or more series of preferred shares ("Preferred Shares"), and (iii) common shares of beneficial interest ("Common Shares) (collectively, "Securities").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("Senior Securities") or subordinated Debt Securities ("Subordinated Securities"). The Senior Securities will be issued pursuant to an Indenture dated December 1, 1993 ("Senior Indenture") between the Trust and First Union National Bank of North Carolina ("Senior Trustee"). The Subordinated Securities will be issued pursuant to an indenture dated December 1, 1993 ("Subordinated Indenture") between the Trust and Signet Trust Company ("Subordinated Trustee").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participated in the preparation of the Registration Statement and the Prospectus included therein,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Securities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w:t>
      </w:r>
    </w:p>
    <w:p>
      <w:pPr>
        <w:sectPr>
          <w:pgSz w:w="11900" w:h="16838" w:orient="portrait"/>
          <w:cols w:equalWidth="0" w:num="1">
            <w:col w:w="10219"/>
          </w:cols>
          <w:pgMar w:left="240" w:top="538"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1"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As to any other facts material to the opinion expressed herein that were not independently established or verified, we have relied upon statements and representations of officers and employees of the Trust.</w:t>
      </w:r>
    </w:p>
    <w:p>
      <w:pPr>
        <w:spacing w:after="0" w:line="200"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Based upon the foregoing and subject to the qualifications set forth below, we are of the opinion that:</w:t>
      </w:r>
    </w:p>
    <w:p>
      <w:pPr>
        <w:spacing w:after="0" w:line="198" w:lineRule="exact"/>
        <w:rPr>
          <w:sz w:val="20"/>
          <w:szCs w:val="20"/>
          <w:color w:val="auto"/>
        </w:rPr>
      </w:pPr>
    </w:p>
    <w:p>
      <w:pPr>
        <w:ind w:right="2179" w:firstLine="520"/>
        <w:spacing w:after="0" w:line="246" w:lineRule="auto"/>
        <w:tabs>
          <w:tab w:leader="none" w:pos="10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Senior Indenture and the Subordinated Indenture have been duly authorized, duly executed and delivered by the Trust and are legally valid and binding agreements of the Trust, enforceable against the Trust in accordance with the terms of each such Indenture.</w:t>
      </w:r>
    </w:p>
    <w:p>
      <w:pPr>
        <w:spacing w:after="0" w:line="200"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Senior Debt Securities have been duly authorized by the Trust and when the Senior Debt Securities have been duly established by the Senior Indenture, duly authenticated by the Senior Trustee and duly executed and delivered on behalf of the Trust against payment therefor in accordance with the terms and provisions of the Senior Indenture and as contemplated by the Registration Statement and/or the applicable Prospectus Supplement, the Senior Debt Securities will constitute legally valid and binding obligations of the Trust, enforceable against the Trust in accordance with their terms.</w:t>
      </w:r>
    </w:p>
    <w:p>
      <w:pPr>
        <w:spacing w:after="0" w:line="202" w:lineRule="exact"/>
        <w:rPr>
          <w:rFonts w:ascii="Courier New" w:cs="Courier New" w:eastAsia="Courier New" w:hAnsi="Courier New"/>
          <w:sz w:val="17"/>
          <w:szCs w:val="17"/>
          <w:color w:val="auto"/>
        </w:rPr>
      </w:pPr>
    </w:p>
    <w:p>
      <w:pPr>
        <w:ind w:right="2179" w:firstLine="520"/>
        <w:spacing w:after="0" w:line="246" w:lineRule="auto"/>
        <w:tabs>
          <w:tab w:leader="none" w:pos="10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Subordinated Debt Securities have been duly authorized by the Trust and when the Subordinated Debt Securities have been duly established by the Subordinated Indenture, duly authenticated by the Subordinated Trustee and duly executed and delivered on behalf of the Trust against payment therefor in accordance with the terms and provisions of the Subordinated Indenture and as contemplated by the Registration Statement and/or the applicable Prospectus Supplement, the Subordinated Debt Securities will constitute legally valid and binding obligations of the Trust, enforceable against the Trust in accordance with their terms.</w:t>
      </w:r>
    </w:p>
    <w:p>
      <w:pPr>
        <w:spacing w:after="0" w:line="203" w:lineRule="exact"/>
        <w:rPr>
          <w:rFonts w:ascii="Courier New" w:cs="Courier New" w:eastAsia="Courier New" w:hAnsi="Courier New"/>
          <w:sz w:val="17"/>
          <w:szCs w:val="17"/>
          <w:color w:val="auto"/>
        </w:rPr>
      </w:pPr>
    </w:p>
    <w:p>
      <w:pPr>
        <w:ind w:right="2079" w:firstLine="520"/>
        <w:spacing w:after="0" w:line="246" w:lineRule="auto"/>
        <w:tabs>
          <w:tab w:leader="none" w:pos="10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Shares have been duly authorized by the Trust and when the Preferred Shares have been duly established in accordance with the terms of the Declaration of Trust, and, upon issuance, delivery and payment therefor in the manner contemplated by the Registration Statement and/or the applicable Prospectus Supplement, the Preferred Shares will be validly issued, fully paid</w:t>
      </w:r>
    </w:p>
    <w:p>
      <w:pPr>
        <w:sectPr>
          <w:pgSz w:w="11900" w:h="16838" w:orient="portrait"/>
          <w:cols w:equalWidth="0" w:num="1">
            <w:col w:w="10219"/>
          </w:cols>
          <w:pgMar w:left="240" w:top="709"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0" w:lineRule="exact"/>
        <w:rPr>
          <w:sz w:val="20"/>
          <w:szCs w:val="20"/>
          <w:color w:val="auto"/>
        </w:rPr>
      </w:pPr>
    </w:p>
    <w:p>
      <w:pPr>
        <w:spacing w:after="0" w:line="201"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and nonassessable and, except as hereinafter set forth, no personal liability will attach to the ownership of the Preferred Shares.</w:t>
      </w:r>
    </w:p>
    <w:p>
      <w:pPr>
        <w:spacing w:after="0" w:line="198" w:lineRule="exact"/>
        <w:rPr>
          <w:sz w:val="20"/>
          <w:szCs w:val="20"/>
          <w:color w:val="auto"/>
        </w:rPr>
      </w:pPr>
    </w:p>
    <w:p>
      <w:pPr>
        <w:ind w:right="1979" w:firstLine="520"/>
        <w:spacing w:after="0" w:line="246" w:lineRule="auto"/>
        <w:tabs>
          <w:tab w:leader="none" w:pos="1029"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has been duly organized and is validly existing under the laws of the District of Columbia as a voluntary business association of the type commonly known as a business trust and the Trust has authority to issue an unlimited number of Common Shares, each without par value. It also is our opinion that the Common Shares referred to in the Registration Statement, when issued and sold as contemplated in the Registration Statement and/or the applicable Prospectus Supplement, will be legally issued, fully paid and non-assessable and, except as hereinafter set forth, no personal liability will attach to the ownership of such Common Shares.</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provides that the holders of the Common Shares and the Preferred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holders of the Common Shares and the Preferred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To the extent that the obligations of the Trust under the Senior Indenture and Subordinated Indenture may be dependent upon such matters, we assume for purposes of this opinion that the Senior Trustee and Subordinated Trustee are duly organized, validly existing and in good standing under the applicable laws of the jurisdiction of organization of each such Trustee; that the Senior Trustee and the Subordinated Trustee each are in compliance generally with respect to acting as a trustee under the applicable Indenture, and with all applicable laws and regulations; and that the Senior Trustee and the Subordinated Trustee have the requisite organizational and legal power and authority to perform their respective obligations under such applicable Indenture.</w:t>
      </w:r>
    </w:p>
    <w:p>
      <w:pPr>
        <w:sectPr>
          <w:pgSz w:w="11900" w:h="16838" w:orient="portrait"/>
          <w:cols w:equalWidth="0" w:num="1">
            <w:col w:w="10219"/>
          </w:cols>
          <w:pgMar w:left="240" w:top="709"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200" w:lineRule="exact"/>
        <w:rPr>
          <w:sz w:val="20"/>
          <w:szCs w:val="20"/>
          <w:color w:val="auto"/>
        </w:rPr>
      </w:pPr>
    </w:p>
    <w:p>
      <w:pPr>
        <w:spacing w:after="0" w:line="201"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and we consent to the reference to our firm under the caption "Legal Opinions" in the Prospectus.</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KIRKPATRICK &amp; LOCKHART LLP</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/s/ Thomas F. Cooney,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Thomas F. Cooney, III</w:t>
      </w:r>
    </w:p>
    <w:p>
      <w:pPr>
        <w:sectPr>
          <w:pgSz w:w="11900" w:h="16838" w:orient="portrait"/>
          <w:cols w:equalWidth="0" w:num="1">
            <w:col w:w="10219"/>
          </w:cols>
          <w:pgMar w:left="240" w:top="709" w:right="1440" w:bottom="1440" w:gutter="0" w:footer="0" w:header="0"/>
        </w:sectPr>
      </w:pPr>
    </w:p>
    <w:bookmarkStart w:id="128" w:name="page129"/>
    <w:bookmarkEnd w:id="128"/>
    <w:p>
      <w:pPr>
        <w:jc w:val="right"/>
        <w:ind w:right="1979"/>
        <w:spacing w:after="0"/>
        <w:rPr>
          <w:sz w:val="20"/>
          <w:szCs w:val="20"/>
          <w:color w:val="auto"/>
        </w:rPr>
      </w:pPr>
      <w:r>
        <w:rPr>
          <w:rFonts w:ascii="Courier New" w:cs="Courier New" w:eastAsia="Courier New" w:hAnsi="Courier New"/>
          <w:sz w:val="17"/>
          <w:szCs w:val="17"/>
          <w:color w:val="auto"/>
        </w:rPr>
        <w:t>Exhibit 8</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[LETTERHEAD OF GOODWIN, PROCTER &amp; HOAR]</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October 25,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4800 Hampden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Suite 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Bethesda, MD 20814</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Re:</w:t>
        <w:tab/>
        <w:t>Federal Tax Matters</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opinion is delivered to you in our capacity as special tax counsel to Federal Realty Investment Trust (the "Trust") for your use in connection with the Trust's Form S-3 Registration Statement filed with the Securities and Exchange Commission on October 25, 1995 (the "Registration Statement"). This opinion relates to the Trust's qualification for federal income tax purposes as a real estate investment trust ("REIT") under the Internal Revenue Code of 1986, as amended (the "Code").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rendering this opinion, we have reviewed and relied upon copies of the Trust's federal income tax return on Form 1120-REIT dated June 28, 1988 for the taxable year of the Trust ended December 31, 1987; on Form 1120-REIT dated September 7, 1989 for the taxable year of the Trust ended December 31, 1988; on Form 1120-REIT dated September 14, 1990 for the taxable year of the Trust ended December 31, 1989; on Form 1120-REIT dated September 12, 1991 for the taxable year of the Trust ended December 31, 1990; on Form 1120-REIT dated September 8, 1992 for the taxable year of the Trust ended December 31, 1991; on Form 1120-REIT dated September 13, 1993 for the taxable year of the Trust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1992; on Form 1120-REIT dated September 9, 1994 for the taxable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of the Trust ended December 31, 1993; and on Form 1120-REIT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13, 1995 for the taxable year of the Trust ended December 31, 1994.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assume that each of the foregoing returns was timely filed following timely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filing of application for automatic extension in each year.</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 operation of selected real estate properties, leasehold interests, and other investments owned</w:t>
      </w:r>
    </w:p>
    <w:p>
      <w:pPr>
        <w:sectPr>
          <w:pgSz w:w="11900" w:h="16838" w:orient="portrait"/>
          <w:cols w:equalWidth="0" w:num="1">
            <w:col w:w="10219"/>
          </w:cols>
          <w:pgMar w:left="240" w:top="340" w:right="1440" w:bottom="1440" w:gutter="0" w:footer="0" w:header="0"/>
        </w:sectPr>
      </w:pPr>
    </w:p>
    <w:bookmarkStart w:id="129" w:name="page130"/>
    <w:bookmarkEnd w:id="129"/>
    <w:p>
      <w:pPr>
        <w:ind w:left="2060"/>
        <w:spacing w:after="0"/>
        <w:rPr>
          <w:sz w:val="20"/>
          <w:szCs w:val="20"/>
          <w:color w:val="auto"/>
        </w:rPr>
      </w:pPr>
      <w:r>
        <w:rPr>
          <w:rFonts w:ascii="Courier New" w:cs="Courier New" w:eastAsia="Courier New" w:hAnsi="Courier New"/>
          <w:sz w:val="17"/>
          <w:szCs w:val="17"/>
          <w:color w:val="auto"/>
        </w:rPr>
        <w:t>[LETTERHEAD OF GOODWIN, PROCTER &amp; HOAR]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by the Trust, including management agreements relating to such properties and leasehold interests and forms of leases relating to the Trust's properties and leasehold interests, and we rely upon representations made to us that such documents, forms of leases and management agreements are representative of those existing and in effect for the other properties and investments of the Trust.</w:t>
      </w:r>
    </w:p>
    <w:p>
      <w:pPr>
        <w:spacing w:after="0" w:line="201"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Representations we have received from management of the Trust and from Kirkpatrick &amp; Lockhart, corporate counsel to the Trust, have also focused upon the number and holdings of shareholders of the Trust; the past and present distribution policy of the Trust; various record keeping requirements; and other matters which we deem relevant and upon which we rely for purposes of rendering this opinion, including without limitation the Trust's quarterly REIT compliance workpapers for each quarter of the Trust commencing January 1, 1987 and ending June 30, 1995 as prepared by Grant Thornton, independent auditors for the Trust. Except as specifically noted herein, we have not made an independent investigation of any of the facts set forth in such representations or workpapers. We have also assumed, without investigation, that all documents, certificates, warranties and covenants on which we have relied in rendering the opinion set forth below and that were given and dated earlier than the date of this letter continue to remain accurate, insofar as relevant to the opinion set forth herein, from such earlier date through and including the date of this letter.</w:t>
      </w:r>
    </w:p>
    <w:p>
      <w:pPr>
        <w:spacing w:after="0" w:line="207"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Our activities described in the immediately preceding two paragraphs relate to the periods covered by the aforementioned tax returns and to the present investments and operations of the Trust. With respect to the qualification of the Trust as a REIT for taxable years prior to 1987 we have relied exclusively and without any investigation on our part on the opinions of Kirkpatrick &amp; Lockhart dated April 30, 1987 and of Content, Tatusko, Patterson &amp; Weinberger dated March 18, 1985 adopted by Green Stewart &amp; Farber, P.C. as to the qualification of the Trust as a REIT for the taxable years ended December 31, 1982 through December 31, 1986.</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Based upon the foregoing, we are of the opinion that the Trust has qualified as a REIT for the taxable years ended December 31, 1985 through December 31, 1994; that the form of organization of the Trust and its current operations, assets and contemplated income are such that the Trust is in a position under present law to so qualify for the taxable year ending December 31, 1995; and that the Trust should so qualify for the taxable year ending December 31, 1995 and thereafter provided that the Trust continues to meet the asset composition, source of income, shareholder diversification, distributions, record-keeping and other requirements of the Code necessary for the Trust to qualify as a REIT.</w:t>
      </w:r>
    </w:p>
    <w:p>
      <w:pPr>
        <w:spacing w:after="0" w:line="204"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We wish to point out that our opinion is not binding on the Internal Revenue Service and, without limiting our opinion, we note that there can be no assurance that all of the</w:t>
      </w:r>
    </w:p>
    <w:p>
      <w:pPr>
        <w:sectPr>
          <w:pgSz w:w="11900" w:h="16838" w:orient="portrait"/>
          <w:cols w:equalWidth="0" w:num="1">
            <w:col w:w="10219"/>
          </w:cols>
          <w:pgMar w:left="240" w:top="709" w:right="1440" w:bottom="1440" w:gutter="0" w:footer="0" w:header="0"/>
        </w:sectPr>
      </w:pPr>
    </w:p>
    <w:bookmarkStart w:id="130" w:name="page131"/>
    <w:bookmarkEnd w:id="130"/>
    <w:p>
      <w:pPr>
        <w:ind w:left="2060"/>
        <w:spacing w:after="0"/>
        <w:rPr>
          <w:sz w:val="20"/>
          <w:szCs w:val="20"/>
          <w:color w:val="auto"/>
        </w:rPr>
      </w:pPr>
      <w:r>
        <w:rPr>
          <w:rFonts w:ascii="Courier New" w:cs="Courier New" w:eastAsia="Courier New" w:hAnsi="Courier New"/>
          <w:sz w:val="17"/>
          <w:szCs w:val="17"/>
          <w:color w:val="auto"/>
        </w:rPr>
        <w:t>[LETTERHEAD OF GOODWIN, PROCTER &amp; HOAR]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25,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requirements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for</w:t>
            </w:r>
          </w:p>
        </w:tc>
        <w:tc>
          <w:tcPr>
            <w:tcW w:w="44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qualification as a REIT for any particular</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taxable</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year have</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in fact been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met</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until the return for such</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taxable year has</w:t>
            </w:r>
          </w:p>
        </w:tc>
        <w:tc>
          <w:tcPr>
            <w:tcW w:w="21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been reviewed by the</w:t>
            </w:r>
          </w:p>
        </w:tc>
      </w:tr>
      <w:tr>
        <w:trPr>
          <w:trHeight w:val="198"/>
        </w:trPr>
        <w:tc>
          <w:tcPr>
            <w:tcW w:w="1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Internal Revenue</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Service or the period for</w:t>
            </w:r>
          </w:p>
        </w:tc>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such review has expired.</w:t>
            </w:r>
          </w:p>
        </w:tc>
        <w:tc>
          <w:tcPr>
            <w:tcW w:w="1280" w:type="dxa"/>
            <w:vAlign w:val="bottom"/>
          </w:tcPr>
          <w:p>
            <w:pPr>
              <w:spacing w:after="0"/>
              <w:rPr>
                <w:sz w:val="17"/>
                <w:szCs w:val="17"/>
                <w:color w:val="auto"/>
              </w:rPr>
            </w:pPr>
          </w:p>
        </w:tc>
      </w:tr>
    </w:tbl>
    <w:p>
      <w:pPr>
        <w:spacing w:after="0" w:line="203" w:lineRule="exact"/>
        <w:rPr>
          <w:sz w:val="20"/>
          <w:szCs w:val="20"/>
          <w:color w:val="auto"/>
        </w:rPr>
      </w:pPr>
    </w:p>
    <w:p>
      <w:pPr>
        <w:ind w:right="1979" w:firstLine="824"/>
        <w:spacing w:after="0" w:line="246" w:lineRule="auto"/>
        <w:rPr>
          <w:sz w:val="20"/>
          <w:szCs w:val="20"/>
          <w:color w:val="auto"/>
        </w:rPr>
      </w:pPr>
      <w:r>
        <w:rPr>
          <w:rFonts w:ascii="Courier New" w:cs="Courier New" w:eastAsia="Courier New" w:hAnsi="Courier New"/>
          <w:sz w:val="17"/>
          <w:szCs w:val="17"/>
          <w:color w:val="auto"/>
        </w:rPr>
        <w:t>We concur with the accuracy of the legal statements in the Registration Statement set forth under the section entitled "Description of Common Shares" under the captions "REIT Qualification" and "Federal Income Tax Considerations."</w:t>
      </w:r>
    </w:p>
    <w:p>
      <w:pPr>
        <w:spacing w:after="0" w:line="200" w:lineRule="exact"/>
        <w:rPr>
          <w:sz w:val="20"/>
          <w:szCs w:val="20"/>
          <w:color w:val="auto"/>
        </w:rPr>
      </w:pPr>
    </w:p>
    <w:p>
      <w:pPr>
        <w:ind w:right="1979" w:firstLine="824"/>
        <w:spacing w:after="0" w:line="247" w:lineRule="auto"/>
        <w:rPr>
          <w:sz w:val="20"/>
          <w:szCs w:val="20"/>
          <w:color w:val="auto"/>
        </w:rPr>
      </w:pPr>
      <w:r>
        <w:rPr>
          <w:rFonts w:ascii="Courier New" w:cs="Courier New" w:eastAsia="Courier New" w:hAnsi="Courier New"/>
          <w:sz w:val="17"/>
          <w:szCs w:val="17"/>
          <w:color w:val="auto"/>
        </w:rPr>
        <w:t>We consent to this opinion being filed as an exhibit to the Registration Statement and to the reference to our firm in the Registration Statement.</w:t>
      </w:r>
    </w:p>
    <w:p>
      <w:pPr>
        <w:spacing w:after="0" w:line="1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Goodwin, Procter &amp; Hoar</w:t>
      </w:r>
    </w:p>
    <w:p>
      <w:pPr>
        <w:spacing w:after="0" w:line="203"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GOODWIN, PROCTER &amp; HOAR</w:t>
      </w:r>
    </w:p>
    <w:p>
      <w:pPr>
        <w:sectPr>
          <w:pgSz w:w="11900" w:h="16838" w:orient="portrait"/>
          <w:cols w:equalWidth="0" w:num="1">
            <w:col w:w="10219"/>
          </w:cols>
          <w:pgMar w:left="240" w:top="709"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Exhibit 12</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4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96"/>
        </w:trPr>
        <w:tc>
          <w:tcPr>
            <w:tcW w:w="5560" w:type="dxa"/>
            <w:vAlign w:val="bottom"/>
            <w:gridSpan w:val="2"/>
          </w:tcPr>
          <w:p>
            <w:pPr>
              <w:ind w:left="3100"/>
              <w:spacing w:after="0"/>
              <w:rPr>
                <w:sz w:val="20"/>
                <w:szCs w:val="20"/>
                <w:color w:val="auto"/>
              </w:rPr>
            </w:pPr>
            <w:r>
              <w:rPr>
                <w:rFonts w:ascii="Courier New" w:cs="Courier New" w:eastAsia="Courier New" w:hAnsi="Courier New"/>
                <w:sz w:val="17"/>
                <w:szCs w:val="17"/>
                <w:color w:val="auto"/>
              </w:rPr>
              <w:t>Statement Regarding</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6600" w:type="dxa"/>
            <w:vAlign w:val="bottom"/>
            <w:gridSpan w:val="3"/>
          </w:tcPr>
          <w:p>
            <w:pPr>
              <w:ind w:left="1440"/>
              <w:spacing w:after="0"/>
              <w:rPr>
                <w:sz w:val="20"/>
                <w:szCs w:val="20"/>
                <w:color w:val="auto"/>
              </w:rPr>
            </w:pPr>
            <w:r>
              <w:rPr>
                <w:rFonts w:ascii="Courier New" w:cs="Courier New" w:eastAsia="Courier New" w:hAnsi="Courier New"/>
                <w:sz w:val="17"/>
                <w:szCs w:val="17"/>
                <w:color w:val="auto"/>
              </w:rPr>
              <w:t>Computation of Ratios of Earnings to Fixed Charges</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94"/>
        </w:trPr>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Courier New" w:cs="Courier New" w:eastAsia="Courier New" w:hAnsi="Courier New"/>
                <w:sz w:val="17"/>
                <w:szCs w:val="17"/>
                <w:color w:val="auto"/>
              </w:rPr>
              <w:t>June 30,</w:t>
            </w:r>
          </w:p>
        </w:tc>
        <w:tc>
          <w:tcPr>
            <w:tcW w:w="880" w:type="dxa"/>
            <w:vAlign w:val="bottom"/>
          </w:tcPr>
          <w:p>
            <w:pPr>
              <w:spacing w:after="0"/>
              <w:rPr>
                <w:sz w:val="17"/>
                <w:szCs w:val="17"/>
                <w:color w:val="auto"/>
              </w:rPr>
            </w:pPr>
          </w:p>
        </w:tc>
      </w:tr>
      <w:tr>
        <w:trPr>
          <w:trHeight w:val="198"/>
        </w:trPr>
        <w:tc>
          <w:tcPr>
            <w:tcW w:w="4380" w:type="dxa"/>
            <w:vAlign w:val="bottom"/>
          </w:tcPr>
          <w:p>
            <w:pPr>
              <w:spacing w:after="0"/>
              <w:rPr>
                <w:sz w:val="17"/>
                <w:szCs w:val="17"/>
                <w:color w:val="auto"/>
              </w:rPr>
            </w:pP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1990</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1991</w:t>
            </w: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1992</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1994</w:t>
            </w: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rPr>
              <w:t>1995</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Income before gain on sale of real estate</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and extraordinary item</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$4,894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$4,324</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$6,987</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$16,114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$20,466</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$9,289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$12,361</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Add:</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Portion of rents representing interest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498</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300</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1,047</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469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590</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Interest on indebtedness, including</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38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debt costs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34,709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38,147</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35,201</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31,550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31,462</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15,815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18,716</w:t>
            </w:r>
          </w:p>
        </w:tc>
      </w:tr>
      <w:tr>
        <w:trPr>
          <w:trHeight w:val="198"/>
        </w:trPr>
        <w:tc>
          <w:tcPr>
            <w:tcW w:w="4380" w:type="dxa"/>
            <w:vAlign w:val="bottom"/>
          </w:tcPr>
          <w:p>
            <w:pPr>
              <w:spacing w:after="0"/>
              <w:rPr>
                <w:sz w:val="17"/>
                <w:szCs w:val="17"/>
                <w:color w:val="auto"/>
              </w:rPr>
            </w:pPr>
          </w:p>
        </w:tc>
        <w:tc>
          <w:tcPr>
            <w:tcW w:w="674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ind w:left="1140"/>
              <w:spacing w:after="0"/>
              <w:rPr>
                <w:sz w:val="20"/>
                <w:szCs w:val="20"/>
                <w:color w:val="auto"/>
              </w:rPr>
            </w:pPr>
            <w:r>
              <w:rPr>
                <w:rFonts w:ascii="Courier New" w:cs="Courier New" w:eastAsia="Courier New" w:hAnsi="Courier New"/>
                <w:sz w:val="17"/>
                <w:szCs w:val="17"/>
                <w:color w:val="auto"/>
              </w:rPr>
              <w:t>Income as adjusted</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$40,129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$42,969</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$42,488</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$47,989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$52,975</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$25,573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$31,667</w:t>
            </w:r>
          </w:p>
        </w:tc>
      </w:tr>
      <w:tr>
        <w:trPr>
          <w:trHeight w:val="198"/>
        </w:trPr>
        <w:tc>
          <w:tcPr>
            <w:tcW w:w="4380" w:type="dxa"/>
            <w:vAlign w:val="bottom"/>
          </w:tcPr>
          <w:p>
            <w:pPr>
              <w:spacing w:after="0"/>
              <w:rPr>
                <w:sz w:val="17"/>
                <w:szCs w:val="17"/>
                <w:color w:val="auto"/>
              </w:rPr>
            </w:pPr>
          </w:p>
        </w:tc>
        <w:tc>
          <w:tcPr>
            <w:tcW w:w="674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Portion of rents representing interest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$498</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$300</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$1,047</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$469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$590</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Interest on indebtedness, including</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38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debt costs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34,709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38,147</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35,201</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31,550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31,462</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15,815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18,716</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Capitalized interest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2,717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892</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237</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348</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390</w:t>
            </w:r>
          </w:p>
        </w:tc>
      </w:tr>
      <w:tr>
        <w:trPr>
          <w:trHeight w:val="198"/>
        </w:trPr>
        <w:tc>
          <w:tcPr>
            <w:tcW w:w="4380" w:type="dxa"/>
            <w:vAlign w:val="bottom"/>
          </w:tcPr>
          <w:p>
            <w:pPr>
              <w:spacing w:after="0"/>
              <w:rPr>
                <w:sz w:val="17"/>
                <w:szCs w:val="17"/>
                <w:color w:val="auto"/>
              </w:rPr>
            </w:pPr>
          </w:p>
        </w:tc>
        <w:tc>
          <w:tcPr>
            <w:tcW w:w="674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ind w:left="1140"/>
              <w:spacing w:after="0"/>
              <w:rPr>
                <w:sz w:val="20"/>
                <w:szCs w:val="20"/>
                <w:color w:val="auto"/>
              </w:rPr>
            </w:pPr>
            <w:r>
              <w:rPr>
                <w:rFonts w:ascii="Courier New" w:cs="Courier New" w:eastAsia="Courier New" w:hAnsi="Courier New"/>
                <w:sz w:val="17"/>
                <w:szCs w:val="17"/>
                <w:color w:val="auto"/>
              </w:rPr>
              <w:t>Fixed charges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$37,952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$39,537</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$35,738</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$32,091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$32,857</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$16,360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$19,696</w:t>
            </w:r>
          </w:p>
        </w:tc>
      </w:tr>
      <w:tr>
        <w:trPr>
          <w:trHeight w:val="198"/>
        </w:trPr>
        <w:tc>
          <w:tcPr>
            <w:tcW w:w="4380" w:type="dxa"/>
            <w:vAlign w:val="bottom"/>
          </w:tcPr>
          <w:p>
            <w:pPr>
              <w:spacing w:after="0"/>
              <w:rPr>
                <w:sz w:val="17"/>
                <w:szCs w:val="17"/>
                <w:color w:val="auto"/>
              </w:rPr>
            </w:pPr>
          </w:p>
        </w:tc>
        <w:tc>
          <w:tcPr>
            <w:tcW w:w="674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Ratios of earnings to fixed charges</w:t>
            </w: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1.06x</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1.09x</w:t>
            </w: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4"/>
              </w:rPr>
              <w:t>1.19x</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1.50x</w:t>
            </w:r>
          </w:p>
        </w:tc>
        <w:tc>
          <w:tcPr>
            <w:tcW w:w="840" w:type="dxa"/>
            <w:vAlign w:val="bottom"/>
          </w:tcPr>
          <w:p>
            <w:pPr>
              <w:ind w:left="120"/>
              <w:spacing w:after="0"/>
              <w:rPr>
                <w:sz w:val="20"/>
                <w:szCs w:val="20"/>
                <w:color w:val="auto"/>
              </w:rPr>
            </w:pPr>
            <w:r>
              <w:rPr>
                <w:rFonts w:ascii="Courier New" w:cs="Courier New" w:eastAsia="Courier New" w:hAnsi="Courier New"/>
                <w:sz w:val="17"/>
                <w:szCs w:val="17"/>
                <w:color w:val="auto"/>
              </w:rPr>
              <w:t>1.61x</w:t>
            </w: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1.56x</w:t>
            </w: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rPr>
              <w:t>1.61x</w:t>
            </w:r>
          </w:p>
        </w:tc>
      </w:tr>
    </w:tbl>
    <w:p>
      <w:pPr>
        <w:sectPr>
          <w:pgSz w:w="11900" w:h="16838" w:orient="portrait"/>
          <w:cols w:equalWidth="0" w:num="1">
            <w:col w:w="11120"/>
          </w:cols>
          <w:pgMar w:left="240" w:top="538" w:right="539" w:bottom="1440" w:gutter="0" w:footer="0" w:header="0"/>
        </w:sectPr>
      </w:pPr>
    </w:p>
    <w:bookmarkStart w:id="132" w:name="page133"/>
    <w:bookmarkEnd w:id="132"/>
    <w:p>
      <w:pPr>
        <w:ind w:left="6900"/>
        <w:spacing w:after="0"/>
        <w:rPr>
          <w:sz w:val="20"/>
          <w:szCs w:val="20"/>
          <w:color w:val="auto"/>
        </w:rPr>
      </w:pPr>
      <w:r>
        <w:rPr>
          <w:rFonts w:ascii="Courier New" w:cs="Courier New" w:eastAsia="Courier New" w:hAnsi="Courier New"/>
          <w:sz w:val="17"/>
          <w:szCs w:val="17"/>
          <w:color w:val="auto"/>
        </w:rPr>
        <w:t>EXHIBIT 25(a)</w:t>
      </w:r>
    </w:p>
    <w:p>
      <w:pPr>
        <w:spacing w:after="0" w:line="203" w:lineRule="exact"/>
        <w:rPr>
          <w:sz w:val="20"/>
          <w:szCs w:val="20"/>
          <w:color w:val="auto"/>
        </w:rPr>
      </w:pPr>
    </w:p>
    <w:p>
      <w:pPr>
        <w:jc w:val="center"/>
        <w:ind w:right="1979"/>
        <w:spacing w:after="0" w:line="247" w:lineRule="auto"/>
        <w:rPr>
          <w:sz w:val="20"/>
          <w:szCs w:val="20"/>
          <w:color w:val="auto"/>
        </w:rPr>
      </w:pPr>
      <w:r>
        <w:rPr>
          <w:rFonts w:ascii="Courier New" w:cs="Courier New" w:eastAsia="Courier New" w:hAnsi="Courier New"/>
          <w:sz w:val="17"/>
          <w:szCs w:val="17"/>
          <w:color w:val="auto"/>
        </w:rPr>
        <w:t>================================================================================ SECURITIES AND EXCHANGE COMMISSION</w:t>
      </w:r>
    </w:p>
    <w:p>
      <w:pPr>
        <w:spacing w:after="0" w:line="198"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FORM T-1</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STATEMENT OF ELIGIBILITY</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UNDER THE TRUST INDENTURE ACT OF 1939 OF A</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CORPORATION DESIGNATED TO ACT AS TRUSTEE</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Check if an Application to Determine Eligibility of</w:t>
      </w:r>
    </w:p>
    <w:p>
      <w:pPr>
        <w:spacing w:after="0" w:line="5" w:lineRule="exact"/>
        <w:rPr>
          <w:sz w:val="20"/>
          <w:szCs w:val="20"/>
          <w:color w:val="auto"/>
        </w:rPr>
      </w:pPr>
    </w:p>
    <w:p>
      <w:pPr>
        <w:jc w:val="center"/>
        <w:ind w:right="2079"/>
        <w:spacing w:after="0"/>
        <w:tabs>
          <w:tab w:leader="none" w:pos="180" w:val="left"/>
        </w:tabs>
        <w:rPr>
          <w:sz w:val="20"/>
          <w:szCs w:val="20"/>
          <w:color w:val="auto"/>
        </w:rPr>
      </w:pPr>
      <w:r>
        <w:rPr>
          <w:rFonts w:ascii="Courier New" w:cs="Courier New" w:eastAsia="Courier New" w:hAnsi="Courier New"/>
          <w:sz w:val="17"/>
          <w:szCs w:val="17"/>
          <w:color w:val="auto"/>
        </w:rPr>
        <w:t>a Trustee Pursuant to Section 305(b)(2):</w:t>
      </w:r>
      <w:r>
        <w:rPr>
          <w:sz w:val="20"/>
          <w:szCs w:val="20"/>
          <w:color w:val="auto"/>
        </w:rPr>
        <w:tab/>
      </w:r>
      <w:r>
        <w:rPr>
          <w:rFonts w:ascii="Courier New" w:cs="Courier New" w:eastAsia="Courier New" w:hAnsi="Courier New"/>
          <w:sz w:val="16"/>
          <w:szCs w:val="16"/>
          <w:color w:val="auto"/>
        </w:rPr>
        <w:t>[_]</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SIGNET TRUST COMPANY</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(Exact name of trustee as specified in its charter)</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VIRGINIA</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(Jurisdiction of incorporation or organization</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if not a U.S. national bank)</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54-0974225</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(I.R.S. employer identification no.)</w:t>
      </w:r>
    </w:p>
    <w:p>
      <w:pPr>
        <w:spacing w:after="0" w:line="203" w:lineRule="exact"/>
        <w:rPr>
          <w:sz w:val="20"/>
          <w:szCs w:val="20"/>
          <w:color w:val="auto"/>
        </w:rPr>
      </w:pPr>
    </w:p>
    <w:p>
      <w:pPr>
        <w:ind w:left="940" w:right="2999" w:firstLine="824"/>
        <w:spacing w:after="0" w:line="247" w:lineRule="auto"/>
        <w:rPr>
          <w:sz w:val="20"/>
          <w:szCs w:val="20"/>
          <w:color w:val="auto"/>
        </w:rPr>
      </w:pPr>
      <w:r>
        <w:rPr>
          <w:rFonts w:ascii="Courier New" w:cs="Courier New" w:eastAsia="Courier New" w:hAnsi="Courier New"/>
          <w:sz w:val="17"/>
          <w:szCs w:val="17"/>
          <w:color w:val="auto"/>
        </w:rPr>
        <w:t>7 NORTH 8TH STREET, RICHMOND, VIRGINIA 23219 (Address of trustee's principal executive offices)(Zip code))</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SIGNET TRUST COMPANY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7 NORTH 8TH STREET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RICHMOND, VIRGINIA 23219</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(Exact name of obligor as specified in its charter)</w:t>
      </w:r>
    </w:p>
    <w:p>
      <w:pPr>
        <w:spacing w:after="0" w:line="200" w:lineRule="exact"/>
        <w:rPr>
          <w:sz w:val="20"/>
          <w:szCs w:val="20"/>
          <w:color w:val="auto"/>
        </w:rPr>
      </w:pPr>
    </w:p>
    <w:p>
      <w:pPr>
        <w:spacing w:after="0" w:line="201" w:lineRule="exact"/>
        <w:rPr>
          <w:sz w:val="20"/>
          <w:szCs w:val="20"/>
          <w:color w:val="auto"/>
        </w:rPr>
      </w:pPr>
    </w:p>
    <w:p>
      <w:pPr>
        <w:ind w:left="520"/>
        <w:spacing w:after="0"/>
        <w:tabs>
          <w:tab w:leader="none" w:pos="5760" w:val="left"/>
        </w:tabs>
        <w:rPr>
          <w:sz w:val="20"/>
          <w:szCs w:val="20"/>
          <w:color w:val="auto"/>
        </w:rPr>
      </w:pPr>
      <w:r>
        <w:rPr>
          <w:rFonts w:ascii="Courier New" w:cs="Courier New" w:eastAsia="Courier New" w:hAnsi="Courier New"/>
          <w:sz w:val="17"/>
          <w:szCs w:val="17"/>
          <w:color w:val="auto"/>
        </w:rPr>
        <w:t>DISTRICT OF COLUMBIA</w:t>
      </w:r>
      <w:r>
        <w:rPr>
          <w:sz w:val="20"/>
          <w:szCs w:val="20"/>
          <w:color w:val="auto"/>
        </w:rPr>
        <w:tab/>
      </w:r>
      <w:r>
        <w:rPr>
          <w:rFonts w:ascii="Courier New" w:cs="Courier New" w:eastAsia="Courier New" w:hAnsi="Courier New"/>
          <w:sz w:val="16"/>
          <w:szCs w:val="16"/>
          <w:color w:val="auto"/>
        </w:rPr>
        <w:t>52-0782497</w:t>
      </w:r>
    </w:p>
    <w:p>
      <w:pPr>
        <w:spacing w:after="0" w:line="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7"/>
          <w:szCs w:val="17"/>
          <w:color w:val="auto"/>
        </w:rPr>
        <w:t>(I.R.S. Employer Identification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4800 HAMPDEN LANE</w:t>
      </w:r>
    </w:p>
    <w:p>
      <w:pPr>
        <w:spacing w:after="0" w:line="5" w:lineRule="exact"/>
        <w:rPr>
          <w:sz w:val="20"/>
          <w:szCs w:val="20"/>
          <w:color w:val="auto"/>
        </w:rPr>
      </w:pPr>
    </w:p>
    <w:p>
      <w:pPr>
        <w:ind w:left="520"/>
        <w:spacing w:after="0"/>
        <w:tabs>
          <w:tab w:leader="none" w:pos="6060" w:val="left"/>
        </w:tabs>
        <w:rPr>
          <w:sz w:val="20"/>
          <w:szCs w:val="20"/>
          <w:color w:val="auto"/>
        </w:rPr>
      </w:pPr>
      <w:r>
        <w:rPr>
          <w:rFonts w:ascii="Courier New" w:cs="Courier New" w:eastAsia="Courier New" w:hAnsi="Courier New"/>
          <w:sz w:val="17"/>
          <w:szCs w:val="17"/>
          <w:color w:val="auto"/>
        </w:rPr>
        <w:t>BETHESDA, MARYLAND</w:t>
      </w:r>
      <w:r>
        <w:rPr>
          <w:sz w:val="20"/>
          <w:szCs w:val="20"/>
          <w:color w:val="auto"/>
        </w:rPr>
        <w:tab/>
      </w:r>
      <w:r>
        <w:rPr>
          <w:rFonts w:ascii="Courier New" w:cs="Courier New" w:eastAsia="Courier New" w:hAnsi="Courier New"/>
          <w:sz w:val="17"/>
          <w:szCs w:val="17"/>
          <w:color w:val="auto"/>
        </w:rPr>
        <w:t>20814</w:t>
      </w:r>
    </w:p>
    <w:p>
      <w:pPr>
        <w:spacing w:after="0" w:line="5"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SENIOR DEBT SECURITIES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(Title of the indenture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38" w:right="1440" w:bottom="1440" w:gutter="0" w:footer="0" w:header="0"/>
        </w:sectPr>
      </w:pPr>
    </w:p>
    <w:bookmarkStart w:id="133" w:name="page134"/>
    <w:bookmarkEnd w:id="133"/>
    <w:p>
      <w:pPr>
        <w:spacing w:after="0"/>
        <w:tabs>
          <w:tab w:leader="none" w:pos="920" w:val="left"/>
        </w:tabs>
        <w:rPr>
          <w:sz w:val="20"/>
          <w:szCs w:val="20"/>
          <w:color w:val="auto"/>
        </w:rPr>
      </w:pPr>
      <w:r>
        <w:rPr>
          <w:rFonts w:ascii="Courier New" w:cs="Courier New" w:eastAsia="Courier New" w:hAnsi="Courier New"/>
          <w:sz w:val="17"/>
          <w:szCs w:val="17"/>
          <w:color w:val="auto"/>
        </w:rPr>
        <w:t>ITEM 1.</w:t>
        <w:tab/>
        <w:t>GENERAL INFORMATION.</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Furnish the following information as to the trustee:</w:t>
      </w:r>
    </w:p>
    <w:p>
      <w:pPr>
        <w:spacing w:after="0" w:line="203" w:lineRule="exact"/>
        <w:rPr>
          <w:sz w:val="20"/>
          <w:szCs w:val="20"/>
          <w:color w:val="auto"/>
        </w:rPr>
      </w:pPr>
    </w:p>
    <w:p>
      <w:pPr>
        <w:ind w:left="1040" w:right="2179" w:hanging="520"/>
        <w:spacing w:after="0" w:line="247" w:lineRule="auto"/>
        <w:tabs>
          <w:tab w:leader="none" w:pos="104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address of each examining or supervising authority to which it is subject.</w:t>
      </w:r>
    </w:p>
    <w:p>
      <w:pPr>
        <w:spacing w:after="0" w:line="198" w:lineRule="exact"/>
        <w:rPr>
          <w:sz w:val="20"/>
          <w:szCs w:val="20"/>
          <w:color w:val="auto"/>
        </w:rPr>
      </w:pPr>
    </w:p>
    <w:p>
      <w:pPr>
        <w:ind w:left="1540" w:right="1979"/>
        <w:spacing w:after="0" w:line="246" w:lineRule="auto"/>
        <w:rPr>
          <w:sz w:val="20"/>
          <w:szCs w:val="20"/>
          <w:color w:val="auto"/>
        </w:rPr>
      </w:pPr>
      <w:r>
        <w:rPr>
          <w:rFonts w:ascii="Courier New" w:cs="Courier New" w:eastAsia="Courier New" w:hAnsi="Courier New"/>
          <w:sz w:val="17"/>
          <w:szCs w:val="17"/>
          <w:color w:val="auto"/>
        </w:rPr>
        <w:t>Commissioner of Financial Institutions, State Corporation Commission of Virginia, 1300 East Main Street, Richmond, Virginia 23219.</w:t>
      </w:r>
    </w:p>
    <w:p>
      <w:pPr>
        <w:spacing w:after="0" w:line="200" w:lineRule="exact"/>
        <w:rPr>
          <w:sz w:val="20"/>
          <w:szCs w:val="20"/>
          <w:color w:val="auto"/>
        </w:rPr>
      </w:pPr>
    </w:p>
    <w:p>
      <w:pPr>
        <w:ind w:left="1540" w:right="2399"/>
        <w:spacing w:after="0" w:line="247" w:lineRule="auto"/>
        <w:rPr>
          <w:sz w:val="20"/>
          <w:szCs w:val="20"/>
          <w:color w:val="auto"/>
        </w:rPr>
      </w:pPr>
      <w:r>
        <w:rPr>
          <w:rFonts w:ascii="Courier New" w:cs="Courier New" w:eastAsia="Courier New" w:hAnsi="Courier New"/>
          <w:sz w:val="17"/>
          <w:szCs w:val="17"/>
          <w:color w:val="auto"/>
        </w:rPr>
        <w:t>Board of Governors of the Federal Reserve System, Twentieth Street and Constitution Avenue, N.W., Washington, D.C. 20551.</w:t>
      </w:r>
    </w:p>
    <w:p>
      <w:pPr>
        <w:spacing w:after="0" w:line="198" w:lineRule="exact"/>
        <w:rPr>
          <w:sz w:val="20"/>
          <w:szCs w:val="20"/>
          <w:color w:val="auto"/>
        </w:rPr>
      </w:pPr>
    </w:p>
    <w:p>
      <w:pPr>
        <w:ind w:left="1540" w:right="2999" w:hanging="1020"/>
        <w:spacing w:after="0" w:line="493" w:lineRule="auto"/>
        <w:tabs>
          <w:tab w:leader="none" w:pos="1025"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it is authorized to exercise corporate trust powers. Yes.</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AFFILIATIONS WITH OBLIGOR.</w:t>
      </w:r>
    </w:p>
    <w:p>
      <w:pPr>
        <w:spacing w:after="0" w:line="203" w:lineRule="exact"/>
        <w:rPr>
          <w:sz w:val="20"/>
          <w:szCs w:val="20"/>
          <w:color w:val="auto"/>
        </w:rPr>
      </w:pPr>
    </w:p>
    <w:p>
      <w:pPr>
        <w:ind w:right="2999" w:firstLine="515"/>
        <w:spacing w:after="0" w:line="247" w:lineRule="auto"/>
        <w:rPr>
          <w:sz w:val="20"/>
          <w:szCs w:val="20"/>
          <w:color w:val="auto"/>
        </w:rPr>
      </w:pPr>
      <w:r>
        <w:rPr>
          <w:rFonts w:ascii="Courier New" w:cs="Courier New" w:eastAsia="Courier New" w:hAnsi="Courier New"/>
          <w:sz w:val="17"/>
          <w:szCs w:val="17"/>
          <w:color w:val="auto"/>
        </w:rPr>
        <w:t>If the obligor is an affiliate of the trustee, describe each such affiliation.</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ITEMS 3, 4, 5, 6, 7, 8, 9, 10, 11, 12, 13, 14, AND 15 HAVE BEEN OMITTED PURSUANT TO GENERAL INSTRUCTION B.</w:t>
      </w:r>
    </w:p>
    <w:p>
      <w:pPr>
        <w:spacing w:after="0" w:line="19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16.</w:t>
        <w:tab/>
        <w:t>LIST OF EXHIBITS.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List below all exhibits filed as part of this statement of eligibility.</w:t>
      </w:r>
    </w:p>
    <w:p>
      <w:pPr>
        <w:spacing w:after="0" w:line="203" w:lineRule="exact"/>
        <w:rPr>
          <w:sz w:val="20"/>
          <w:szCs w:val="20"/>
          <w:color w:val="auto"/>
        </w:rPr>
      </w:pPr>
    </w:p>
    <w:p>
      <w:pPr>
        <w:ind w:left="1040" w:right="2799" w:hanging="520"/>
        <w:spacing w:after="0" w:line="247" w:lineRule="auto"/>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articles of association of the trustee as now in effect.*</w:t>
      </w:r>
    </w:p>
    <w:p>
      <w:pPr>
        <w:spacing w:after="0" w:line="197" w:lineRule="exact"/>
        <w:rPr>
          <w:rFonts w:ascii="Courier New" w:cs="Courier New" w:eastAsia="Courier New" w:hAnsi="Courier New"/>
          <w:sz w:val="17"/>
          <w:szCs w:val="17"/>
          <w:color w:val="auto"/>
        </w:rPr>
      </w:pPr>
    </w:p>
    <w:p>
      <w:pPr>
        <w:ind w:left="1040" w:right="2499" w:hanging="520"/>
        <w:spacing w:after="0" w:line="247" w:lineRule="auto"/>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certificate of authority of the trustee to commence business.*</w:t>
      </w:r>
    </w:p>
    <w:p>
      <w:pPr>
        <w:spacing w:after="0" w:line="197" w:lineRule="exact"/>
        <w:rPr>
          <w:rFonts w:ascii="Courier New" w:cs="Courier New" w:eastAsia="Courier New" w:hAnsi="Courier New"/>
          <w:sz w:val="17"/>
          <w:szCs w:val="17"/>
          <w:color w:val="auto"/>
        </w:rPr>
      </w:pPr>
    </w:p>
    <w:p>
      <w:pPr>
        <w:ind w:left="1040" w:right="1979" w:hanging="520"/>
        <w:spacing w:after="0" w:line="247" w:lineRule="auto"/>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authorization of the trustee to exercise corporate trust powers.*</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existing bylaws of the trustee.*</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03" w:lineRule="exact"/>
        <w:rPr>
          <w:rFonts w:ascii="Courier New" w:cs="Courier New" w:eastAsia="Courier New" w:hAnsi="Courier New"/>
          <w:sz w:val="17"/>
          <w:szCs w:val="17"/>
          <w:color w:val="auto"/>
        </w:rPr>
      </w:pPr>
    </w:p>
    <w:p>
      <w:pPr>
        <w:ind w:left="1040" w:right="2799" w:hanging="520"/>
        <w:spacing w:after="0" w:line="247" w:lineRule="auto"/>
        <w:tabs>
          <w:tab w:leader="none" w:pos="10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the trustee required by Section 321(b) of the Trust Indenture Act of 1939.</w:t>
      </w:r>
    </w:p>
    <w:p>
      <w:pPr>
        <w:sectPr>
          <w:pgSz w:w="11900" w:h="16838" w:orient="portrait"/>
          <w:cols w:equalWidth="0" w:num="1">
            <w:col w:w="10219"/>
          </w:cols>
          <w:pgMar w:left="240" w:top="709" w:right="1440" w:bottom="1440" w:gutter="0" w:footer="0" w:header="0"/>
        </w:sectPr>
      </w:pPr>
    </w:p>
    <w:bookmarkStart w:id="134" w:name="page135"/>
    <w:bookmarkEnd w:id="134"/>
    <w:p>
      <w:pPr>
        <w:ind w:left="505" w:right="1979" w:hanging="505"/>
        <w:spacing w:after="0" w:line="246" w:lineRule="auto"/>
        <w:tabs>
          <w:tab w:leader="none" w:pos="505"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latest report of condition of the trustee published pursuant to law or the requirements of its supervising or examining authority.</w:t>
      </w:r>
    </w:p>
    <w:p>
      <w:pPr>
        <w:spacing w:after="0" w:line="199" w:lineRule="exact"/>
        <w:rPr>
          <w:rFonts w:ascii="Courier New" w:cs="Courier New" w:eastAsia="Courier New" w:hAnsi="Courier New"/>
          <w:sz w:val="17"/>
          <w:szCs w:val="17"/>
          <w:color w:val="auto"/>
        </w:rPr>
      </w:pPr>
    </w:p>
    <w:p>
      <w:pPr>
        <w:ind w:left="5" w:right="2399" w:hanging="515"/>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the Form T-1 filed in connection with Registration Statement No. 33-76322.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85"/>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184"/>
          </w:cols>
          <w:pgMar w:left="1275" w:top="709" w:right="1440" w:bottom="1440" w:gutter="0" w:footer="0" w:header="0"/>
        </w:sectPr>
      </w:pPr>
    </w:p>
    <w:bookmarkStart w:id="135" w:name="page136"/>
    <w:bookmarkEnd w:id="135"/>
    <w:p>
      <w:pPr>
        <w:jc w:val="center"/>
        <w:ind w:right="207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Trust Indenture Act of 1939, the trustee, Signet Trust Company, a banking association incorporated and existing under the laws of the Commonwealth of Virginia, has duly caused this statement of eligibility and qualification to be signed on its behalf by the undersigned, thereunto duly authorized all in the City of Baltimore, and State of Maryland on the 24 day of October, 1995.</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SIGNET TRUST COMPANY</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By: /s/ Diane TenHoopen</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940"/>
        <w:spacing w:after="0"/>
        <w:tabs>
          <w:tab w:leader="none" w:pos="5640" w:val="left"/>
        </w:tabs>
        <w:rPr>
          <w:sz w:val="20"/>
          <w:szCs w:val="20"/>
          <w:color w:val="auto"/>
        </w:rPr>
      </w:pPr>
      <w:r>
        <w:rPr>
          <w:rFonts w:ascii="Courier New" w:cs="Courier New" w:eastAsia="Courier New" w:hAnsi="Courier New"/>
          <w:sz w:val="17"/>
          <w:szCs w:val="17"/>
          <w:color w:val="auto"/>
        </w:rPr>
        <w:t>Name:</w:t>
        <w:tab/>
        <w:t>Diane TenHoppen</w:t>
      </w:r>
    </w:p>
    <w:p>
      <w:pPr>
        <w:spacing w:after="0" w:line="5" w:lineRule="exact"/>
        <w:rPr>
          <w:sz w:val="20"/>
          <w:szCs w:val="20"/>
          <w:color w:val="auto"/>
        </w:rPr>
      </w:pPr>
    </w:p>
    <w:p>
      <w:pPr>
        <w:ind w:left="4940"/>
        <w:spacing w:after="0"/>
        <w:tabs>
          <w:tab w:leader="none" w:pos="5760" w:val="left"/>
        </w:tabs>
        <w:rPr>
          <w:sz w:val="20"/>
          <w:szCs w:val="20"/>
          <w:color w:val="auto"/>
        </w:rPr>
      </w:pPr>
      <w:r>
        <w:rPr>
          <w:rFonts w:ascii="Courier New" w:cs="Courier New" w:eastAsia="Courier New" w:hAnsi="Courier New"/>
          <w:sz w:val="17"/>
          <w:szCs w:val="17"/>
          <w:color w:val="auto"/>
        </w:rPr>
        <w:t>Title:</w:t>
        <w:tab/>
        <w:t>Vice-President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136" w:name="page137"/>
    <w:bookmarkEnd w:id="136"/>
    <w:p>
      <w:pPr>
        <w:ind w:left="3600"/>
        <w:spacing w:after="0"/>
        <w:rPr>
          <w:sz w:val="20"/>
          <w:szCs w:val="20"/>
          <w:color w:val="auto"/>
        </w:rPr>
      </w:pPr>
      <w:r>
        <w:rPr>
          <w:rFonts w:ascii="Courier New" w:cs="Courier New" w:eastAsia="Courier New" w:hAnsi="Courier New"/>
          <w:sz w:val="17"/>
          <w:szCs w:val="17"/>
          <w:color w:val="auto"/>
        </w:rPr>
        <w:t>EXHIBIT 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CONSENT OF TRUSTEE</w:t>
      </w:r>
    </w:p>
    <w:p>
      <w:pPr>
        <w:spacing w:after="0" w:line="200" w:lineRule="exact"/>
        <w:rPr>
          <w:sz w:val="20"/>
          <w:szCs w:val="20"/>
          <w:color w:val="auto"/>
        </w:rPr>
      </w:pP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Pursuant to the requirements of Section 321(b) of the Trust Indenture Act of 1939 in connection with the Senior Debt Securities of Federal Realty Investment Trust, we hereby consent that reports of examinations of federal, state, territorial or district authorities may be furnished by such authorities to the Securities and Exchange Commission upon request therefor.</w:t>
      </w:r>
    </w:p>
    <w:p>
      <w:pPr>
        <w:spacing w:after="0" w:line="20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SIGNET TRUST COMPANY</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By: /s/ Diane TenHoopen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7"/>
          <w:szCs w:val="17"/>
          <w:color w:val="auto"/>
        </w:rPr>
        <w:t>Name:</w:t>
        <w:tab/>
        <w:t>Diane TenHoopen</w:t>
      </w:r>
    </w:p>
    <w:p>
      <w:pPr>
        <w:spacing w:after="0" w:line="5" w:lineRule="exact"/>
        <w:rPr>
          <w:sz w:val="20"/>
          <w:szCs w:val="20"/>
          <w:color w:val="auto"/>
        </w:rPr>
      </w:pPr>
    </w:p>
    <w:p>
      <w:pPr>
        <w:ind w:left="4440"/>
        <w:spacing w:after="0"/>
        <w:tabs>
          <w:tab w:leader="none" w:pos="5240" w:val="left"/>
        </w:tabs>
        <w:rPr>
          <w:sz w:val="20"/>
          <w:szCs w:val="20"/>
          <w:color w:val="auto"/>
        </w:rPr>
      </w:pPr>
      <w:r>
        <w:rPr>
          <w:rFonts w:ascii="Courier New" w:cs="Courier New" w:eastAsia="Courier New" w:hAnsi="Courier New"/>
          <w:sz w:val="17"/>
          <w:szCs w:val="17"/>
          <w:color w:val="auto"/>
        </w:rPr>
        <w:t>Title:</w:t>
        <w:tab/>
        <w:t>Vice President</w:t>
      </w:r>
    </w:p>
    <w:p>
      <w:pPr>
        <w:spacing w:after="0" w:line="20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October 24, 1995</w:t>
      </w:r>
    </w:p>
    <w:p>
      <w:pPr>
        <w:sectPr>
          <w:pgSz w:w="11900" w:h="16838" w:orient="portrait"/>
          <w:cols w:equalWidth="0" w:num="1">
            <w:col w:w="10219"/>
          </w:cols>
          <w:pgMar w:left="240" w:top="709" w:right="1440" w:bottom="1440" w:gutter="0" w:footer="0" w:header="0"/>
        </w:sectPr>
      </w:pPr>
    </w:p>
    <w:bookmarkStart w:id="137" w:name="page138"/>
    <w:bookmarkEnd w:id="137"/>
    <w:p>
      <w:pPr>
        <w:ind w:left="6900"/>
        <w:spacing w:after="0"/>
        <w:rPr>
          <w:sz w:val="20"/>
          <w:szCs w:val="20"/>
          <w:color w:val="auto"/>
        </w:rPr>
      </w:pPr>
      <w:r>
        <w:rPr>
          <w:rFonts w:ascii="Courier New" w:cs="Courier New" w:eastAsia="Courier New" w:hAnsi="Courier New"/>
          <w:sz w:val="17"/>
          <w:szCs w:val="17"/>
          <w:color w:val="auto"/>
        </w:rPr>
        <w:t>Exhibit 25(b)</w:t>
      </w:r>
    </w:p>
    <w:p>
      <w:pPr>
        <w:spacing w:after="0" w:line="203" w:lineRule="exact"/>
        <w:rPr>
          <w:sz w:val="20"/>
          <w:szCs w:val="20"/>
          <w:color w:val="auto"/>
        </w:rPr>
      </w:pPr>
    </w:p>
    <w:p>
      <w:pPr>
        <w:ind w:left="220" w:hanging="214"/>
        <w:spacing w:after="0"/>
        <w:tabs>
          <w:tab w:leader="none" w:pos="22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FORM T-1</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440" w:right="3619" w:firstLine="412"/>
        <w:spacing w:after="0" w:line="246" w:lineRule="auto"/>
        <w:rPr>
          <w:sz w:val="20"/>
          <w:szCs w:val="20"/>
          <w:color w:val="auto"/>
        </w:rPr>
      </w:pPr>
      <w:r>
        <w:rPr>
          <w:rFonts w:ascii="Courier New" w:cs="Courier New" w:eastAsia="Courier New" w:hAnsi="Courier New"/>
          <w:sz w:val="17"/>
          <w:szCs w:val="17"/>
          <w:color w:val="auto"/>
        </w:rPr>
        <w:t>STATEMENT OF ELIGIBILITY AND QUALIFICATION UNDER THE TRUST INDENTURE ACT FOR 1939, AS AMENDED OF A CORPORATION DESIGNATED TO ACT AS TRUSTEE</w:t>
      </w:r>
    </w:p>
    <w:p>
      <w:pPr>
        <w:spacing w:after="0" w:line="20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FIRST UNION NATIONAL BANK OF NORTH CAROLINA</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(Exact name of Trustee as specified in its charter)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230 SOUTH TRYON STREET, 8TH FLOOR</w:t>
      </w:r>
    </w:p>
    <w:p>
      <w:pPr>
        <w:sectPr>
          <w:pgSz w:w="11900" w:h="16838" w:orient="portrait"/>
          <w:cols w:equalWidth="0" w:num="1">
            <w:col w:w="10219"/>
          </w:cols>
          <w:pgMar w:left="240" w:top="538"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CHARLOTTE,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28288-1179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7"/>
          <w:szCs w:val="17"/>
          <w:color w:val="auto"/>
        </w:rPr>
        <w:t>56-0900030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5" w:lineRule="exact"/>
        <w:rPr>
          <w:sz w:val="20"/>
          <w:szCs w:val="20"/>
          <w:color w:val="auto"/>
        </w:rPr>
      </w:pPr>
    </w:p>
    <w:p>
      <w:pPr>
        <w:sectPr>
          <w:pgSz w:w="11900" w:h="16838" w:orient="portrait"/>
          <w:cols w:equalWidth="0" w:num="3">
            <w:col w:w="4020" w:space="520"/>
            <w:col w:w="1020" w:space="720"/>
            <w:col w:w="3939"/>
          </w:cols>
          <w:pgMar w:left="240" w:top="538" w:right="1440" w:bottom="1440" w:gutter="0" w:footer="0" w:header="0"/>
          <w:type w:val="continuous"/>
        </w:sectPr>
      </w:pPr>
    </w:p>
    <w:p>
      <w:pPr>
        <w:ind w:left="2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38" w:right="1440" w:bottom="1440" w:gutter="0" w:footer="0" w:header="0"/>
          <w:type w:val="continuous"/>
        </w:sectPr>
      </w:pP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(Exact name of obligor as specified in its charter)</w:t>
      </w:r>
    </w:p>
    <w:p>
      <w:pPr>
        <w:sectPr>
          <w:pgSz w:w="11900" w:h="16838" w:orient="portrait"/>
          <w:cols w:equalWidth="0" w:num="1">
            <w:col w:w="10219"/>
          </w:cols>
          <w:pgMar w:left="240" w:top="538"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District of Columbia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52-0782497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397" w:lineRule="exact"/>
        <w:rPr>
          <w:sz w:val="20"/>
          <w:szCs w:val="20"/>
          <w:color w:val="auto"/>
        </w:rPr>
      </w:pPr>
    </w:p>
    <w:p>
      <w:pPr>
        <w:sectPr>
          <w:pgSz w:w="11900" w:h="16838" w:orient="portrait"/>
          <w:cols w:equalWidth="0" w:num="2">
            <w:col w:w="3820" w:space="720"/>
            <w:col w:w="5679"/>
          </w:cols>
          <w:pgMar w:left="240" w:top="538"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4800 Hampden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Bethesda, Maryland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20814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1" w:lineRule="exact"/>
        <w:rPr>
          <w:sz w:val="20"/>
          <w:szCs w:val="20"/>
          <w:color w:val="auto"/>
        </w:rPr>
      </w:pPr>
    </w:p>
    <w:p>
      <w:pPr>
        <w:sectPr>
          <w:pgSz w:w="11900" w:h="16838" w:orient="portrait"/>
          <w:cols w:equalWidth="0" w:num="2">
            <w:col w:w="4120" w:space="420"/>
            <w:col w:w="5679"/>
          </w:cols>
          <w:pgMar w:left="240" w:top="538" w:right="1440" w:bottom="1440" w:gutter="0" w:footer="0" w:header="0"/>
          <w:type w:val="continuous"/>
        </w:sectPr>
      </w:pP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SUBORDINATED DEBT SECURITIES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(Title of the indenture securities)</w:t>
      </w:r>
    </w:p>
    <w:p>
      <w:pPr>
        <w:spacing w:after="0" w:line="203" w:lineRule="exact"/>
        <w:rPr>
          <w:sz w:val="20"/>
          <w:szCs w:val="20"/>
          <w:color w:val="auto"/>
        </w:rPr>
      </w:pPr>
    </w:p>
    <w:p>
      <w:pPr>
        <w:ind w:left="220" w:hanging="214"/>
        <w:spacing w:after="0"/>
        <w:tabs>
          <w:tab w:leader="none" w:pos="2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38" w:right="1440" w:bottom="1440" w:gutter="0" w:footer="0" w:header="0"/>
          <w:type w:val="continuous"/>
        </w:sectPr>
      </w:pPr>
    </w:p>
    <w:bookmarkStart w:id="138" w:name="page139"/>
    <w:bookmarkEnd w:id="138"/>
    <w:p>
      <w:pPr>
        <w:ind w:left="520" w:hanging="514"/>
        <w:spacing w:after="0"/>
        <w:tabs>
          <w:tab w:leader="none" w:pos="52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information.</w:t>
      </w:r>
    </w:p>
    <w:p>
      <w:pPr>
        <w:spacing w:after="0" w:line="203" w:lineRule="exact"/>
        <w:rPr>
          <w:rFonts w:ascii="Courier New" w:cs="Courier New" w:eastAsia="Courier New" w:hAnsi="Courier New"/>
          <w:sz w:val="17"/>
          <w:szCs w:val="17"/>
          <w:color w:val="auto"/>
        </w:rPr>
      </w:pPr>
    </w:p>
    <w:p>
      <w:pPr>
        <w:ind w:left="1040" w:right="2799" w:hanging="520"/>
        <w:spacing w:after="0" w:line="247" w:lineRule="auto"/>
        <w:tabs>
          <w:tab w:leader="none" w:pos="1040"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are the names and addresses of each examining or supervising authority to which the Trustee is subject:</w:t>
      </w:r>
    </w:p>
    <w:p>
      <w:pPr>
        <w:spacing w:after="0" w:line="395" w:lineRule="exact"/>
        <w:rPr>
          <w:rFonts w:ascii="Courier New" w:cs="Courier New" w:eastAsia="Courier New" w:hAnsi="Courier New"/>
          <w:sz w:val="17"/>
          <w:szCs w:val="17"/>
          <w:color w:val="auto"/>
        </w:rPr>
      </w:pPr>
    </w:p>
    <w:p>
      <w:pPr>
        <w:ind w:left="1040" w:right="4139"/>
        <w:spacing w:after="0" w:line="49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Comptroller of the Currency, Washington, D.C. Federal Reserve Bank of Richmond, Virginia.</w:t>
      </w: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Federal Deposit Insurance Corporation, Washington, D.C.</w:t>
      </w:r>
    </w:p>
    <w:p>
      <w:pPr>
        <w:spacing w:after="0" w:line="203" w:lineRule="exact"/>
        <w:rPr>
          <w:rFonts w:ascii="Courier New" w:cs="Courier New" w:eastAsia="Courier New" w:hAnsi="Courier New"/>
          <w:sz w:val="17"/>
          <w:szCs w:val="17"/>
          <w:color w:val="auto"/>
        </w:rPr>
      </w:pPr>
    </w:p>
    <w:p>
      <w:pPr>
        <w:ind w:left="1040" w:right="2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and Exchange Commission, Division of Market Regulation, Washington, D.C.</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is authorized to exercise corporate trust powers.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Affiliations with obligor.</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The obligor is not an affiliate of the Trustee.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20" w:hanging="514"/>
        <w:spacing w:after="0"/>
        <w:tabs>
          <w:tab w:leader="none" w:pos="52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Securities of the Trustee.</w:t>
      </w:r>
    </w:p>
    <w:p>
      <w:pPr>
        <w:spacing w:after="0" w:line="203" w:lineRule="exact"/>
        <w:rPr>
          <w:sz w:val="20"/>
          <w:szCs w:val="20"/>
          <w:color w:val="auto"/>
        </w:rPr>
      </w:pPr>
    </w:p>
    <w:p>
      <w:pPr>
        <w:ind w:left="1040" w:right="2499"/>
        <w:spacing w:after="0" w:line="247" w:lineRule="auto"/>
        <w:rPr>
          <w:sz w:val="20"/>
          <w:szCs w:val="20"/>
          <w:color w:val="auto"/>
        </w:rPr>
      </w:pPr>
      <w:r>
        <w:rPr>
          <w:rFonts w:ascii="Courier New" w:cs="Courier New" w:eastAsia="Courier New" w:hAnsi="Courier New"/>
          <w:sz w:val="17"/>
          <w:szCs w:val="17"/>
          <w:color w:val="auto"/>
        </w:rPr>
        <w:t>The following information is furnished as to each class of voting securities of the Trustee:</w:t>
      </w:r>
    </w:p>
    <w:p>
      <w:pPr>
        <w:spacing w:after="0" w:line="200" w:lineRule="exact"/>
        <w:rPr>
          <w:sz w:val="20"/>
          <w:szCs w:val="20"/>
          <w:color w:val="auto"/>
        </w:rPr>
      </w:pPr>
    </w:p>
    <w:p>
      <w:pPr>
        <w:spacing w:after="0" w:line="394"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As of September 30, 1995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040"/>
        <w:spacing w:after="0"/>
        <w:tabs>
          <w:tab w:leader="none" w:pos="5340" w:val="left"/>
        </w:tabs>
        <w:rPr>
          <w:sz w:val="20"/>
          <w:szCs w:val="20"/>
          <w:color w:val="auto"/>
        </w:rPr>
      </w:pPr>
      <w:r>
        <w:rPr>
          <w:rFonts w:ascii="Courier New" w:cs="Courier New" w:eastAsia="Courier New" w:hAnsi="Courier New"/>
          <w:sz w:val="17"/>
          <w:szCs w:val="17"/>
          <w:color w:val="auto"/>
        </w:rPr>
        <w:t>Column A</w:t>
      </w:r>
      <w:r>
        <w:rPr>
          <w:sz w:val="20"/>
          <w:szCs w:val="20"/>
          <w:color w:val="auto"/>
        </w:rPr>
        <w:tab/>
      </w:r>
      <w:r>
        <w:rPr>
          <w:rFonts w:ascii="Courier New" w:cs="Courier New" w:eastAsia="Courier New" w:hAnsi="Courier New"/>
          <w:sz w:val="17"/>
          <w:szCs w:val="17"/>
          <w:color w:val="auto"/>
        </w:rPr>
        <w:t>Column 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040"/>
        <w:spacing w:after="0"/>
        <w:tabs>
          <w:tab w:leader="none" w:pos="5340" w:val="left"/>
        </w:tabs>
        <w:rPr>
          <w:sz w:val="20"/>
          <w:szCs w:val="20"/>
          <w:color w:val="auto"/>
        </w:rPr>
      </w:pPr>
      <w:r>
        <w:rPr>
          <w:rFonts w:ascii="Courier New" w:cs="Courier New" w:eastAsia="Courier New" w:hAnsi="Courier New"/>
          <w:sz w:val="17"/>
          <w:szCs w:val="17"/>
          <w:color w:val="auto"/>
        </w:rPr>
        <w:t>Title of Class</w:t>
      </w:r>
      <w:r>
        <w:rPr>
          <w:sz w:val="20"/>
          <w:szCs w:val="20"/>
          <w:color w:val="auto"/>
        </w:rPr>
        <w:tab/>
      </w:r>
      <w:r>
        <w:rPr>
          <w:rFonts w:ascii="Courier New" w:cs="Courier New" w:eastAsia="Courier New" w:hAnsi="Courier New"/>
          <w:sz w:val="17"/>
          <w:szCs w:val="17"/>
          <w:color w:val="auto"/>
        </w:rPr>
        <w:t>Amount Outstanding</w:t>
      </w:r>
    </w:p>
    <w:p>
      <w:pPr>
        <w:spacing w:after="0" w:line="203" w:lineRule="exact"/>
        <w:rPr>
          <w:sz w:val="20"/>
          <w:szCs w:val="20"/>
          <w:color w:val="auto"/>
        </w:rPr>
      </w:pPr>
    </w:p>
    <w:p>
      <w:pPr>
        <w:ind w:left="220" w:hanging="214"/>
        <w:spacing w:after="0"/>
        <w:tabs>
          <w:tab w:leader="none" w:pos="22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par value $3.33-1/3 a share 167,795,141 shares</w:t>
      </w:r>
    </w:p>
    <w:p>
      <w:pPr>
        <w:spacing w:after="0" w:line="200" w:lineRule="exact"/>
        <w:rPr>
          <w:sz w:val="20"/>
          <w:szCs w:val="20"/>
          <w:color w:val="auto"/>
        </w:rPr>
      </w:pPr>
    </w:p>
    <w:p>
      <w:pPr>
        <w:spacing w:after="0" w:line="201" w:lineRule="exact"/>
        <w:rPr>
          <w:sz w:val="20"/>
          <w:szCs w:val="20"/>
          <w:color w:val="auto"/>
        </w:rPr>
      </w:pPr>
    </w:p>
    <w:p>
      <w:pPr>
        <w:ind w:left="520" w:hanging="514"/>
        <w:spacing w:after="0"/>
        <w:tabs>
          <w:tab w:leader="none" w:pos="52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Trusteeships under other indentures.</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The Trustee is not a trustee under another indenture under which any other securities, or certificates of interest or participation in any other securities, of the obligor are outstanding.</w:t>
      </w:r>
    </w:p>
    <w:p>
      <w:pPr>
        <w:spacing w:after="0" w:line="200" w:lineRule="exact"/>
        <w:rPr>
          <w:sz w:val="20"/>
          <w:szCs w:val="20"/>
          <w:color w:val="auto"/>
        </w:rPr>
      </w:pPr>
    </w:p>
    <w:p>
      <w:pPr>
        <w:ind w:left="520" w:right="2399" w:hanging="514"/>
        <w:spacing w:after="0" w:line="247" w:lineRule="auto"/>
        <w:tabs>
          <w:tab w:leader="none" w:pos="52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Interlocking directorates and similar relationships with the obligor or underwriters.</w:t>
      </w:r>
    </w:p>
    <w:p>
      <w:pPr>
        <w:spacing w:after="0" w:line="198" w:lineRule="exact"/>
        <w:rPr>
          <w:sz w:val="20"/>
          <w:szCs w:val="20"/>
          <w:color w:val="auto"/>
        </w:rPr>
      </w:pPr>
    </w:p>
    <w:p>
      <w:pPr>
        <w:ind w:left="520" w:right="2079" w:firstLine="515"/>
        <w:spacing w:after="0" w:line="246" w:lineRule="auto"/>
        <w:rPr>
          <w:sz w:val="20"/>
          <w:szCs w:val="20"/>
          <w:color w:val="auto"/>
        </w:rPr>
      </w:pPr>
      <w:r>
        <w:rPr>
          <w:rFonts w:ascii="Courier New" w:cs="Courier New" w:eastAsia="Courier New" w:hAnsi="Courier New"/>
          <w:sz w:val="17"/>
          <w:szCs w:val="17"/>
          <w:color w:val="auto"/>
        </w:rPr>
        <w:t>Neither the Trustee nor any of the directors or executive officers of the Trustee is a director, officer, partner, employee, appointee or representative of the obligor or of any underwriter for the obligor.</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20" w:hanging="514"/>
        <w:spacing w:after="0"/>
        <w:tabs>
          <w:tab w:leader="none" w:pos="52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securities of the Trustee owned by the obligor or its officials.</w:t>
      </w:r>
    </w:p>
    <w:p>
      <w:pPr>
        <w:spacing w:after="0" w:line="203" w:lineRule="exact"/>
        <w:rPr>
          <w:sz w:val="20"/>
          <w:szCs w:val="20"/>
          <w:color w:val="auto"/>
        </w:rPr>
      </w:pPr>
    </w:p>
    <w:p>
      <w:pPr>
        <w:ind w:left="520" w:right="2279" w:firstLine="515"/>
        <w:spacing w:after="0" w:line="246" w:lineRule="auto"/>
        <w:rPr>
          <w:sz w:val="20"/>
          <w:szCs w:val="20"/>
          <w:color w:val="auto"/>
        </w:rPr>
      </w:pPr>
      <w:r>
        <w:rPr>
          <w:rFonts w:ascii="Courier New" w:cs="Courier New" w:eastAsia="Courier New" w:hAnsi="Courier New"/>
          <w:sz w:val="17"/>
          <w:szCs w:val="17"/>
          <w:color w:val="auto"/>
        </w:rPr>
        <w:t>Voting securities of the Trustee owned by the obligor and its directors, partners, executive officers, taken as a group, do not exceed one percent of the outstanding voting securities of the Trustee.</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(See Notes 1 and 2 on Page 5)</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139" w:name="page140"/>
    <w:bookmarkEnd w:id="139"/>
    <w:p>
      <w:pPr>
        <w:ind w:left="514" w:hanging="514"/>
        <w:spacing w:after="0"/>
        <w:tabs>
          <w:tab w:leader="none" w:pos="514"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securities of the Trustee owned by underwriters or their officials.</w:t>
      </w:r>
    </w:p>
    <w:p>
      <w:pPr>
        <w:spacing w:after="0" w:line="203" w:lineRule="exact"/>
        <w:rPr>
          <w:sz w:val="20"/>
          <w:szCs w:val="20"/>
          <w:color w:val="auto"/>
        </w:rPr>
      </w:pPr>
    </w:p>
    <w:p>
      <w:pPr>
        <w:ind w:left="514" w:right="2399" w:firstLine="515"/>
        <w:spacing w:after="0" w:line="246" w:lineRule="auto"/>
        <w:rPr>
          <w:sz w:val="20"/>
          <w:szCs w:val="20"/>
          <w:color w:val="auto"/>
        </w:rPr>
      </w:pPr>
      <w:r>
        <w:rPr>
          <w:rFonts w:ascii="Courier New" w:cs="Courier New" w:eastAsia="Courier New" w:hAnsi="Courier New"/>
          <w:sz w:val="17"/>
          <w:szCs w:val="17"/>
          <w:color w:val="auto"/>
        </w:rPr>
        <w:t>Voting securities of the Trustee owned by any underwriter and its directors, partners, and executive officers, taken as a group, do not exceed one percent of the outstanding voting securities of the Trustee.</w:t>
      </w:r>
    </w:p>
    <w:p>
      <w:pPr>
        <w:spacing w:after="0" w:line="200"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14" w:hanging="514"/>
        <w:spacing w:after="0"/>
        <w:tabs>
          <w:tab w:leader="none" w:pos="514"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of the obligor owned or held by the Trustee.</w:t>
      </w:r>
    </w:p>
    <w:p>
      <w:pPr>
        <w:spacing w:after="0" w:line="203" w:lineRule="exact"/>
        <w:rPr>
          <w:sz w:val="20"/>
          <w:szCs w:val="20"/>
          <w:color w:val="auto"/>
        </w:rPr>
      </w:pPr>
    </w:p>
    <w:p>
      <w:pPr>
        <w:ind w:left="514" w:right="1979" w:firstLine="515"/>
        <w:spacing w:after="0" w:line="246" w:lineRule="auto"/>
        <w:rPr>
          <w:sz w:val="20"/>
          <w:szCs w:val="20"/>
          <w:color w:val="auto"/>
        </w:rPr>
      </w:pPr>
      <w:r>
        <w:rPr>
          <w:rFonts w:ascii="Courier New" w:cs="Courier New" w:eastAsia="Courier New" w:hAnsi="Courier New"/>
          <w:sz w:val="17"/>
          <w:szCs w:val="17"/>
          <w:color w:val="auto"/>
        </w:rPr>
        <w:t>The amount of securities of the obligor which the Trustee owns beneficially or holds as collateral security for obligation in default does not exceed one percent of the outstanding securities of the obligor.</w:t>
      </w:r>
    </w:p>
    <w:p>
      <w:pPr>
        <w:spacing w:after="0" w:line="200"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14" w:hanging="514"/>
        <w:spacing w:after="0"/>
        <w:tabs>
          <w:tab w:leader="none" w:pos="51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of underwriters owned or held by the Trustee.</w:t>
      </w:r>
    </w:p>
    <w:p>
      <w:pPr>
        <w:spacing w:after="0" w:line="203" w:lineRule="exact"/>
        <w:rPr>
          <w:sz w:val="20"/>
          <w:szCs w:val="20"/>
          <w:color w:val="auto"/>
        </w:rPr>
      </w:pPr>
    </w:p>
    <w:p>
      <w:pPr>
        <w:ind w:left="514" w:right="2179" w:firstLine="515"/>
        <w:spacing w:after="0" w:line="246" w:lineRule="auto"/>
        <w:rPr>
          <w:sz w:val="20"/>
          <w:szCs w:val="20"/>
          <w:color w:val="auto"/>
        </w:rPr>
      </w:pPr>
      <w:r>
        <w:rPr>
          <w:rFonts w:ascii="Courier New" w:cs="Courier New" w:eastAsia="Courier New" w:hAnsi="Courier New"/>
          <w:sz w:val="17"/>
          <w:szCs w:val="17"/>
          <w:color w:val="auto"/>
        </w:rPr>
        <w:t>The Trustee does not own beneficially or hold as collateral security for obligations in default any securities of an underwriter for the obligor.</w:t>
      </w:r>
    </w:p>
    <w:p>
      <w:pPr>
        <w:spacing w:after="0" w:line="200"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14" w:right="2699" w:hanging="514"/>
        <w:spacing w:after="0" w:line="247" w:lineRule="auto"/>
        <w:tabs>
          <w:tab w:leader="none" w:pos="514"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or holdings by the Trustee of voting securities of certain affiliates or security holders of the obligor.</w:t>
      </w:r>
    </w:p>
    <w:p>
      <w:pPr>
        <w:spacing w:after="0" w:line="198" w:lineRule="exact"/>
        <w:rPr>
          <w:sz w:val="20"/>
          <w:szCs w:val="20"/>
          <w:color w:val="auto"/>
        </w:rPr>
      </w:pPr>
    </w:p>
    <w:p>
      <w:pPr>
        <w:ind w:left="514" w:right="2179" w:firstLine="515"/>
        <w:spacing w:after="0" w:line="246" w:lineRule="auto"/>
        <w:rPr>
          <w:sz w:val="20"/>
          <w:szCs w:val="20"/>
          <w:color w:val="auto"/>
        </w:rPr>
      </w:pPr>
      <w:r>
        <w:rPr>
          <w:rFonts w:ascii="Courier New" w:cs="Courier New" w:eastAsia="Courier New" w:hAnsi="Courier New"/>
          <w:sz w:val="17"/>
          <w:szCs w:val="17"/>
          <w:color w:val="auto"/>
        </w:rPr>
        <w:t>The Trustee does not own beneficially or hold as collateral security for obligations in default voting securities of a person, who, to the knowledge of the Trustee (1) owns 10% or more of the voting securities of the obligor or (2) is an affiliate, other than a subsidiary, of the obligor.</w:t>
      </w:r>
    </w:p>
    <w:p>
      <w:pPr>
        <w:spacing w:after="0" w:line="201"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(See Note 2 on Page 5)</w:t>
      </w:r>
    </w:p>
    <w:p>
      <w:pPr>
        <w:spacing w:after="0" w:line="203" w:lineRule="exact"/>
        <w:rPr>
          <w:sz w:val="20"/>
          <w:szCs w:val="20"/>
          <w:color w:val="auto"/>
        </w:rPr>
      </w:pPr>
    </w:p>
    <w:p>
      <w:pPr>
        <w:ind w:left="514" w:right="1979" w:hanging="514"/>
        <w:spacing w:after="0" w:line="247" w:lineRule="auto"/>
        <w:tabs>
          <w:tab w:leader="none" w:pos="514"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of holders by the Trustee of any securities of a person owning 50 percent or more of the voting securities of the obligor.</w:t>
      </w:r>
    </w:p>
    <w:p>
      <w:pPr>
        <w:spacing w:after="0" w:line="198" w:lineRule="exact"/>
        <w:rPr>
          <w:sz w:val="20"/>
          <w:szCs w:val="20"/>
          <w:color w:val="auto"/>
        </w:rPr>
      </w:pPr>
    </w:p>
    <w:p>
      <w:pPr>
        <w:ind w:left="514" w:right="1979" w:firstLine="515"/>
        <w:spacing w:after="0" w:line="246" w:lineRule="auto"/>
        <w:rPr>
          <w:sz w:val="20"/>
          <w:szCs w:val="20"/>
          <w:color w:val="auto"/>
        </w:rPr>
      </w:pPr>
      <w:r>
        <w:rPr>
          <w:rFonts w:ascii="Courier New" w:cs="Courier New" w:eastAsia="Courier New" w:hAnsi="Courier New"/>
          <w:sz w:val="17"/>
          <w:szCs w:val="17"/>
          <w:color w:val="auto"/>
        </w:rPr>
        <w:t>The Trustee does not own beneficially or hold as collateral security for obligations in default any securities of a person who, to the knowledge of Trustee, owns 50 percent or more of the voting securities of the obligor. (See Note 2 on Page 5)</w:t>
      </w:r>
    </w:p>
    <w:p>
      <w:pPr>
        <w:spacing w:after="0" w:line="398" w:lineRule="exact"/>
        <w:rPr>
          <w:sz w:val="20"/>
          <w:szCs w:val="20"/>
          <w:color w:val="auto"/>
        </w:rPr>
      </w:pPr>
    </w:p>
    <w:p>
      <w:pPr>
        <w:ind w:left="514" w:hanging="514"/>
        <w:spacing w:after="0"/>
        <w:tabs>
          <w:tab w:leader="none" w:pos="514"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the obligor to the Trustee.</w:t>
      </w:r>
    </w:p>
    <w:p>
      <w:pPr>
        <w:spacing w:after="0" w:line="203"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The obligor is not indebted to the Trustee.</w:t>
      </w:r>
    </w:p>
    <w:p>
      <w:pPr>
        <w:spacing w:after="0" w:line="203" w:lineRule="exact"/>
        <w:rPr>
          <w:sz w:val="20"/>
          <w:szCs w:val="20"/>
          <w:color w:val="auto"/>
        </w:rPr>
      </w:pPr>
    </w:p>
    <w:p>
      <w:pPr>
        <w:ind w:left="1034" w:right="7219" w:hanging="1034"/>
        <w:spacing w:after="0" w:line="493" w:lineRule="auto"/>
        <w:tabs>
          <w:tab w:leader="none" w:pos="52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Defaults by the obligor. Not applicable.</w:t>
      </w:r>
    </w:p>
    <w:p>
      <w:pPr>
        <w:spacing w:after="0" w:line="397"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4"/>
          </w:cols>
          <w:pgMar w:left="246" w:top="709" w:right="1440" w:bottom="1440" w:gutter="0" w:footer="0" w:header="0"/>
        </w:sectPr>
      </w:pPr>
    </w:p>
    <w:bookmarkStart w:id="140" w:name="page141"/>
    <w:bookmarkEnd w:id="140"/>
    <w:p>
      <w:pPr>
        <w:ind w:left="514" w:hanging="514"/>
        <w:spacing w:after="0"/>
        <w:tabs>
          <w:tab w:leader="none" w:pos="514"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Affiliations with the underwriters.</w:t>
      </w:r>
    </w:p>
    <w:p>
      <w:pPr>
        <w:spacing w:after="0" w:line="203"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No underwriter is an affiliate of the Trustee.</w:t>
      </w:r>
    </w:p>
    <w:p>
      <w:pPr>
        <w:spacing w:after="0" w:line="200" w:lineRule="exact"/>
        <w:rPr>
          <w:sz w:val="20"/>
          <w:szCs w:val="20"/>
          <w:color w:val="auto"/>
        </w:rPr>
      </w:pPr>
    </w:p>
    <w:p>
      <w:pPr>
        <w:spacing w:after="0" w:line="201" w:lineRule="exact"/>
        <w:rPr>
          <w:sz w:val="20"/>
          <w:szCs w:val="20"/>
          <w:color w:val="auto"/>
        </w:rPr>
      </w:pPr>
    </w:p>
    <w:p>
      <w:pPr>
        <w:ind w:left="1034" w:right="7639" w:hanging="1034"/>
        <w:spacing w:after="0" w:line="493" w:lineRule="auto"/>
        <w:tabs>
          <w:tab w:leader="none" w:pos="52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Foreign trustee. Not applicable.</w:t>
      </w:r>
    </w:p>
    <w:p>
      <w:pPr>
        <w:spacing w:after="0" w:line="198"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Exhibits.</w:t>
      </w:r>
    </w:p>
    <w:p>
      <w:pPr>
        <w:spacing w:after="0" w:line="203" w:lineRule="exact"/>
        <w:rPr>
          <w:rFonts w:ascii="Courier New" w:cs="Courier New" w:eastAsia="Courier New" w:hAnsi="Courier New"/>
          <w:sz w:val="17"/>
          <w:szCs w:val="17"/>
          <w:color w:val="auto"/>
        </w:rPr>
      </w:pPr>
    </w:p>
    <w:p>
      <w:pPr>
        <w:jc w:val="both"/>
        <w:ind w:left="1034" w:right="2079" w:hanging="520"/>
        <w:spacing w:after="0" w:line="246" w:lineRule="auto"/>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Articles of Association of the Trustee as now in effect. Incorporated to Exhibit (1) filed with Form T-1 Statement included in Registration Statement No. 33-45946.</w:t>
      </w:r>
    </w:p>
    <w:p>
      <w:pPr>
        <w:spacing w:after="0" w:line="199" w:lineRule="exact"/>
        <w:rPr>
          <w:rFonts w:ascii="Courier New" w:cs="Courier New" w:eastAsia="Courier New" w:hAnsi="Courier New"/>
          <w:sz w:val="17"/>
          <w:szCs w:val="17"/>
          <w:color w:val="auto"/>
        </w:rPr>
      </w:pPr>
    </w:p>
    <w:p>
      <w:pPr>
        <w:ind w:left="1034" w:right="1979" w:hanging="520"/>
        <w:spacing w:after="0" w:line="246" w:lineRule="auto"/>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Authority of the Trustee to commence business. Incorporated by reference to Exhibit (2) filed with Form T-1 Statement included in Registration Statement No. 33-45946.</w:t>
      </w:r>
    </w:p>
    <w:p>
      <w:pPr>
        <w:spacing w:after="0" w:line="199" w:lineRule="exact"/>
        <w:rPr>
          <w:rFonts w:ascii="Courier New" w:cs="Courier New" w:eastAsia="Courier New" w:hAnsi="Courier New"/>
          <w:sz w:val="17"/>
          <w:szCs w:val="17"/>
          <w:color w:val="auto"/>
        </w:rPr>
      </w:pPr>
    </w:p>
    <w:p>
      <w:pPr>
        <w:ind w:left="1034" w:right="2279" w:hanging="520"/>
        <w:spacing w:after="0" w:line="246" w:lineRule="auto"/>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of the Trustee to exercise corporate trust powers, if such authorization is not contained in the documents specified in exhibits (1) and (2) above.</w:t>
      </w:r>
    </w:p>
    <w:p>
      <w:pPr>
        <w:spacing w:after="0" w:line="199" w:lineRule="exact"/>
        <w:rPr>
          <w:rFonts w:ascii="Courier New" w:cs="Courier New" w:eastAsia="Courier New" w:hAnsi="Courier New"/>
          <w:sz w:val="17"/>
          <w:szCs w:val="17"/>
          <w:color w:val="auto"/>
        </w:rPr>
      </w:pPr>
    </w:p>
    <w:p>
      <w:pPr>
        <w:ind w:left="1034" w:right="2179" w:hanging="520"/>
        <w:spacing w:after="0" w:line="246" w:lineRule="auto"/>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By-Laws of the Trustee. Incorporated by reference to Exhibit (4) filed with Form T-1 Statement included in Registration Statement No. 33-45946.</w:t>
      </w:r>
    </w:p>
    <w:p>
      <w:pPr>
        <w:spacing w:after="0" w:line="199" w:lineRule="exact"/>
        <w:rPr>
          <w:rFonts w:ascii="Courier New" w:cs="Courier New" w:eastAsia="Courier New" w:hAnsi="Courier New"/>
          <w:sz w:val="17"/>
          <w:szCs w:val="17"/>
          <w:color w:val="auto"/>
        </w:rPr>
      </w:pPr>
    </w:p>
    <w:p>
      <w:pPr>
        <w:ind w:left="1034" w:hanging="520"/>
        <w:spacing w:after="0"/>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Inapplicable.</w:t>
      </w:r>
    </w:p>
    <w:p>
      <w:pPr>
        <w:spacing w:after="0" w:line="203" w:lineRule="exact"/>
        <w:rPr>
          <w:rFonts w:ascii="Courier New" w:cs="Courier New" w:eastAsia="Courier New" w:hAnsi="Courier New"/>
          <w:sz w:val="17"/>
          <w:szCs w:val="17"/>
          <w:color w:val="auto"/>
        </w:rPr>
      </w:pPr>
    </w:p>
    <w:p>
      <w:pPr>
        <w:ind w:left="1034" w:right="2079" w:hanging="520"/>
        <w:spacing w:after="0" w:line="247" w:lineRule="auto"/>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by the Trustee required by Section 321(b) of the Trust Indenture Act of 1939. Included at Page 6 of this Form T-1 Statement.</w:t>
      </w:r>
    </w:p>
    <w:p>
      <w:pPr>
        <w:spacing w:after="0" w:line="197" w:lineRule="exact"/>
        <w:rPr>
          <w:rFonts w:ascii="Courier New" w:cs="Courier New" w:eastAsia="Courier New" w:hAnsi="Courier New"/>
          <w:sz w:val="17"/>
          <w:szCs w:val="17"/>
          <w:color w:val="auto"/>
        </w:rPr>
      </w:pPr>
    </w:p>
    <w:p>
      <w:pPr>
        <w:ind w:left="1034" w:hanging="520"/>
        <w:spacing w:after="0"/>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of condition of Trustee.</w:t>
      </w:r>
    </w:p>
    <w:p>
      <w:pPr>
        <w:spacing w:after="0" w:line="203" w:lineRule="exact"/>
        <w:rPr>
          <w:rFonts w:ascii="Courier New" w:cs="Courier New" w:eastAsia="Courier New" w:hAnsi="Courier New"/>
          <w:sz w:val="17"/>
          <w:szCs w:val="17"/>
          <w:color w:val="auto"/>
        </w:rPr>
      </w:pPr>
    </w:p>
    <w:p>
      <w:pPr>
        <w:ind w:left="1034" w:hanging="520"/>
        <w:spacing w:after="0"/>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Inapplicable.</w:t>
      </w:r>
    </w:p>
    <w:p>
      <w:pPr>
        <w:spacing w:after="0" w:line="203" w:lineRule="exact"/>
        <w:rPr>
          <w:rFonts w:ascii="Courier New" w:cs="Courier New" w:eastAsia="Courier New" w:hAnsi="Courier New"/>
          <w:sz w:val="17"/>
          <w:szCs w:val="17"/>
          <w:color w:val="auto"/>
        </w:rPr>
      </w:pPr>
    </w:p>
    <w:p>
      <w:pPr>
        <w:ind w:left="1034" w:hanging="520"/>
        <w:spacing w:after="0"/>
        <w:tabs>
          <w:tab w:leader="none" w:pos="1034"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4"/>
          </w:cols>
          <w:pgMar w:left="246" w:top="709" w:right="1440" w:bottom="1440" w:gutter="0" w:footer="0" w:header="0"/>
        </w:sectPr>
      </w:pPr>
    </w:p>
    <w:bookmarkStart w:id="141" w:name="page142"/>
    <w:bookmarkEnd w:id="141"/>
    <w:p>
      <w:pPr>
        <w:ind w:left="24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Notes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520" w:right="2179" w:firstLine="520"/>
        <w:spacing w:after="0" w:line="246" w:lineRule="auto"/>
        <w:tabs>
          <w:tab w:leader="none" w:pos="406"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Trustee is a member of First Union Corporation, a bank holding company, all of the voting securities of the Trustee are held by First Union Corporation. The securities of First Union Corporation are described in Item 3.</w:t>
      </w:r>
    </w:p>
    <w:p>
      <w:pPr>
        <w:spacing w:after="0" w:line="398" w:lineRule="exact"/>
        <w:rPr>
          <w:rFonts w:ascii="Courier New" w:cs="Courier New" w:eastAsia="Courier New" w:hAnsi="Courier New"/>
          <w:sz w:val="17"/>
          <w:szCs w:val="17"/>
          <w:color w:val="auto"/>
        </w:rPr>
      </w:pPr>
    </w:p>
    <w:p>
      <w:pPr>
        <w:ind w:left="-520" w:right="1979" w:firstLine="520"/>
        <w:spacing w:after="0" w:line="246" w:lineRule="auto"/>
        <w:tabs>
          <w:tab w:leader="none" w:pos="406"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Inasmuch as this Form T-1 is filed prior to the ascertainment by the Trustee of all facts on which to base responsive answers to Items 2, 5, 6, 7, 8, 9, 10 and 11, the answers to said Items are based on incomplete information. Items 2, 5, 6, 7, 8, 9, 10 and 11 may, however be considered as correct unless amended by an amendment to this Form T-1.</w:t>
      </w: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699"/>
          </w:cols>
          <w:pgMar w:left="760" w:top="709" w:right="1440" w:bottom="1440" w:gutter="0" w:footer="0" w:header="0"/>
        </w:sectPr>
      </w:pPr>
    </w:p>
    <w:bookmarkStart w:id="142" w:name="page143"/>
    <w:bookmarkEnd w:id="142"/>
    <w:p>
      <w:pPr>
        <w:jc w:val="center"/>
        <w:ind w:right="207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Trust Indenture Act of 1939, as amended, the Trustee, FIRST UNION NATIONAL BANK OF NORTH CAROLINA, a national association organized and existing under the laws of the United States of America, has duly caused this statement of eligibility and qualification to be signed on its behalf by the undersigned, thereunto duly authorized, all in the City of Charlotte, and State of North Carolina on the 19th day of October, 1995.</w:t>
      </w:r>
    </w:p>
    <w:p>
      <w:pPr>
        <w:spacing w:after="0" w:line="200" w:lineRule="exact"/>
        <w:rPr>
          <w:sz w:val="20"/>
          <w:szCs w:val="20"/>
          <w:color w:val="auto"/>
        </w:rPr>
      </w:pPr>
    </w:p>
    <w:p>
      <w:pPr>
        <w:spacing w:after="0" w:line="39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FIRST UNION NATIONAL BANK OF NORTH CAROLINA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(Trustee)</w:t>
      </w:r>
    </w:p>
    <w:p>
      <w:pPr>
        <w:spacing w:after="0" w:line="200" w:lineRule="exact"/>
        <w:rPr>
          <w:sz w:val="20"/>
          <w:szCs w:val="20"/>
          <w:color w:val="auto"/>
        </w:rPr>
      </w:pPr>
    </w:p>
    <w:p>
      <w:pPr>
        <w:spacing w:after="0" w:line="20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 /s/ Pablo de la Canal</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Pablo de la Canal</w:t>
      </w:r>
    </w:p>
    <w:p>
      <w:pPr>
        <w:spacing w:after="0" w:line="200" w:lineRule="exact"/>
        <w:rPr>
          <w:sz w:val="20"/>
          <w:szCs w:val="20"/>
          <w:color w:val="auto"/>
        </w:rPr>
      </w:pPr>
    </w:p>
    <w:p>
      <w:pPr>
        <w:spacing w:after="0" w:line="399"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T-1 (6)</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CONSENTS OF TRUSTEE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section 321(b) of the Trust Indenture Act of 1939 and in connection with the proposed issuance by Federal Realty Investment Trust of its Subordinated Debt Securities, First Union National Bank of North Carolina, as the Trustee herein named, hereby consents that reports of examinations of said Trustee by Federal, State, Territorial or District authorities may be furnished by such authorities to the Securities and Exchange Commission upon requests therefor.</w:t>
      </w:r>
    </w:p>
    <w:p>
      <w:pPr>
        <w:spacing w:after="0" w:line="40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FIRST UNION NATIONAL BANK OF NORTH CAROLINA</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 /s/ Daniel J. Ober</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Daniel J. Ober, Vice President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October 18, 1995</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sectPr>
      <w:pgSz w:w="11900" w:h="16838" w:orient="portrait"/>
      <w:cols w:equalWidth="0" w:num="1">
        <w:col w:w="10219"/>
      </w:cols>
      <w:pgMar w:left="240" w:top="9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1)"/>
      <w:numFmt w:val="decimal"/>
      <w:start w:val="2"/>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lowerRoman"/>
      <w:start w:val="2"/>
    </w:lvl>
  </w:abstractNum>
  <w:abstractNum w:abstractNumId="6">
    <w:nsid w:val="1A32234B"/>
    <w:multiLevelType w:val="hybridMultilevel"/>
    <w:lvl w:ilvl="0">
      <w:lvlJc w:val="left"/>
      <w:lvlText w:val="%1."/>
      <w:numFmt w:val="decimal"/>
      <w:start w:val="1"/>
    </w:lvl>
  </w:abstractNum>
  <w:abstractNum w:abstractNumId="7">
    <w:nsid w:val="3B0FD379"/>
    <w:multiLevelType w:val="hybridMultilevel"/>
    <w:lvl w:ilvl="0">
      <w:lvlJc w:val="left"/>
      <w:lvlText w:val="(%1)"/>
      <w:numFmt w:val="decimal"/>
      <w:start w:val="1"/>
    </w:lvl>
  </w:abstractNum>
  <w:abstractNum w:abstractNumId="8">
    <w:nsid w:val="68EB2F63"/>
    <w:multiLevelType w:val="hybridMultilevel"/>
    <w:lvl w:ilvl="0">
      <w:lvlJc w:val="left"/>
      <w:lvlText w:val="(%1)"/>
      <w:numFmt w:val="decimal"/>
      <w:start w:val="10"/>
    </w:lvl>
  </w:abstractNum>
  <w:abstractNum w:abstractNumId="9">
    <w:nsid w:val="4962813B"/>
    <w:multiLevelType w:val="hybridMultilevel"/>
    <w:lvl w:ilvl="0">
      <w:lvlJc w:val="left"/>
      <w:lvlText w:val="(%1)"/>
      <w:numFmt w:val="lowerRoman"/>
      <w:start w:val="2"/>
    </w:lvl>
  </w:abstractNum>
  <w:abstractNum w:abstractNumId="10">
    <w:nsid w:val="60B6DF70"/>
    <w:multiLevelType w:val="hybridMultilevel"/>
    <w:lvl w:ilvl="0">
      <w:lvlJc w:val="left"/>
      <w:lvlText w:val="(%1)"/>
      <w:numFmt w:val="lowerRoman"/>
      <w:start w:val="10"/>
    </w:lvl>
  </w:abstractNum>
  <w:abstractNum w:abstractNumId="11">
    <w:nsid w:val="6A5EE64"/>
    <w:multiLevelType w:val="hybridMultilevel"/>
    <w:lvl w:ilvl="0">
      <w:lvlJc w:val="left"/>
      <w:lvlText w:val="(%1)"/>
      <w:numFmt w:val="lowerLetter"/>
      <w:start w:val="1"/>
    </w:lvl>
  </w:abstractNum>
  <w:abstractNum w:abstractNumId="12">
    <w:nsid w:val="14330624"/>
    <w:multiLevelType w:val="hybridMultilevel"/>
    <w:lvl w:ilvl="0">
      <w:lvlJc w:val="left"/>
      <w:lvlText w:val="(%1)"/>
      <w:numFmt w:val="lowerLetter"/>
      <w:start w:val="4"/>
    </w:lvl>
  </w:abstractNum>
  <w:abstractNum w:abstractNumId="13">
    <w:nsid w:val="7FFFCA11"/>
    <w:multiLevelType w:val="hybridMultilevel"/>
    <w:lvl w:ilvl="0">
      <w:lvlJc w:val="left"/>
      <w:lvlText w:val="(%1)"/>
      <w:numFmt w:val="lowerLetter"/>
      <w:start w:val="6"/>
    </w:lvl>
  </w:abstractNum>
  <w:abstractNum w:abstractNumId="14">
    <w:nsid w:val="1A27709E"/>
    <w:multiLevelType w:val="hybridMultilevel"/>
    <w:lvl w:ilvl="0">
      <w:lvlJc w:val="left"/>
      <w:lvlText w:val="(%1)"/>
      <w:numFmt w:val="lowerLetter"/>
      <w:start w:val="7"/>
    </w:lvl>
  </w:abstractNum>
  <w:abstractNum w:abstractNumId="15">
    <w:nsid w:val="71EA1109"/>
    <w:multiLevelType w:val="hybridMultilevel"/>
    <w:lvl w:ilvl="0">
      <w:lvlJc w:val="left"/>
      <w:lvlText w:val="(%1)"/>
      <w:numFmt w:val="decimal"/>
      <w:start w:val="1"/>
    </w:lvl>
  </w:abstractNum>
  <w:abstractNum w:abstractNumId="16">
    <w:nsid w:val="100F59DC"/>
    <w:multiLevelType w:val="hybridMultilevel"/>
    <w:lvl w:ilvl="0">
      <w:lvlJc w:val="left"/>
      <w:lvlText w:val="(%1)"/>
      <w:numFmt w:val="decimal"/>
      <w:start w:val="14"/>
    </w:lvl>
  </w:abstractNum>
  <w:abstractNum w:abstractNumId="17">
    <w:nsid w:val="7FB7E0AA"/>
    <w:multiLevelType w:val="hybridMultilevel"/>
    <w:lvl w:ilvl="0">
      <w:lvlJc w:val="left"/>
      <w:lvlText w:val="(%1)"/>
      <w:numFmt w:val="lowerRoman"/>
      <w:start w:val="5"/>
    </w:lvl>
  </w:abstractNum>
  <w:abstractNum w:abstractNumId="18">
    <w:nsid w:val="6EB5BD4"/>
    <w:multiLevelType w:val="hybridMultilevel"/>
    <w:lvl w:ilvl="0">
      <w:lvlJc w:val="left"/>
      <w:lvlText w:val="(%1)"/>
      <w:numFmt w:val="lowerRoman"/>
      <w:start w:val="10"/>
    </w:lvl>
  </w:abstractNum>
  <w:abstractNum w:abstractNumId="19">
    <w:nsid w:val="6F6DD9AC"/>
    <w:multiLevelType w:val="hybridMultilevel"/>
    <w:lvl w:ilvl="0">
      <w:lvlJc w:val="left"/>
      <w:lvlText w:val="(%1)"/>
      <w:numFmt w:val="decimal"/>
      <w:start w:val="5"/>
    </w:lvl>
  </w:abstractNum>
  <w:abstractNum w:abstractNumId="20">
    <w:nsid w:val="94211F2"/>
    <w:multiLevelType w:val="hybridMultilevel"/>
    <w:lvl w:ilvl="0">
      <w:lvlJc w:val="left"/>
      <w:lvlText w:val="(%1)"/>
      <w:numFmt w:val="decimal"/>
      <w:start w:val="8"/>
    </w:lvl>
  </w:abstractNum>
  <w:abstractNum w:abstractNumId="21">
    <w:nsid w:val="885E1B"/>
    <w:multiLevelType w:val="hybridMultilevel"/>
    <w:lvl w:ilvl="0">
      <w:lvlJc w:val="left"/>
      <w:lvlText w:val="(%1)"/>
      <w:numFmt w:val="decimal"/>
      <w:start w:val="12"/>
    </w:lvl>
  </w:abstractNum>
  <w:abstractNum w:abstractNumId="22">
    <w:nsid w:val="76272110"/>
    <w:multiLevelType w:val="hybridMultilevel"/>
    <w:lvl w:ilvl="0">
      <w:lvlJc w:val="left"/>
      <w:lvlText w:val="(%1)"/>
      <w:numFmt w:val="decimal"/>
      <w:start w:val="15"/>
    </w:lvl>
  </w:abstractNum>
  <w:abstractNum w:abstractNumId="23">
    <w:nsid w:val="4C04A8AF"/>
    <w:multiLevelType w:val="hybridMultilevel"/>
    <w:lvl w:ilvl="0">
      <w:lvlJc w:val="left"/>
      <w:lvlText w:val="(%1)"/>
      <w:numFmt w:val="decimal"/>
      <w:start w:val="24"/>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3222E7CD"/>
    <w:multiLevelType w:val="hybridMultilevel"/>
    <w:lvl w:ilvl="0">
      <w:lvlJc w:val="left"/>
      <w:lvlText w:val="(%1)"/>
      <w:numFmt w:val="lowerRoman"/>
      <w:start w:val="3"/>
    </w:lvl>
  </w:abstractNum>
  <w:abstractNum w:abstractNumId="27">
    <w:nsid w:val="74DE0EE3"/>
    <w:multiLevelType w:val="hybridMultilevel"/>
    <w:lvl w:ilvl="0">
      <w:lvlJc w:val="left"/>
      <w:lvlText w:val="%1"/>
      <w:numFmt w:val="lowerLetter"/>
      <w:start w:val="1"/>
    </w:lvl>
    <w:lvl w:ilvl="1">
      <w:lvlJc w:val="left"/>
      <w:lvlText w:val="(%2)"/>
      <w:numFmt w:val="decimal"/>
      <w:start w:val="2"/>
    </w:lvl>
  </w:abstractNum>
  <w:abstractNum w:abstractNumId="28">
    <w:nsid w:val="68EBC550"/>
    <w:multiLevelType w:val="hybridMultilevel"/>
    <w:lvl w:ilvl="0">
      <w:lvlJc w:val="left"/>
      <w:lvlText w:val="(%1)"/>
      <w:numFmt w:val="lowerLetter"/>
      <w:start w:val="2"/>
    </w:lvl>
    <w:lvl w:ilvl="1">
      <w:lvlJc w:val="left"/>
      <w:lvlText w:val="%2"/>
      <w:numFmt w:val="decimal"/>
      <w:start w:val="1"/>
    </w:lvl>
  </w:abstractNum>
  <w:abstractNum w:abstractNumId="29">
    <w:nsid w:val="2DF6D648"/>
    <w:multiLevelType w:val="hybridMultilevel"/>
    <w:lvl w:ilvl="0">
      <w:lvlJc w:val="left"/>
      <w:lvlText w:val="(%1)"/>
      <w:numFmt w:val="lowerLetter"/>
      <w:start w:val="3"/>
    </w:lvl>
    <w:lvl w:ilvl="1">
      <w:lvlJc w:val="left"/>
      <w:lvlText w:val="(%2)"/>
      <w:numFmt w:val="decimal"/>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decimal"/>
      <w:start w:val="24"/>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1."/>
      <w:numFmt w:val="decimal"/>
      <w:start w:val="1"/>
    </w:lvl>
  </w:abstractNum>
  <w:abstractNum w:abstractNumId="34">
    <w:nsid w:val="CC1016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5">
    <w:nsid w:val="43F18422"/>
    <w:multiLevelType w:val="hybridMultilevel"/>
    <w:lvl w:ilvl="0">
      <w:lvlJc w:val="left"/>
      <w:lvlText w:val="(%1)"/>
      <w:numFmt w:val="lowerLetter"/>
      <w:start w:val="2"/>
    </w:lvl>
    <w:lvl w:ilvl="1">
      <w:lvlJc w:val="left"/>
      <w:lvlText w:val="-"/>
      <w:numFmt w:val="bullet"/>
      <w:start w:val="1"/>
    </w:lvl>
  </w:abstractNum>
  <w:abstractNum w:abstractNumId="36">
    <w:nsid w:val="60EF0119"/>
    <w:multiLevelType w:val="hybridMultilevel"/>
    <w:lvl w:ilvl="0">
      <w:lvlJc w:val="left"/>
      <w:lvlText w:val="(%1)"/>
      <w:numFmt w:val="lowerLetter"/>
      <w:start w:val="3"/>
    </w:lvl>
    <w:lvl w:ilvl="1">
      <w:lvlJc w:val="left"/>
      <w:lvlText w:val="-"/>
      <w:numFmt w:val="bullet"/>
      <w:start w:val="1"/>
    </w:lvl>
  </w:abstractNum>
  <w:abstractNum w:abstractNumId="37">
    <w:nsid w:val="26F324BA"/>
    <w:multiLevelType w:val="hybridMultilevel"/>
    <w:lvl w:ilvl="0">
      <w:lvlJc w:val="left"/>
      <w:lvlText w:val="(%1)"/>
      <w:numFmt w:val="lowerLetter"/>
      <w:start w:val="5"/>
    </w:lvl>
    <w:lvl w:ilvl="1">
      <w:lvlJc w:val="left"/>
      <w:lvlText w:val="-"/>
      <w:numFmt w:val="bullet"/>
      <w:start w:val="1"/>
    </w:lvl>
  </w:abstractNum>
  <w:abstractNum w:abstractNumId="38">
    <w:nsid w:val="7F01579B"/>
    <w:multiLevelType w:val="hybridMultilevel"/>
    <w:lvl w:ilvl="0">
      <w:lvlJc w:val="left"/>
      <w:lvlText w:val="(%1)"/>
      <w:numFmt w:val="lowerLetter"/>
      <w:start w:val="7"/>
    </w:lvl>
    <w:lvl w:ilvl="1">
      <w:lvlJc w:val="left"/>
      <w:lvlText w:val="-"/>
      <w:numFmt w:val="bullet"/>
      <w:start w:val="1"/>
    </w:lvl>
  </w:abstractNum>
  <w:abstractNum w:abstractNumId="39">
    <w:nsid w:val="49DA307D"/>
    <w:multiLevelType w:val="hybridMultilevel"/>
    <w:lvl w:ilvl="0">
      <w:lvlJc w:val="left"/>
      <w:lvlText w:val="(%1)"/>
      <w:numFmt w:val="lowerLetter"/>
      <w:start w:val="9"/>
    </w:lvl>
    <w:lvl w:ilvl="1">
      <w:lvlJc w:val="left"/>
      <w:lvlText w:val="-"/>
      <w:numFmt w:val="bullet"/>
      <w:start w:val="1"/>
    </w:lvl>
  </w:abstractNum>
  <w:abstractNum w:abstractNumId="40">
    <w:nsid w:val="7055A5F5"/>
    <w:multiLevelType w:val="hybridMultilevel"/>
    <w:lvl w:ilvl="0">
      <w:lvlJc w:val="left"/>
      <w:lvlText w:val="(%1)"/>
      <w:numFmt w:val="lowerLetter"/>
      <w:start w:val="11"/>
    </w:lvl>
    <w:lvl w:ilvl="1">
      <w:lvlJc w:val="left"/>
      <w:lvlText w:val="-"/>
      <w:numFmt w:val="bullet"/>
      <w:start w:val="1"/>
    </w:lvl>
  </w:abstractNum>
  <w:abstractNum w:abstractNumId="41">
    <w:nsid w:val="5FB8370B"/>
    <w:multiLevelType w:val="hybridMultilevel"/>
    <w:lvl w:ilvl="0">
      <w:lvlJc w:val="left"/>
      <w:lvlText w:val="%1"/>
      <w:numFmt w:val="decimal"/>
      <w:start w:val="1"/>
    </w:lvl>
    <w:lvl w:ilvl="1">
      <w:lvlJc w:val="left"/>
      <w:lvlText w:val="(%2)"/>
      <w:numFmt w:val="lowerLetter"/>
      <w:start w:val="16"/>
    </w:lvl>
    <w:lvl w:ilvl="2">
      <w:lvlJc w:val="left"/>
      <w:lvlText w:val="-"/>
      <w:numFmt w:val="bullet"/>
      <w:start w:val="1"/>
    </w:lvl>
  </w:abstractNum>
  <w:abstractNum w:abstractNumId="42">
    <w:nsid w:val="50801EE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3">
    <w:nsid w:val="488AC1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4">
    <w:nsid w:val="5FB8011C"/>
    <w:multiLevelType w:val="hybridMultilevel"/>
    <w:lvl w:ilvl="0">
      <w:lvlJc w:val="left"/>
      <w:lvlText w:val="(%1)"/>
      <w:numFmt w:val="lowerLetter"/>
      <w:start w:val="2"/>
    </w:lvl>
    <w:lvl w:ilvl="1">
      <w:lvlJc w:val="left"/>
      <w:lvlText w:val="-"/>
      <w:numFmt w:val="bullet"/>
      <w:start w:val="1"/>
    </w:lvl>
  </w:abstractNum>
  <w:abstractNum w:abstractNumId="45">
    <w:nsid w:val="6AA78F7F"/>
    <w:multiLevelType w:val="hybridMultilevel"/>
    <w:lvl w:ilvl="0">
      <w:lvlJc w:val="left"/>
      <w:lvlText w:val="(%1)"/>
      <w:numFmt w:val="lowerLetter"/>
      <w:start w:val="4"/>
    </w:lvl>
    <w:lvl w:ilvl="1">
      <w:lvlJc w:val="left"/>
      <w:lvlText w:val="-"/>
      <w:numFmt w:val="bullet"/>
      <w:start w:val="1"/>
    </w:lvl>
  </w:abstractNum>
  <w:abstractNum w:abstractNumId="46">
    <w:nsid w:val="7672BD2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lvl w:ilvl="3">
      <w:lvlJc w:val="left"/>
      <w:lvlText w:val="-"/>
      <w:numFmt w:val="bullet"/>
      <w:start w:val="1"/>
    </w:lvl>
  </w:abstractNum>
  <w:abstractNum w:abstractNumId="47">
    <w:nsid w:val="6FC75AF8"/>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48">
    <w:nsid w:val="6A5F7029"/>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9">
    <w:nsid w:val="7D5E18F8"/>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0">
    <w:nsid w:val="5F3534A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1">
    <w:nsid w:val="73A1821B"/>
    <w:multiLevelType w:val="hybridMultilevel"/>
    <w:lvl w:ilvl="0">
      <w:lvlJc w:val="left"/>
      <w:lvlText w:val="(%1)"/>
      <w:numFmt w:val="lowerRoman"/>
      <w:start w:val="2"/>
    </w:lvl>
    <w:lvl w:ilvl="1">
      <w:lvlJc w:val="left"/>
      <w:lvlText w:val="-"/>
      <w:numFmt w:val="bullet"/>
      <w:start w:val="1"/>
    </w:lvl>
  </w:abstractNum>
  <w:abstractNum w:abstractNumId="52">
    <w:nsid w:val="7DE67713"/>
    <w:multiLevelType w:val="hybridMultilevel"/>
    <w:lvl w:ilvl="0">
      <w:lvlJc w:val="left"/>
      <w:lvlText w:val="(%1)"/>
      <w:numFmt w:val="lowerRoman"/>
      <w:start w:val="7"/>
    </w:lvl>
    <w:lvl w:ilvl="1">
      <w:lvlJc w:val="left"/>
      <w:lvlText w:val="-"/>
      <w:numFmt w:val="bullet"/>
      <w:start w:val="1"/>
    </w:lvl>
  </w:abstractNum>
  <w:abstractNum w:abstractNumId="53">
    <w:nsid w:val="555C55B5"/>
    <w:multiLevelType w:val="hybridMultilevel"/>
    <w:lvl w:ilvl="0">
      <w:lvlJc w:val="left"/>
      <w:lvlText w:val="(%1)"/>
      <w:numFmt w:val="lowerRoman"/>
      <w:start w:val="9"/>
    </w:lvl>
  </w:abstractNum>
  <w:abstractNum w:abstractNumId="54">
    <w:nsid w:val="3FA62ACA"/>
    <w:multiLevelType w:val="hybridMultilevel"/>
    <w:lvl w:ilvl="0">
      <w:lvlJc w:val="left"/>
      <w:lvlText w:val="(%1)"/>
      <w:numFmt w:val="lowerLetter"/>
      <w:start w:val="4"/>
    </w:lvl>
    <w:lvl w:ilvl="1">
      <w:lvlJc w:val="left"/>
      <w:lvlText w:val="-"/>
      <w:numFmt w:val="bullet"/>
      <w:start w:val="1"/>
    </w:lvl>
  </w:abstractNum>
  <w:abstractNum w:abstractNumId="55">
    <w:nsid w:val="14FCE74E"/>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56">
    <w:nsid w:val="6A3DD3E8"/>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7">
    <w:nsid w:val="71C91298"/>
    <w:multiLevelType w:val="hybridMultilevel"/>
    <w:lvl w:ilvl="0">
      <w:lvlJc w:val="left"/>
      <w:lvlText w:val="%1"/>
      <w:numFmt w:val="lowerLetter"/>
      <w:start w:val="1"/>
    </w:lvl>
    <w:lvl w:ilvl="1">
      <w:lvlJc w:val="left"/>
      <w:lvlText w:val="(%2)"/>
      <w:numFmt w:val="lowerLetter"/>
      <w:start w:val="8"/>
    </w:lvl>
  </w:abstractNum>
  <w:abstractNum w:abstractNumId="58">
    <w:nsid w:val="9DAF632"/>
    <w:multiLevelType w:val="hybridMultilevel"/>
    <w:lvl w:ilvl="0">
      <w:lvlJc w:val="left"/>
      <w:lvlText w:val="(%1)"/>
      <w:numFmt w:val="lowerLetter"/>
      <w:start w:val="9"/>
    </w:lvl>
    <w:lvl w:ilvl="1">
      <w:lvlJc w:val="left"/>
      <w:lvlText w:val="(%2)"/>
      <w:numFmt w:val="lowerLetter"/>
      <w:start w:val="9"/>
    </w:lvl>
  </w:abstractNum>
  <w:abstractNum w:abstractNumId="59">
    <w:nsid w:val="53299938"/>
    <w:multiLevelType w:val="hybridMultilevel"/>
    <w:lvl w:ilvl="0">
      <w:lvlJc w:val="left"/>
      <w:lvlText w:val="%1."/>
      <w:numFmt w:val="decimal"/>
      <w:start w:val="8"/>
    </w:lvl>
    <w:lvl w:ilvl="1">
      <w:lvlJc w:val="left"/>
      <w:lvlText w:val="-"/>
      <w:numFmt w:val="bullet"/>
      <w:start w:val="1"/>
    </w:lvl>
  </w:abstractNum>
  <w:abstractNum w:abstractNumId="60">
    <w:nsid w:val="1FBFE8E0"/>
    <w:multiLevelType w:val="hybridMultilevel"/>
    <w:lvl w:ilvl="0">
      <w:lvlJc w:val="left"/>
      <w:lvlText w:val="(%1)"/>
      <w:numFmt w:val="lowerLetter"/>
      <w:start w:val="2"/>
    </w:lvl>
    <w:lvl w:ilvl="1">
      <w:lvlJc w:val="left"/>
      <w:lvlText w:val="-"/>
      <w:numFmt w:val="bullet"/>
      <w:start w:val="1"/>
    </w:lvl>
  </w:abstractNum>
  <w:abstractNum w:abstractNumId="61">
    <w:nsid w:val="5092CA79"/>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2">
    <w:nsid w:val="1D545C4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3">
    <w:nsid w:val="59ADEA3D"/>
    <w:multiLevelType w:val="hybridMultilevel"/>
    <w:lvl w:ilvl="0">
      <w:lvlJc w:val="left"/>
      <w:lvlText w:val="(%1)"/>
      <w:numFmt w:val="lowerLetter"/>
      <w:start w:val="4"/>
    </w:lvl>
    <w:lvl w:ilvl="1">
      <w:lvlJc w:val="left"/>
      <w:lvlText w:val="-"/>
      <w:numFmt w:val="bullet"/>
      <w:start w:val="1"/>
    </w:lvl>
  </w:abstractNum>
  <w:abstractNum w:abstractNumId="64">
    <w:nsid w:val="288F1A34"/>
    <w:multiLevelType w:val="hybridMultilevel"/>
    <w:lvl w:ilvl="0">
      <w:lvlJc w:val="left"/>
      <w:lvlText w:val="(%1)"/>
      <w:numFmt w:val="lowerLetter"/>
      <w:start w:val="5"/>
    </w:lvl>
  </w:abstractNum>
  <w:abstractNum w:abstractNumId="65">
    <w:nsid w:val="2A155DBC"/>
    <w:multiLevelType w:val="hybridMultilevel"/>
    <w:lvl w:ilvl="0">
      <w:lvlJc w:val="left"/>
      <w:lvlText w:val="%1."/>
      <w:numFmt w:val="decimal"/>
      <w:start w:val="9"/>
    </w:lvl>
    <w:lvl w:ilvl="1">
      <w:lvlJc w:val="left"/>
      <w:lvlText w:val="-"/>
      <w:numFmt w:val="bullet"/>
      <w:start w:val="1"/>
    </w:lvl>
  </w:abstractNum>
  <w:abstractNum w:abstractNumId="66">
    <w:nsid w:val="1D9F6E5F"/>
    <w:multiLevelType w:val="hybridMultilevel"/>
    <w:lvl w:ilvl="0">
      <w:lvlJc w:val="left"/>
      <w:lvlText w:val="(%1)"/>
      <w:numFmt w:val="lowerLetter"/>
      <w:start w:val="2"/>
    </w:lvl>
    <w:lvl w:ilvl="1">
      <w:lvlJc w:val="left"/>
      <w:lvlText w:val="-"/>
      <w:numFmt w:val="bullet"/>
      <w:start w:val="1"/>
    </w:lvl>
  </w:abstractNum>
  <w:abstractNum w:abstractNumId="67">
    <w:nsid w:val="97E1B4E"/>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68">
    <w:nsid w:val="51088277"/>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69">
    <w:nsid w:val="1CA0C5FA"/>
    <w:multiLevelType w:val="hybridMultilevel"/>
    <w:lvl w:ilvl="0">
      <w:lvlJc w:val="left"/>
      <w:lvlText w:val="%1."/>
      <w:numFmt w:val="decimal"/>
      <w:start w:val="12"/>
    </w:lvl>
  </w:abstractNum>
  <w:abstractNum w:abstractNumId="70">
    <w:nsid w:val="53584BCB"/>
    <w:multiLevelType w:val="hybridMultilevel"/>
    <w:lvl w:ilvl="0">
      <w:lvlJc w:val="left"/>
      <w:lvlText w:val="%1."/>
      <w:numFmt w:val="decimal"/>
      <w:start w:val="13"/>
    </w:lvl>
    <w:lvl w:ilvl="1">
      <w:lvlJc w:val="left"/>
      <w:lvlText w:val="-"/>
      <w:numFmt w:val="bullet"/>
      <w:start w:val="1"/>
    </w:lvl>
  </w:abstractNum>
  <w:abstractNum w:abstractNumId="71">
    <w:nsid w:val="415E286C"/>
    <w:multiLevelType w:val="hybridMultilevel"/>
    <w:lvl w:ilvl="0">
      <w:lvlJc w:val="left"/>
      <w:lvlText w:val="%1."/>
      <w:numFmt w:val="decimal"/>
      <w:start w:val="15"/>
    </w:lvl>
    <w:lvl w:ilvl="1">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1)"/>
      <w:numFmt w:val="lowerRoman"/>
      <w:start w:val="1"/>
    </w:lvl>
    <w:lvl w:ilvl="1">
      <w:lvlJc w:val="left"/>
      <w:lvlText w:val="-"/>
      <w:numFmt w:val="bullet"/>
      <w:start w:val="1"/>
    </w:lvl>
  </w:abstractNum>
  <w:abstractNum w:abstractNumId="77">
    <w:nsid w:val="3C5991AA"/>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78">
    <w:nsid w:val="4BD8591A"/>
    <w:multiLevelType w:val="hybridMultilevel"/>
    <w:lvl w:ilvl="0">
      <w:lvlJc w:val="left"/>
      <w:lvlText w:val="(%1)"/>
      <w:numFmt w:val="lowerRoman"/>
      <w:start w:val="6"/>
    </w:lvl>
    <w:lvl w:ilvl="1">
      <w:lvlJc w:val="left"/>
      <w:lvlText w:val="%2"/>
      <w:numFmt w:val="lowerRoman"/>
      <w:start w:val="1"/>
    </w:lvl>
    <w:lvl w:ilvl="2">
      <w:lvlJc w:val="left"/>
      <w:lvlText w:val="-"/>
      <w:numFmt w:val="bullet"/>
      <w:start w:val="1"/>
    </w:lvl>
  </w:abstractNum>
  <w:abstractNum w:abstractNumId="79">
    <w:nsid w:val="78DF6A55"/>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80">
    <w:nsid w:val="39B7AAA2"/>
    <w:multiLevelType w:val="hybridMultilevel"/>
    <w:lvl w:ilvl="0">
      <w:lvlJc w:val="left"/>
      <w:lvlText w:val="(%1)"/>
      <w:numFmt w:val="lowerRoman"/>
      <w:start w:val="2"/>
    </w:lvl>
    <w:lvl w:ilvl="1">
      <w:lvlJc w:val="left"/>
      <w:lvlText w:val="(%2)"/>
      <w:numFmt w:val="upperLetter"/>
      <w:start w:val="2"/>
    </w:lvl>
    <w:lvl w:ilvl="2">
      <w:lvlJc w:val="left"/>
      <w:lvlText w:val="-"/>
      <w:numFmt w:val="bullet"/>
      <w:start w:val="1"/>
    </w:lvl>
  </w:abstractNum>
  <w:abstractNum w:abstractNumId="81">
    <w:nsid w:val="2B0D8DBE"/>
    <w:multiLevelType w:val="hybridMultilevel"/>
    <w:lvl w:ilvl="0">
      <w:lvlJc w:val="left"/>
      <w:lvlText w:val="(%1)"/>
      <w:numFmt w:val="upperLetter"/>
      <w:start w:val="4"/>
    </w:lvl>
    <w:lvl w:ilvl="1">
      <w:lvlJc w:val="left"/>
      <w:lvlText w:val="-"/>
      <w:numFmt w:val="bullet"/>
      <w:start w:val="1"/>
    </w:lvl>
  </w:abstractNum>
  <w:abstractNum w:abstractNumId="82">
    <w:nsid w:val="6C80EC70"/>
    <w:multiLevelType w:val="hybridMultilevel"/>
    <w:lvl w:ilvl="0">
      <w:lvlJc w:val="left"/>
      <w:lvlText w:val="(%1)"/>
      <w:numFmt w:val="lowerRoman"/>
      <w:start w:val="7"/>
    </w:lvl>
  </w:abstractNum>
  <w:abstractNum w:abstractNumId="83">
    <w:nsid w:val="379E21B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84">
    <w:nsid w:val="69E373"/>
    <w:multiLevelType w:val="hybridMultilevel"/>
    <w:lvl w:ilvl="0">
      <w:lvlJc w:val="left"/>
      <w:lvlText w:val="(%1)"/>
      <w:numFmt w:val="lowerLetter"/>
      <w:start w:val="2"/>
    </w:lvl>
    <w:lvl w:ilvl="1">
      <w:lvlJc w:val="left"/>
      <w:lvlText w:val="-"/>
      <w:numFmt w:val="bullet"/>
      <w:start w:val="1"/>
    </w:lvl>
  </w:abstractNum>
  <w:abstractNum w:abstractNumId="85">
    <w:nsid w:val="2C27173B"/>
    <w:multiLevelType w:val="hybridMultilevel"/>
    <w:lvl w:ilvl="0">
      <w:lvlJc w:val="left"/>
      <w:lvlText w:val="(%1)"/>
      <w:numFmt w:val="lowerLetter"/>
      <w:start w:val="3"/>
    </w:lvl>
    <w:lvl w:ilvl="1">
      <w:lvlJc w:val="left"/>
      <w:lvlText w:val="-"/>
      <w:numFmt w:val="bullet"/>
      <w:start w:val="1"/>
    </w:lvl>
  </w:abstractNum>
  <w:abstractNum w:abstractNumId="86">
    <w:nsid w:val="4C9B0904"/>
    <w:multiLevelType w:val="hybridMultilevel"/>
    <w:lvl w:ilvl="0">
      <w:lvlJc w:val="left"/>
      <w:lvlText w:val="(%1)"/>
      <w:numFmt w:val="lowerLetter"/>
      <w:start w:val="5"/>
    </w:lvl>
    <w:lvl w:ilvl="1">
      <w:lvlJc w:val="left"/>
      <w:lvlText w:val="-"/>
      <w:numFmt w:val="bullet"/>
      <w:start w:val="1"/>
    </w:lvl>
  </w:abstractNum>
  <w:abstractNum w:abstractNumId="87">
    <w:nsid w:val="6AA7B75C"/>
    <w:multiLevelType w:val="hybridMultilevel"/>
    <w:lvl w:ilvl="0">
      <w:lvlJc w:val="left"/>
      <w:lvlText w:val="(%1)"/>
      <w:numFmt w:val="lowerLetter"/>
      <w:start w:val="7"/>
    </w:lvl>
    <w:lvl w:ilvl="1">
      <w:lvlJc w:val="left"/>
      <w:lvlText w:val="-"/>
      <w:numFmt w:val="bullet"/>
      <w:start w:val="1"/>
    </w:lvl>
  </w:abstractNum>
  <w:abstractNum w:abstractNumId="88">
    <w:nsid w:val="1DF029D3"/>
    <w:multiLevelType w:val="hybridMultilevel"/>
    <w:lvl w:ilvl="0">
      <w:lvlJc w:val="left"/>
      <w:lvlText w:val="(%1)"/>
      <w:numFmt w:val="lowerLetter"/>
      <w:start w:val="9"/>
    </w:lvl>
    <w:lvl w:ilvl="1">
      <w:lvlJc w:val="left"/>
      <w:lvlText w:val="-"/>
      <w:numFmt w:val="bullet"/>
      <w:start w:val="1"/>
    </w:lvl>
  </w:abstractNum>
  <w:abstractNum w:abstractNumId="89">
    <w:nsid w:val="5675FF36"/>
    <w:multiLevelType w:val="hybridMultilevel"/>
    <w:lvl w:ilvl="0">
      <w:lvlJc w:val="left"/>
      <w:lvlText w:val="(%1)"/>
      <w:numFmt w:val="lowerLetter"/>
      <w:start w:val="12"/>
    </w:lvl>
    <w:lvl w:ilvl="1">
      <w:lvlJc w:val="left"/>
      <w:lvlText w:val="-"/>
      <w:numFmt w:val="bullet"/>
      <w:start w:val="1"/>
    </w:lvl>
  </w:abstractNum>
  <w:abstractNum w:abstractNumId="90">
    <w:nsid w:val="3DD15094"/>
    <w:multiLevelType w:val="hybridMultilevel"/>
    <w:lvl w:ilvl="0">
      <w:lvlJc w:val="left"/>
      <w:lvlText w:val="%1"/>
      <w:numFmt w:val="decimal"/>
      <w:start w:val="1"/>
    </w:lvl>
    <w:lvl w:ilvl="1">
      <w:lvlJc w:val="left"/>
      <w:lvlText w:val="(%2)"/>
      <w:numFmt w:val="lowerLetter"/>
      <w:start w:val="17"/>
    </w:lvl>
    <w:lvl w:ilvl="2">
      <w:lvlJc w:val="left"/>
      <w:lvlText w:val="-"/>
      <w:numFmt w:val="bullet"/>
      <w:start w:val="1"/>
    </w:lvl>
  </w:abstractNum>
  <w:abstractNum w:abstractNumId="91">
    <w:nsid w:val="3DB012B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92">
    <w:nsid w:val="2708C9A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93">
    <w:nsid w:val="5B25ACE2"/>
    <w:multiLevelType w:val="hybridMultilevel"/>
    <w:lvl w:ilvl="0">
      <w:lvlJc w:val="left"/>
      <w:lvlText w:val="%1"/>
      <w:numFmt w:val="decimal"/>
      <w:start w:val="434"/>
    </w:lvl>
    <w:lvl w:ilvl="1">
      <w:lvlJc w:val="left"/>
      <w:lvlText w:val="%2"/>
      <w:numFmt w:val="lowerLetter"/>
      <w:start w:val="1"/>
    </w:lvl>
    <w:lvl w:ilvl="2">
      <w:lvlJc w:val="left"/>
      <w:lvlText w:val="-"/>
      <w:numFmt w:val="bullet"/>
      <w:start w:val="1"/>
    </w:lvl>
  </w:abstractNum>
  <w:abstractNum w:abstractNumId="94">
    <w:nsid w:val="175DFCF0"/>
    <w:multiLevelType w:val="hybridMultilevel"/>
    <w:lvl w:ilvl="0">
      <w:lvlJc w:val="left"/>
      <w:lvlText w:val="(%1)"/>
      <w:numFmt w:val="lowerLetter"/>
      <w:start w:val="2"/>
    </w:lvl>
    <w:lvl w:ilvl="1">
      <w:lvlJc w:val="left"/>
      <w:lvlText w:val="-"/>
      <w:numFmt w:val="bullet"/>
      <w:start w:val="1"/>
    </w:lvl>
  </w:abstractNum>
  <w:abstractNum w:abstractNumId="95">
    <w:nsid w:val="4F97E3E4"/>
    <w:multiLevelType w:val="hybridMultilevel"/>
    <w:lvl w:ilvl="0">
      <w:lvlJc w:val="left"/>
      <w:lvlText w:val="(%1)"/>
      <w:numFmt w:val="lowerLetter"/>
      <w:start w:val="4"/>
    </w:lvl>
    <w:lvl w:ilvl="1">
      <w:lvlJc w:val="left"/>
      <w:lvlText w:val="-"/>
      <w:numFmt w:val="bullet"/>
      <w:start w:val="1"/>
    </w:lvl>
  </w:abstractNum>
  <w:abstractNum w:abstractNumId="96">
    <w:nsid w:val="53B0A9E"/>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97">
    <w:nsid w:val="34FD6B4F"/>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98">
    <w:nsid w:val="5915FF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9">
    <w:nsid w:val="56438D15"/>
    <w:multiLevelType w:val="hybridMultilevel"/>
    <w:lvl w:ilvl="0">
      <w:lvlJc w:val="left"/>
      <w:lvlText w:val="(%1)"/>
      <w:numFmt w:val="lowerRoman"/>
      <w:start w:val="2"/>
    </w:lvl>
    <w:lvl w:ilvl="1">
      <w:lvlJc w:val="left"/>
      <w:lvlText w:val="-"/>
      <w:numFmt w:val="bullet"/>
      <w:start w:val="1"/>
    </w:lvl>
  </w:abstractNum>
  <w:abstractNum w:abstractNumId="100">
    <w:nsid w:val="519E3149"/>
    <w:multiLevelType w:val="hybridMultilevel"/>
    <w:lvl w:ilvl="0">
      <w:lvlJc w:val="left"/>
      <w:lvlText w:val="(%1)"/>
      <w:numFmt w:val="lowerRoman"/>
      <w:start w:val="3"/>
    </w:lvl>
    <w:lvl w:ilvl="1">
      <w:lvlJc w:val="left"/>
      <w:lvlText w:val="-"/>
      <w:numFmt w:val="bullet"/>
      <w:start w:val="1"/>
    </w:lvl>
  </w:abstractNum>
  <w:abstractNum w:abstractNumId="101">
    <w:nsid w:val="2C6E4AFD"/>
    <w:multiLevelType w:val="hybridMultilevel"/>
    <w:lvl w:ilvl="0">
      <w:lvlJc w:val="left"/>
      <w:lvlText w:val="(%1)"/>
      <w:numFmt w:val="lowerRoman"/>
      <w:start w:val="7"/>
    </w:lvl>
    <w:lvl w:ilvl="1">
      <w:lvlJc w:val="left"/>
      <w:lvlText w:val="-"/>
      <w:numFmt w:val="bullet"/>
      <w:start w:val="1"/>
    </w:lvl>
  </w:abstractNum>
  <w:abstractNum w:abstractNumId="102">
    <w:nsid w:val="17A1B582"/>
    <w:multiLevelType w:val="hybridMultilevel"/>
    <w:lvl w:ilvl="0">
      <w:lvlJc w:val="left"/>
      <w:lvlText w:val="(%1)"/>
      <w:numFmt w:val="lowerRoman"/>
      <w:start w:val="11"/>
    </w:lvl>
    <w:lvl w:ilvl="1">
      <w:lvlJc w:val="left"/>
      <w:lvlText w:val="-"/>
      <w:numFmt w:val="bullet"/>
      <w:start w:val="1"/>
    </w:lvl>
  </w:abstractNum>
  <w:abstractNum w:abstractNumId="103">
    <w:nsid w:val="4DF72E4E"/>
    <w:multiLevelType w:val="hybridMultilevel"/>
    <w:lvl w:ilvl="0">
      <w:lvlJc w:val="left"/>
      <w:lvlText w:val="(%1)"/>
      <w:numFmt w:val="lowerLetter"/>
      <w:start w:val="4"/>
    </w:lvl>
    <w:lvl w:ilvl="1">
      <w:lvlJc w:val="left"/>
      <w:lvlText w:val="-"/>
      <w:numFmt w:val="bullet"/>
      <w:start w:val="1"/>
    </w:lvl>
  </w:abstractNum>
  <w:abstractNum w:abstractNumId="104">
    <w:nsid w:val="5046B5A9"/>
    <w:multiLevelType w:val="hybridMultilevel"/>
    <w:lvl w:ilvl="0">
      <w:lvlJc w:val="left"/>
      <w:lvlText w:val="(%1)"/>
      <w:numFmt w:val="lowerLetter"/>
      <w:start w:val="5"/>
    </w:lvl>
    <w:lvl w:ilvl="1">
      <w:lvlJc w:val="left"/>
      <w:lvlText w:val="-"/>
      <w:numFmt w:val="bullet"/>
      <w:start w:val="1"/>
    </w:lvl>
  </w:abstractNum>
  <w:abstractNum w:abstractNumId="105">
    <w:nsid w:val="5D888A08"/>
    <w:multiLevelType w:val="hybridMultilevel"/>
    <w:lvl w:ilvl="0">
      <w:lvlJc w:val="left"/>
      <w:lvlText w:val="%1"/>
      <w:numFmt w:val="lowerLetter"/>
      <w:start w:val="1"/>
    </w:lvl>
    <w:lvl w:ilvl="1">
      <w:lvlJc w:val="left"/>
      <w:lvlText w:val="(%2)"/>
      <w:numFmt w:val="lowerLetter"/>
      <w:start w:val="7"/>
    </w:lvl>
    <w:lvl w:ilvl="2">
      <w:lvlJc w:val="left"/>
      <w:lvlText w:val="-"/>
      <w:numFmt w:val="bullet"/>
      <w:start w:val="1"/>
    </w:lvl>
  </w:abstractNum>
  <w:abstractNum w:abstractNumId="106">
    <w:nsid w:val="2A082C70"/>
    <w:multiLevelType w:val="hybridMultilevel"/>
    <w:lvl w:ilvl="0">
      <w:lvlJc w:val="left"/>
      <w:lvlText w:val="(%1)"/>
      <w:numFmt w:val="lowerLetter"/>
      <w:start w:val="35"/>
    </w:lvl>
    <w:lvl w:ilvl="1">
      <w:lvlJc w:val="left"/>
      <w:lvlText w:val="(%2)"/>
      <w:numFmt w:val="lowerLetter"/>
      <w:start w:val="8"/>
    </w:lvl>
    <w:lvl w:ilvl="2">
      <w:lvlJc w:val="left"/>
      <w:lvlText w:val="-"/>
      <w:numFmt w:val="bullet"/>
      <w:start w:val="1"/>
    </w:lvl>
  </w:abstractNum>
  <w:abstractNum w:abstractNumId="107">
    <w:nsid w:val="5EC6AFD4"/>
    <w:multiLevelType w:val="hybridMultilevel"/>
    <w:lvl w:ilvl="0">
      <w:lvlJc w:val="left"/>
      <w:lvlText w:val="(%1)"/>
      <w:numFmt w:val="lowerLetter"/>
      <w:start w:val="9"/>
    </w:lvl>
  </w:abstractNum>
  <w:abstractNum w:abstractNumId="108">
    <w:nsid w:val="19E21BB2"/>
    <w:multiLevelType w:val="hybridMultilevel"/>
    <w:lvl w:ilvl="0">
      <w:lvlJc w:val="left"/>
      <w:lvlText w:val="%1."/>
      <w:numFmt w:val="decimal"/>
      <w:start w:val="8"/>
    </w:lvl>
    <w:lvl w:ilvl="1">
      <w:lvlJc w:val="left"/>
      <w:lvlText w:val="-"/>
      <w:numFmt w:val="bullet"/>
      <w:start w:val="1"/>
    </w:lvl>
  </w:abstractNum>
  <w:abstractNum w:abstractNumId="109">
    <w:nsid w:val="75E0858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0">
    <w:nsid w:val="57A61A2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1">
    <w:nsid w:val="5399C654"/>
    <w:multiLevelType w:val="hybridMultilevel"/>
    <w:lvl w:ilvl="0">
      <w:lvlJc w:val="left"/>
      <w:lvlText w:val="(%1)"/>
      <w:numFmt w:val="lowerLetter"/>
      <w:start w:val="4"/>
    </w:lvl>
    <w:lvl w:ilvl="1">
      <w:lvlJc w:val="left"/>
      <w:lvlText w:val="-"/>
      <w:numFmt w:val="bullet"/>
      <w:start w:val="1"/>
    </w:lvl>
  </w:abstractNum>
  <w:abstractNum w:abstractNumId="112">
    <w:nsid w:val="20EE1348"/>
    <w:multiLevelType w:val="hybridMultilevel"/>
    <w:lvl w:ilvl="0">
      <w:lvlJc w:val="left"/>
      <w:lvlText w:val="(%1)"/>
      <w:numFmt w:val="lowerLetter"/>
      <w:start w:val="5"/>
    </w:lvl>
    <w:lvl w:ilvl="1">
      <w:lvlJc w:val="left"/>
      <w:lvlText w:val="-"/>
      <w:numFmt w:val="bullet"/>
      <w:start w:val="1"/>
    </w:lvl>
  </w:abstractNum>
  <w:abstractNum w:abstractNumId="113">
    <w:nsid w:val="4427069A"/>
    <w:multiLevelType w:val="hybridMultilevel"/>
    <w:lvl w:ilvl="0">
      <w:lvlJc w:val="left"/>
      <w:lvlText w:val="%1."/>
      <w:numFmt w:val="decimal"/>
      <w:start w:val="9"/>
    </w:lvl>
  </w:abstractNum>
  <w:abstractNum w:abstractNumId="114">
    <w:nsid w:val="B37E80A"/>
    <w:multiLevelType w:val="hybridMultilevel"/>
    <w:lvl w:ilvl="0">
      <w:lvlJc w:val="left"/>
      <w:lvlText w:val="(%1)"/>
      <w:numFmt w:val="lowerLetter"/>
      <w:start w:val="2"/>
    </w:lvl>
    <w:lvl w:ilvl="1">
      <w:lvlJc w:val="left"/>
      <w:lvlText w:val="-"/>
      <w:numFmt w:val="bullet"/>
      <w:start w:val="1"/>
    </w:lvl>
  </w:abstractNum>
  <w:abstractNum w:abstractNumId="115">
    <w:nsid w:val="2157F6B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16">
    <w:nsid w:val="704E1DD5"/>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17">
    <w:nsid w:val="57D2F10E"/>
    <w:multiLevelType w:val="hybridMultilevel"/>
    <w:lvl w:ilvl="0">
      <w:lvlJc w:val="left"/>
      <w:lvlText w:val="%1."/>
      <w:numFmt w:val="decimal"/>
      <w:start w:val="11"/>
    </w:lvl>
  </w:abstractNum>
  <w:abstractNum w:abstractNumId="118">
    <w:nsid w:val="BFFAE18"/>
    <w:multiLevelType w:val="hybridMultilevel"/>
    <w:lvl w:ilvl="0">
      <w:lvlJc w:val="left"/>
      <w:lvlText w:val="%1."/>
      <w:numFmt w:val="decimal"/>
      <w:start w:val="13"/>
    </w:lvl>
    <w:lvl w:ilvl="1">
      <w:lvlJc w:val="left"/>
      <w:lvlText w:val="-"/>
      <w:numFmt w:val="bullet"/>
      <w:start w:val="1"/>
    </w:lvl>
  </w:abstractNum>
  <w:abstractNum w:abstractNumId="119">
    <w:nsid w:val="E3E47A8"/>
    <w:multiLevelType w:val="hybridMultilevel"/>
    <w:lvl w:ilvl="0">
      <w:lvlJc w:val="left"/>
      <w:lvlText w:val="%1."/>
      <w:numFmt w:val="decimal"/>
      <w:start w:val="14"/>
    </w:lvl>
  </w:abstractNum>
  <w:abstractNum w:abstractNumId="120">
    <w:nsid w:val="2E48F044"/>
    <w:multiLevelType w:val="hybridMultilevel"/>
    <w:lvl w:ilvl="0">
      <w:lvlJc w:val="left"/>
      <w:lvlText w:val="(%1)"/>
      <w:numFmt w:val="lowerRoman"/>
      <w:start w:val="1"/>
    </w:lvl>
    <w:lvl w:ilvl="1">
      <w:lvlJc w:val="left"/>
      <w:lvlText w:val="-"/>
      <w:numFmt w:val="bullet"/>
      <w:start w:val="1"/>
    </w:lvl>
  </w:abstractNum>
  <w:abstractNum w:abstractNumId="121">
    <w:nsid w:val="49D0FEAC"/>
    <w:multiLevelType w:val="hybridMultilevel"/>
    <w:lvl w:ilvl="0">
      <w:lvlJc w:val="left"/>
      <w:lvlText w:val="(%1)"/>
      <w:numFmt w:val="lowerRoman"/>
      <w:start w:val="4"/>
    </w:lvl>
    <w:lvl w:ilvl="1">
      <w:lvlJc w:val="left"/>
      <w:lvlText w:val="-"/>
      <w:numFmt w:val="bullet"/>
      <w:start w:val="1"/>
    </w:lvl>
  </w:abstractNum>
  <w:abstractNum w:abstractNumId="122">
    <w:nsid w:val="4BEE5A5B"/>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23">
    <w:nsid w:val="5551B9F3"/>
    <w:multiLevelType w:val="hybridMultilevel"/>
    <w:lvl w:ilvl="0">
      <w:lvlJc w:val="left"/>
      <w:lvlText w:val="(%1)"/>
      <w:numFmt w:val="lowerRoman"/>
      <w:start w:val="2"/>
    </w:lvl>
    <w:lvl w:ilvl="1">
      <w:lvlJc w:val="left"/>
      <w:lvlText w:val="(%2)"/>
      <w:numFmt w:val="upperLetter"/>
      <w:start w:val="2"/>
    </w:lvl>
    <w:lvl w:ilvl="2">
      <w:lvlJc w:val="left"/>
      <w:lvlText w:val="-"/>
      <w:numFmt w:val="bullet"/>
      <w:start w:val="1"/>
    </w:lvl>
  </w:abstractNum>
  <w:abstractNum w:abstractNumId="124">
    <w:nsid w:val="24F6AB8E"/>
    <w:multiLevelType w:val="hybridMultilevel"/>
    <w:lvl w:ilvl="0">
      <w:lvlJc w:val="left"/>
      <w:lvlText w:val="(%1)"/>
      <w:numFmt w:val="upperLetter"/>
      <w:start w:val="4"/>
    </w:lvl>
    <w:lvl w:ilvl="1">
      <w:lvlJc w:val="left"/>
      <w:lvlText w:val="-"/>
      <w:numFmt w:val="bullet"/>
      <w:start w:val="1"/>
    </w:lvl>
  </w:abstractNum>
  <w:abstractNum w:abstractNumId="125">
    <w:nsid w:val="634C574C"/>
    <w:multiLevelType w:val="hybridMultilevel"/>
    <w:lvl w:ilvl="0">
      <w:lvlJc w:val="left"/>
      <w:lvlText w:val="(%1)"/>
      <w:numFmt w:val="lowerRoman"/>
      <w:start w:val="7"/>
    </w:lvl>
  </w:abstractNum>
  <w:abstractNum w:abstractNumId="126">
    <w:nsid w:val="24E99DD7"/>
    <w:multiLevelType w:val="hybridMultilevel"/>
    <w:lvl w:ilvl="0">
      <w:lvlJc w:val="left"/>
      <w:lvlText w:val="(%1)"/>
      <w:numFmt w:val="lowerRoman"/>
      <w:start w:val="2"/>
    </w:lvl>
  </w:abstractNum>
  <w:abstractNum w:abstractNumId="127">
    <w:nsid w:val="2A31B62D"/>
    <w:multiLevelType w:val="hybridMultilevel"/>
    <w:lvl w:ilvl="0">
      <w:lvlJc w:val="left"/>
      <w:lvlText w:val="%1."/>
      <w:numFmt w:val="decimal"/>
      <w:start w:val="1"/>
    </w:lvl>
  </w:abstractNum>
  <w:abstractNum w:abstractNumId="128">
    <w:nsid w:val="1849C29B"/>
    <w:multiLevelType w:val="hybridMultilevel"/>
    <w:lvl w:ilvl="0">
      <w:lvlJc w:val="left"/>
      <w:lvlText w:val="%1."/>
      <w:numFmt w:val="decimal"/>
      <w:start w:val="5"/>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2"/>
    </w:lvl>
  </w:abstractNum>
  <w:abstractNum w:abstractNumId="131">
    <w:nsid w:val="69E7F3E5"/>
    <w:multiLevelType w:val="hybridMultilevel"/>
    <w:lvl w:ilvl="0">
      <w:lvlJc w:val="left"/>
      <w:lvlText w:val="%1."/>
      <w:numFmt w:val="decimal"/>
      <w:start w:val="1"/>
    </w:lvl>
  </w:abstractNum>
  <w:abstractNum w:abstractNumId="132">
    <w:nsid w:val="2A6DE806"/>
    <w:multiLevelType w:val="hybridMultilevel"/>
    <w:lvl w:ilvl="0">
      <w:lvlJc w:val="left"/>
      <w:lvlText w:val="*"/>
      <w:numFmt w:val="bullet"/>
      <w:start w:val="1"/>
    </w:lvl>
    <w:lvl w:ilvl="1">
      <w:lvlJc w:val="left"/>
      <w:lvlText w:val="%2."/>
      <w:numFmt w:val="decimal"/>
      <w:start w:val="7"/>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1."/>
      <w:numFmt w:val="decimal"/>
      <w:start w:val="1"/>
    </w:lvl>
    <w:lvl w:ilvl="1">
      <w:lvlJc w:val="left"/>
      <w:lvlText w:val="(%2)"/>
      <w:numFmt w:val="lowerLetter"/>
      <w:start w:val="1"/>
    </w:lvl>
  </w:abstractNum>
  <w:abstractNum w:abstractNumId="136">
    <w:nsid w:val="759F82CD"/>
    <w:multiLevelType w:val="hybridMultilevel"/>
    <w:lvl w:ilvl="0">
      <w:lvlJc w:val="left"/>
      <w:lvlText w:val="%1."/>
      <w:numFmt w:val="decimal"/>
      <w:start w:val="3"/>
    </w:lvl>
  </w:abstractNum>
  <w:abstractNum w:abstractNumId="137">
    <w:nsid w:val="61E74EA3"/>
    <w:multiLevelType w:val="hybridMultilevel"/>
    <w:lvl w:ilvl="0">
      <w:lvlJc w:val="left"/>
      <w:lvlText w:val="-"/>
      <w:numFmt w:val="bullet"/>
      <w:start w:val="1"/>
    </w:lvl>
  </w:abstractNum>
  <w:abstractNum w:abstractNumId="138">
    <w:nsid w:val="597B4D84"/>
    <w:multiLevelType w:val="hybridMultilevel"/>
    <w:lvl w:ilvl="0">
      <w:lvlJc w:val="left"/>
      <w:lvlText w:val="%1."/>
      <w:numFmt w:val="decimal"/>
      <w:start w:val="4"/>
    </w:lvl>
  </w:abstractNum>
  <w:abstractNum w:abstractNumId="139">
    <w:nsid w:val="F819E7F"/>
    <w:multiLevelType w:val="hybridMultilevel"/>
    <w:lvl w:ilvl="0">
      <w:lvlJc w:val="left"/>
      <w:lvlText w:val="%1."/>
      <w:numFmt w:val="decimal"/>
      <w:start w:val="5"/>
    </w:lvl>
  </w:abstractNum>
  <w:abstractNum w:abstractNumId="140">
    <w:nsid w:val="57C7D42D"/>
    <w:multiLevelType w:val="hybridMultilevel"/>
    <w:lvl w:ilvl="0">
      <w:lvlJc w:val="left"/>
      <w:lvlText w:val="%1."/>
      <w:numFmt w:val="decimal"/>
      <w:start w:val="6"/>
    </w:lvl>
  </w:abstractNum>
  <w:abstractNum w:abstractNumId="141">
    <w:nsid w:val="312167AD"/>
    <w:multiLevelType w:val="hybridMultilevel"/>
    <w:lvl w:ilvl="0">
      <w:lvlJc w:val="left"/>
      <w:lvlText w:val="%1."/>
      <w:numFmt w:val="decimal"/>
      <w:start w:val="7"/>
    </w:lvl>
  </w:abstractNum>
  <w:abstractNum w:abstractNumId="142">
    <w:nsid w:val="631B64D4"/>
    <w:multiLevelType w:val="hybridMultilevel"/>
    <w:lvl w:ilvl="0">
      <w:lvlJc w:val="left"/>
      <w:lvlText w:val="%1."/>
      <w:numFmt w:val="decimal"/>
      <w:start w:val="8"/>
    </w:lvl>
  </w:abstractNum>
  <w:abstractNum w:abstractNumId="143">
    <w:nsid w:val="78B5E776"/>
    <w:multiLevelType w:val="hybridMultilevel"/>
    <w:lvl w:ilvl="0">
      <w:lvlJc w:val="left"/>
      <w:lvlText w:val="%1."/>
      <w:numFmt w:val="decimal"/>
      <w:start w:val="9"/>
    </w:lvl>
  </w:abstractNum>
  <w:abstractNum w:abstractNumId="144">
    <w:nsid w:val="75486E47"/>
    <w:multiLevelType w:val="hybridMultilevel"/>
    <w:lvl w:ilvl="0">
      <w:lvlJc w:val="left"/>
      <w:lvlText w:val="%1."/>
      <w:numFmt w:val="decimal"/>
      <w:start w:val="10"/>
    </w:lvl>
  </w:abstractNum>
  <w:abstractNum w:abstractNumId="145">
    <w:nsid w:val="6E534CDE"/>
    <w:multiLevelType w:val="hybridMultilevel"/>
    <w:lvl w:ilvl="0">
      <w:lvlJc w:val="left"/>
      <w:lvlText w:val="%1."/>
      <w:numFmt w:val="decimal"/>
      <w:start w:val="11"/>
    </w:lvl>
  </w:abstractNum>
  <w:abstractNum w:abstractNumId="146">
    <w:nsid w:val="1A0DDE32"/>
    <w:multiLevelType w:val="hybridMultilevel"/>
    <w:lvl w:ilvl="0">
      <w:lvlJc w:val="left"/>
      <w:lvlText w:val="%1."/>
      <w:numFmt w:val="decimal"/>
      <w:start w:val="12"/>
    </w:lvl>
  </w:abstractNum>
  <w:abstractNum w:abstractNumId="147">
    <w:nsid w:val="65968C1C"/>
    <w:multiLevelType w:val="hybridMultilevel"/>
    <w:lvl w:ilvl="0">
      <w:lvlJc w:val="left"/>
      <w:lvlText w:val="%1."/>
      <w:numFmt w:val="decimal"/>
      <w:start w:val="13"/>
    </w:lvl>
  </w:abstractNum>
  <w:abstractNum w:abstractNumId="148">
    <w:nsid w:val="46263DEC"/>
    <w:multiLevelType w:val="hybridMultilevel"/>
    <w:lvl w:ilvl="0">
      <w:lvlJc w:val="left"/>
      <w:lvlText w:val="%1."/>
      <w:numFmt w:val="decimal"/>
      <w:start w:val="14"/>
    </w:lvl>
  </w:abstractNum>
  <w:abstractNum w:abstractNumId="149">
    <w:nsid w:val="260D8C4A"/>
    <w:multiLevelType w:val="hybridMultilevel"/>
    <w:lvl w:ilvl="0">
      <w:lvlJc w:val="left"/>
      <w:lvlText w:val="%1."/>
      <w:numFmt w:val="decimal"/>
      <w:start w:val="15"/>
    </w:lvl>
    <w:lvl w:ilvl="1">
      <w:lvlJc w:val="left"/>
      <w:lvlText w:val="(%2)"/>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2019-12-13T00:46:25Z</dcterms:created>
  <dcterms:modified xsi:type="dcterms:W3CDTF">2019-12-13T00:46:25Z</dcterms:modified>
</cp:coreProperties>
</file>