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333-160009</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4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jc w:val="center"/>
              <w:ind w:left="528"/>
              <w:spacing w:after="0" w:line="149" w:lineRule="exact"/>
              <w:rPr>
                <w:sz w:val="20"/>
                <w:szCs w:val="20"/>
                <w:color w:val="auto"/>
              </w:rPr>
            </w:pPr>
            <w:r>
              <w:rPr>
                <w:rFonts w:ascii="Arial" w:cs="Arial" w:eastAsia="Arial" w:hAnsi="Arial"/>
                <w:sz w:val="14"/>
                <w:szCs w:val="14"/>
                <w:b w:val="1"/>
                <w:bCs w:val="1"/>
                <w:color w:val="auto"/>
                <w:w w:val="83"/>
              </w:rPr>
              <w:t>Proposed</w:t>
            </w:r>
          </w:p>
        </w:tc>
        <w:tc>
          <w:tcPr>
            <w:tcW w:w="1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Title of Each Class of</w:t>
            </w:r>
          </w:p>
        </w:tc>
        <w:tc>
          <w:tcPr>
            <w:tcW w:w="1620" w:type="dxa"/>
            <w:vAlign w:val="bottom"/>
            <w:tcBorders>
              <w:right w:val="single" w:sz="8" w:color="auto"/>
            </w:tcBorders>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Maximum</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jc w:val="center"/>
              <w:ind w:left="548"/>
              <w:spacing w:after="0" w:line="135" w:lineRule="exact"/>
              <w:rPr>
                <w:sz w:val="20"/>
                <w:szCs w:val="20"/>
                <w:color w:val="auto"/>
              </w:rPr>
            </w:pPr>
            <w:r>
              <w:rPr>
                <w:rFonts w:ascii="Arial" w:cs="Arial" w:eastAsia="Arial" w:hAnsi="Arial"/>
                <w:sz w:val="14"/>
                <w:szCs w:val="14"/>
                <w:b w:val="1"/>
                <w:bCs w:val="1"/>
                <w:color w:val="auto"/>
                <w:w w:val="86"/>
              </w:rPr>
              <w:t>Aggregate</w:t>
            </w:r>
          </w:p>
        </w:tc>
        <w:tc>
          <w:tcPr>
            <w:tcW w:w="1740" w:type="dxa"/>
            <w:vAlign w:val="bottom"/>
          </w:tcPr>
          <w:p>
            <w:pPr>
              <w:jc w:val="center"/>
              <w:ind w:left="566"/>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20" w:type="dxa"/>
            <w:vAlign w:val="bottom"/>
            <w:tcBorders>
              <w:bottom w:val="single" w:sz="8" w:color="auto"/>
              <w:right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0"/>
              </w:rPr>
              <w:t>Offering Price</w:t>
            </w:r>
          </w:p>
        </w:tc>
        <w:tc>
          <w:tcPr>
            <w:tcW w:w="1740" w:type="dxa"/>
            <w:vAlign w:val="bottom"/>
            <w:tcBorders>
              <w:bottom w:val="single" w:sz="8" w:color="auto"/>
            </w:tcBorders>
          </w:tcPr>
          <w:p>
            <w:pPr>
              <w:jc w:val="center"/>
              <w:ind w:left="566"/>
              <w:spacing w:after="0"/>
              <w:rPr>
                <w:sz w:val="20"/>
                <w:szCs w:val="20"/>
                <w:color w:val="auto"/>
              </w:rPr>
            </w:pPr>
            <w:r>
              <w:rPr>
                <w:rFonts w:ascii="Arial" w:cs="Arial" w:eastAsia="Arial" w:hAnsi="Arial"/>
                <w:sz w:val="14"/>
                <w:szCs w:val="14"/>
                <w:b w:val="1"/>
                <w:bCs w:val="1"/>
                <w:color w:val="auto"/>
                <w:w w:val="86"/>
              </w:rPr>
              <w:t>Registration Fee(1)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value(2)</w:t>
            </w:r>
          </w:p>
        </w:tc>
        <w:tc>
          <w:tcPr>
            <w:tcW w:w="1620" w:type="dxa"/>
            <w:vAlign w:val="bottom"/>
            <w:tcBorders>
              <w:bottom w:val="single" w:sz="8" w:color="auto"/>
              <w:right w:val="single" w:sz="8" w:color="auto"/>
            </w:tcBorders>
          </w:tcPr>
          <w:p>
            <w:pPr>
              <w:jc w:val="center"/>
              <w:ind w:left="548"/>
              <w:spacing w:after="0"/>
              <w:rPr>
                <w:sz w:val="20"/>
                <w:szCs w:val="20"/>
                <w:color w:val="auto"/>
              </w:rPr>
            </w:pPr>
            <w:r>
              <w:rPr>
                <w:rFonts w:ascii="Arial" w:cs="Arial" w:eastAsia="Arial" w:hAnsi="Arial"/>
                <w:sz w:val="18"/>
                <w:szCs w:val="18"/>
                <w:color w:val="auto"/>
                <w:w w:val="87"/>
              </w:rPr>
              <w:t>$300,000,000</w:t>
            </w:r>
          </w:p>
        </w:tc>
        <w:tc>
          <w:tcPr>
            <w:tcW w:w="1740" w:type="dxa"/>
            <w:vAlign w:val="bottom"/>
            <w:tcBorders>
              <w:bottom w:val="single" w:sz="8" w:color="auto"/>
            </w:tcBorders>
          </w:tcPr>
          <w:p>
            <w:pPr>
              <w:jc w:val="center"/>
              <w:ind w:left="566"/>
              <w:spacing w:after="0"/>
              <w:rPr>
                <w:sz w:val="20"/>
                <w:szCs w:val="20"/>
                <w:color w:val="auto"/>
              </w:rPr>
            </w:pPr>
            <w:r>
              <w:rPr>
                <w:rFonts w:ascii="Arial" w:cs="Arial" w:eastAsia="Arial" w:hAnsi="Arial"/>
                <w:sz w:val="18"/>
                <w:szCs w:val="18"/>
                <w:color w:val="auto"/>
                <w:w w:val="89"/>
              </w:rPr>
              <w:t>$34,830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4"/>
          <w:szCs w:val="24"/>
          <w:color w:val="auto"/>
        </w:rPr>
      </w:pPr>
    </w:p>
    <w:p>
      <w:pPr>
        <w:ind w:left="460" w:right="6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filing fee is calculated in accordance with Rule 457(o), based on the proposed maximum aggregate offering price, and Rule 457(r) under the Securities Act of 1933, as amended, and relates to the Registration Statement on Form S-3 (No. 333-160009) filed on June 16, 2009.</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 of beneficial interest of the registrant.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JUNE 16, 2009)</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entered into an equity distribution agreement with Wells Fargo Securities, LLC, or the Agent, relating to our common shares of beneficial interest, par value $.01 per share, offered by this prospectus supplement and the accompanying prospectus pursuant to a continuous offering program. In accordance with the terms of the equity distribution agreement, we may from time to time offer and sell common shares having an aggregate offering price of up to $300,000,000 through the Agent as our sales agent.</w:t>
      </w:r>
    </w:p>
    <w:p>
      <w:pPr>
        <w:spacing w:after="0" w:line="22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common shares are listed on the New York Stock Exchange under the symbol “FRT.” On February 22, 2011, the last reported sale price of our common shares on the NYSE was $81.51 per share.</w:t>
      </w:r>
    </w:p>
    <w:p>
      <w:pPr>
        <w:spacing w:after="0" w:line="2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Sales of our common shares, if any, under this prospectus supplement and the accompanying prospectus may be made in negotiated transactions or transactions that are deemed to be “at the market” offerings, including sales made directly on the NYSE or sales made to or through a market maker other than on an exchange. The Agent is not required to sell any specific number or dollar amount of common shares, but as instructed by us will make all sales using commercially reasonable efforts, as our sales agent and subject to the terms of the equity distribution agreement. The offering of common shares pursuant to the equity distribution agreement will terminate upon the earlier of (1) the sale of common shares having an aggregate offering price of $300,000,000 and (2) the termination of the equity distribution agreement.</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will pay the Agent a commission that will not exceed, but may be lower than, 2.0% of the gross sales price per share of common shares sold through it under the equity distribution agreement.</w:t>
      </w:r>
    </w:p>
    <w:p>
      <w:pPr>
        <w:spacing w:after="0" w:line="207" w:lineRule="exact"/>
        <w:rPr>
          <w:sz w:val="20"/>
          <w:szCs w:val="20"/>
          <w:color w:val="auto"/>
        </w:rPr>
      </w:pPr>
    </w:p>
    <w:p>
      <w:pPr>
        <w:ind w:right="20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shares involves risks. See “</w:t>
      </w:r>
      <w:hyperlink w:anchor="page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S-3 of this prospectus supplement, page 2 of the accompanying prospectus and in our Annual Report on Form 10-K for the year ended December 31, 2010, filed with the Securities and Exchange Commission on February 15, 2011.</w:t>
      </w:r>
    </w:p>
    <w:p>
      <w:pPr>
        <w:spacing w:after="0" w:line="21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supplement is February 24, 2011.</w:t>
      </w:r>
    </w:p>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2440" w:type="dxa"/>
            <w:vAlign w:val="bottom"/>
            <w:tcBorders>
              <w:bottom w:val="single" w:sz="8" w:color="0000EE"/>
            </w:tcBorders>
            <w:gridSpan w:val="7"/>
          </w:tcPr>
          <w:p>
            <w:pPr>
              <w:spacing w:after="0" w:line="171"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2460" w:type="dxa"/>
            <w:vAlign w:val="bottom"/>
            <w:gridSpan w:val="3"/>
          </w:tcPr>
          <w:p>
            <w:pPr>
              <w:spacing w:after="0"/>
              <w:rPr>
                <w:sz w:val="14"/>
                <w:szCs w:val="14"/>
                <w:color w:val="auto"/>
              </w:rPr>
            </w:pPr>
          </w:p>
        </w:tc>
        <w:tc>
          <w:tcPr>
            <w:tcW w:w="6060" w:type="dxa"/>
            <w:vAlign w:val="bottom"/>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r>
      <w:tr>
        <w:trPr>
          <w:trHeight w:val="196"/>
        </w:trPr>
        <w:tc>
          <w:tcPr>
            <w:tcW w:w="4900" w:type="dxa"/>
            <w:vAlign w:val="bottom"/>
            <w:gridSpan w:val="10"/>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Cautionary Statement Concerning Forward-Looking Statements</w:t>
              </w:r>
            </w:hyperlink>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r>
      <w:tr>
        <w:trPr>
          <w:trHeight w:val="196"/>
        </w:trPr>
        <w:tc>
          <w:tcPr>
            <w:tcW w:w="2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3"/>
          </w:tcPr>
          <w:p>
            <w:pPr>
              <w:spacing w:after="0"/>
              <w:rPr>
                <w:sz w:val="17"/>
                <w:szCs w:val="17"/>
                <w:color w:val="auto"/>
              </w:rPr>
            </w:pPr>
          </w:p>
        </w:tc>
        <w:tc>
          <w:tcPr>
            <w:tcW w:w="4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4000" w:type="dxa"/>
            <w:vAlign w:val="bottom"/>
            <w:gridSpan w:val="8"/>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r>
      <w:tr>
        <w:trPr>
          <w:trHeight w:val="196"/>
        </w:trPr>
        <w:tc>
          <w:tcPr>
            <w:tcW w:w="4900" w:type="dxa"/>
            <w:vAlign w:val="bottom"/>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41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Supplemental Material Federal Income Tax Considerations</w:t>
              </w:r>
            </w:hyperlink>
          </w:p>
        </w:tc>
        <w:tc>
          <w:tcPr>
            <w:tcW w:w="740" w:type="dxa"/>
            <w:vAlign w:val="bottom"/>
            <w:gridSpan w:val="2"/>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r>
      <w:tr>
        <w:trPr>
          <w:trHeight w:val="196"/>
        </w:trPr>
        <w:tc>
          <w:tcPr>
            <w:tcW w:w="4900" w:type="dxa"/>
            <w:vAlign w:val="bottom"/>
            <w:gridSpan w:val="1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 xml:space="preserve">Plan of Distribution </w:t>
              </w:r>
            </w:hyperlink>
            <w:r>
              <w:rPr>
                <w:rFonts w:ascii="Arial" w:cs="Arial" w:eastAsia="Arial" w:hAnsi="Arial"/>
                <w:sz w:val="18"/>
                <w:szCs w:val="18"/>
                <w:color w:val="000000"/>
              </w:rPr>
              <w:t>(Conflicts</w:t>
            </w:r>
            <w:r>
              <w:rPr>
                <w:rFonts w:ascii="Arial" w:cs="Arial" w:eastAsia="Arial" w:hAnsi="Arial"/>
                <w:sz w:val="18"/>
                <w:szCs w:val="18"/>
                <w:color w:val="0000EE"/>
              </w:rPr>
              <w:t xml:space="preserve"> </w:t>
            </w:r>
            <w:r>
              <w:rPr>
                <w:rFonts w:ascii="Arial" w:cs="Arial" w:eastAsia="Arial" w:hAnsi="Arial"/>
                <w:sz w:val="18"/>
                <w:szCs w:val="18"/>
                <w:color w:val="000000"/>
              </w:rPr>
              <w:t>of Interest)</w:t>
            </w: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3500" w:type="dxa"/>
            <w:vAlign w:val="bottom"/>
            <w:gridSpan w:val="5"/>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4900" w:type="dxa"/>
            <w:vAlign w:val="bottom"/>
            <w:gridSpan w:val="1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60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3"/>
          </w:tcPr>
          <w:p>
            <w:pPr>
              <w:jc w:val="right"/>
              <w:ind w:right="5220"/>
              <w:spacing w:after="0"/>
              <w:rPr>
                <w:sz w:val="20"/>
                <w:szCs w:val="20"/>
                <w:color w:val="auto"/>
              </w:rPr>
            </w:pPr>
            <w:r>
              <w:rPr>
                <w:rFonts w:ascii="Arial" w:cs="Arial" w:eastAsia="Arial" w:hAnsi="Arial"/>
                <w:sz w:val="18"/>
                <w:szCs w:val="18"/>
                <w:b w:val="1"/>
                <w:bCs w:val="1"/>
                <w:color w:val="auto"/>
              </w:rPr>
              <w:t>Prospectus</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10960" w:type="dxa"/>
            <w:vAlign w:val="bottom"/>
            <w:gridSpan w:val="12"/>
          </w:tcPr>
          <w:p>
            <w:pPr>
              <w:spacing w:after="0" w:line="171" w:lineRule="exact"/>
              <w:rPr>
                <w:rFonts w:ascii="Arial" w:cs="Arial" w:eastAsia="Arial" w:hAnsi="Arial"/>
                <w:sz w:val="18"/>
                <w:szCs w:val="18"/>
                <w:color w:val="0000EE"/>
              </w:rPr>
            </w:pPr>
            <w:hyperlink w:anchor="page15">
              <w:r>
                <w:rPr>
                  <w:rFonts w:ascii="Arial" w:cs="Arial" w:eastAsia="Arial" w:hAnsi="Arial"/>
                  <w:sz w:val="18"/>
                  <w:szCs w:val="18"/>
                  <w:color w:val="0000EE"/>
                </w:rPr>
                <w:t>About this Prospectus</w:t>
              </w:r>
            </w:hyperlink>
          </w:p>
        </w:tc>
        <w:tc>
          <w:tcPr>
            <w:tcW w:w="360" w:type="dxa"/>
            <w:vAlign w:val="bottom"/>
          </w:tcPr>
          <w:p>
            <w:pPr>
              <w:jc w:val="right"/>
              <w:spacing w:after="0" w:line="171"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42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Forward-Looking Information</w:t>
              </w:r>
            </w:hyperlink>
          </w:p>
        </w:tc>
        <w:tc>
          <w:tcPr>
            <w:tcW w:w="88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096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Company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1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Ratios of Earnings to Combined Fixed Charges and Preferred Share Dividends</w:t>
              </w:r>
            </w:hyperlink>
          </w:p>
        </w:tc>
        <w:tc>
          <w:tcPr>
            <w:tcW w:w="54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Description of Debt Securities</w:t>
              </w:r>
            </w:hyperlink>
          </w:p>
        </w:tc>
        <w:tc>
          <w:tcPr>
            <w:tcW w:w="88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Shares of Beneficial Interest</w:t>
              </w:r>
            </w:hyperlink>
          </w:p>
        </w:tc>
        <w:tc>
          <w:tcPr>
            <w:tcW w:w="79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960" w:type="dxa"/>
            <w:vAlign w:val="bottom"/>
            <w:gridSpan w:val="1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Material Federal Income Tax Considerations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Plan of Distribution</w:t>
              </w:r>
            </w:hyperlink>
          </w:p>
        </w:tc>
        <w:tc>
          <w:tcPr>
            <w:tcW w:w="78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956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Experts</w:t>
              </w:r>
            </w:hyperlink>
          </w:p>
        </w:tc>
        <w:tc>
          <w:tcPr>
            <w:tcW w:w="99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1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Where You Can Find More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5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Securities and Exchange Commission, or the SEC. We have not, nor has the Agent, authorized any other person to provide you with additional or different information. If anyone provides you with additional or different information, you should not rely on it. We are not, nor is the Agent, making an offer to sell the common shares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or incorporated by reference in this prospectus supplement and the accompanying prospectus describe forward-looking information. The risk factors contained in our Annual Report on Form 10-K for the year ended December 31, 2010, filed with the Securities and Exchange Commission, or the SEC, on February 15, 2011,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or future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62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29629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Federal Realty Investment Trust is an equity real estate investment trust, or REIT,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December 31, 2010, we owned or had a majority interest in community and neighborhood shopping centers and mixed-use properties which are operated as 85 predominantly retail real estate projects comprising approximately 18.3 million square feet. In total, the real estate properties were 93.9% leased and 93.2% occupied at December 31, 2010. A joint venture in which we own a 30% interest owned seven retail real estate projects totaling approximately 1.0 million square feet as of December 31, 2010. In total, the joint venture properties in which we own an interest were 91.0% leased and 90.4% occupied at December 31, 2010. We have paid quarterly dividends to our shareholders continuously since our founding in 1962 and have increased our dividends per common share for 43 consecutive years.</w:t>
      </w:r>
    </w:p>
    <w:p>
      <w:pPr>
        <w:spacing w:after="0" w:line="37"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20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520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For a more complete description of the terms of the common shares being offered by this prospectus supplement and the accompanying prospectus, see “Description of Shares of Beneficial Interest” in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ind w:left="200"/>
              <w:spacing w:after="0"/>
              <w:rPr>
                <w:sz w:val="20"/>
                <w:szCs w:val="20"/>
                <w:color w:val="auto"/>
              </w:rPr>
            </w:pPr>
            <w:r>
              <w:rPr>
                <w:rFonts w:ascii="Arial" w:cs="Arial" w:eastAsia="Arial" w:hAnsi="Arial"/>
                <w:sz w:val="18"/>
                <w:szCs w:val="18"/>
                <w:color w:val="auto"/>
              </w:rPr>
              <w:t>Common shares offered</w:t>
            </w:r>
          </w:p>
        </w:tc>
        <w:tc>
          <w:tcPr>
            <w:tcW w:w="7420" w:type="dxa"/>
            <w:vAlign w:val="bottom"/>
          </w:tcPr>
          <w:p>
            <w:pPr>
              <w:ind w:left="460"/>
              <w:spacing w:after="0"/>
              <w:rPr>
                <w:sz w:val="20"/>
                <w:szCs w:val="20"/>
                <w:color w:val="auto"/>
              </w:rPr>
            </w:pPr>
            <w:r>
              <w:rPr>
                <w:rFonts w:ascii="Arial" w:cs="Arial" w:eastAsia="Arial" w:hAnsi="Arial"/>
                <w:sz w:val="18"/>
                <w:szCs w:val="18"/>
                <w:color w:val="auto"/>
              </w:rPr>
              <w:t>Common shares with an aggregate offering price of up to $300,000,000.</w:t>
            </w:r>
          </w:p>
        </w:tc>
      </w:tr>
      <w:tr>
        <w:trPr>
          <w:trHeight w:val="311"/>
        </w:trPr>
        <w:tc>
          <w:tcPr>
            <w:tcW w:w="4040" w:type="dxa"/>
            <w:vAlign w:val="bottom"/>
          </w:tcPr>
          <w:p>
            <w:pPr>
              <w:ind w:left="200"/>
              <w:spacing w:after="0"/>
              <w:rPr>
                <w:sz w:val="20"/>
                <w:szCs w:val="20"/>
                <w:color w:val="auto"/>
              </w:rPr>
            </w:pPr>
            <w:r>
              <w:rPr>
                <w:rFonts w:ascii="Arial" w:cs="Arial" w:eastAsia="Arial" w:hAnsi="Arial"/>
                <w:sz w:val="18"/>
                <w:szCs w:val="18"/>
                <w:color w:val="auto"/>
              </w:rPr>
              <w:t>New York Stock Exchange symbol</w:t>
            </w:r>
          </w:p>
        </w:tc>
        <w:tc>
          <w:tcPr>
            <w:tcW w:w="7420" w:type="dxa"/>
            <w:vAlign w:val="bottom"/>
          </w:tcPr>
          <w:p>
            <w:pPr>
              <w:ind w:left="460"/>
              <w:spacing w:after="0"/>
              <w:rPr>
                <w:sz w:val="20"/>
                <w:szCs w:val="20"/>
                <w:color w:val="auto"/>
              </w:rPr>
            </w:pPr>
            <w:r>
              <w:rPr>
                <w:rFonts w:ascii="Arial" w:cs="Arial" w:eastAsia="Arial" w:hAnsi="Arial"/>
                <w:sz w:val="18"/>
                <w:szCs w:val="18"/>
                <w:color w:val="auto"/>
              </w:rPr>
              <w:t>FRT</w:t>
            </w:r>
          </w:p>
        </w:tc>
      </w:tr>
      <w:tr>
        <w:trPr>
          <w:trHeight w:val="304"/>
        </w:trPr>
        <w:tc>
          <w:tcPr>
            <w:tcW w:w="404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420" w:type="dxa"/>
            <w:vAlign w:val="bottom"/>
          </w:tcPr>
          <w:p>
            <w:pPr>
              <w:ind w:left="460"/>
              <w:spacing w:after="0"/>
              <w:rPr>
                <w:sz w:val="20"/>
                <w:szCs w:val="20"/>
                <w:color w:val="auto"/>
              </w:rPr>
            </w:pPr>
            <w:r>
              <w:rPr>
                <w:rFonts w:ascii="Arial" w:cs="Arial" w:eastAsia="Arial" w:hAnsi="Arial"/>
                <w:sz w:val="18"/>
                <w:szCs w:val="18"/>
                <w:color w:val="auto"/>
                <w:w w:val="92"/>
              </w:rPr>
              <w:t>We intend to use the net proceeds from this offering for general corporate purposes. See “Use</w:t>
            </w:r>
          </w:p>
        </w:tc>
      </w:tr>
      <w:tr>
        <w:trPr>
          <w:trHeight w:val="222"/>
        </w:trPr>
        <w:tc>
          <w:tcPr>
            <w:tcW w:w="404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of Proceeds” on page S-3 for more information.</w:t>
            </w:r>
          </w:p>
        </w:tc>
      </w:tr>
      <w:tr>
        <w:trPr>
          <w:trHeight w:val="291"/>
        </w:trPr>
        <w:tc>
          <w:tcPr>
            <w:tcW w:w="4040" w:type="dxa"/>
            <w:vAlign w:val="bottom"/>
          </w:tcPr>
          <w:p>
            <w:pPr>
              <w:ind w:left="200"/>
              <w:spacing w:after="0"/>
              <w:rPr>
                <w:sz w:val="20"/>
                <w:szCs w:val="20"/>
                <w:color w:val="auto"/>
              </w:rPr>
            </w:pPr>
            <w:r>
              <w:rPr>
                <w:rFonts w:ascii="Arial" w:cs="Arial" w:eastAsia="Arial" w:hAnsi="Arial"/>
                <w:sz w:val="18"/>
                <w:szCs w:val="18"/>
                <w:color w:val="auto"/>
              </w:rPr>
              <w:t>Material U.S. federal income tax considerations</w:t>
            </w:r>
          </w:p>
        </w:tc>
        <w:tc>
          <w:tcPr>
            <w:tcW w:w="7420" w:type="dxa"/>
            <w:vAlign w:val="bottom"/>
          </w:tcPr>
          <w:p>
            <w:pPr>
              <w:ind w:left="460"/>
              <w:spacing w:after="0"/>
              <w:rPr>
                <w:sz w:val="20"/>
                <w:szCs w:val="20"/>
                <w:color w:val="auto"/>
              </w:rPr>
            </w:pPr>
            <w:r>
              <w:rPr>
                <w:rFonts w:ascii="Arial" w:cs="Arial" w:eastAsia="Arial" w:hAnsi="Arial"/>
                <w:sz w:val="18"/>
                <w:szCs w:val="18"/>
                <w:color w:val="auto"/>
                <w:w w:val="95"/>
              </w:rPr>
              <w:t>For a description of material U.S. federal income tax considerations of an investment in our</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common shares, please review the disclosure in this prospectus supplement under</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w w:val="91"/>
              </w:rPr>
              <w:t>“Supplemental Material Federal Income Tax Considerations” and the accompanying prospectus</w:t>
            </w:r>
          </w:p>
        </w:tc>
      </w:tr>
      <w:tr>
        <w:trPr>
          <w:trHeight w:val="222"/>
        </w:trPr>
        <w:tc>
          <w:tcPr>
            <w:tcW w:w="404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under “Material Federal Income Tax Considerations.”</w:t>
            </w:r>
          </w:p>
        </w:tc>
      </w:tr>
      <w:tr>
        <w:trPr>
          <w:trHeight w:val="291"/>
        </w:trPr>
        <w:tc>
          <w:tcPr>
            <w:tcW w:w="40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7420" w:type="dxa"/>
            <w:vAlign w:val="bottom"/>
          </w:tcPr>
          <w:p>
            <w:pPr>
              <w:ind w:left="460"/>
              <w:spacing w:after="0"/>
              <w:rPr>
                <w:sz w:val="20"/>
                <w:szCs w:val="20"/>
                <w:color w:val="auto"/>
              </w:rPr>
            </w:pPr>
            <w:r>
              <w:rPr>
                <w:rFonts w:ascii="Arial" w:cs="Arial" w:eastAsia="Arial" w:hAnsi="Arial"/>
                <w:sz w:val="18"/>
                <w:szCs w:val="18"/>
                <w:color w:val="auto"/>
                <w:w w:val="99"/>
              </w:rPr>
              <w:t>Investing in our common shares involves risks. Please review the risk factors discussed</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w w:val="91"/>
              </w:rPr>
              <w:t>beginning on page S-3 of this prospectus supplement, page 2 of the accompanying prospectus</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w w:val="93"/>
              </w:rPr>
              <w:t>and in our Annual Report on Form 10-K for the year ended December 31, 2010, filed with the</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w w:val="91"/>
              </w:rPr>
              <w:t>SEC on February 15, 2011, and the other information contained or incorporated by reference in</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w w:val="93"/>
              </w:rPr>
              <w:t>this prospectus supplement and the accompanying prospectus for a discussion of factors you</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w w:val="92"/>
              </w:rPr>
              <w:t>should consider before deciding to invest in our common shares. You may obtain a copy of our</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w w:val="99"/>
              </w:rPr>
              <w:t>Annual Report on Form 10-K and the other documents incorporated by reference in this</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prospectus supplement and the accompanying prospectus by following the procedures</w:t>
            </w:r>
          </w:p>
        </w:tc>
      </w:tr>
      <w:tr>
        <w:trPr>
          <w:trHeight w:val="216"/>
        </w:trPr>
        <w:tc>
          <w:tcPr>
            <w:tcW w:w="4040" w:type="dxa"/>
            <w:vAlign w:val="bottom"/>
          </w:tcPr>
          <w:p>
            <w:pPr>
              <w:spacing w:after="0"/>
              <w:rPr>
                <w:sz w:val="18"/>
                <w:szCs w:val="18"/>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w w:val="96"/>
              </w:rPr>
              <w:t>described under “Where You Can Find More Information” on page 55 of the accompanying</w:t>
            </w:r>
          </w:p>
        </w:tc>
      </w:tr>
      <w:tr>
        <w:trPr>
          <w:trHeight w:val="222"/>
        </w:trPr>
        <w:tc>
          <w:tcPr>
            <w:tcW w:w="4040" w:type="dxa"/>
            <w:vAlign w:val="bottom"/>
          </w:tcPr>
          <w:p>
            <w:pPr>
              <w:spacing w:after="0"/>
              <w:rPr>
                <w:sz w:val="19"/>
                <w:szCs w:val="19"/>
                <w:color w:val="auto"/>
              </w:rPr>
            </w:pPr>
          </w:p>
        </w:tc>
        <w:tc>
          <w:tcPr>
            <w:tcW w:w="7420" w:type="dxa"/>
            <w:vAlign w:val="bottom"/>
          </w:tcPr>
          <w:p>
            <w:pPr>
              <w:ind w:left="460"/>
              <w:spacing w:after="0"/>
              <w:rPr>
                <w:sz w:val="20"/>
                <w:szCs w:val="20"/>
                <w:color w:val="auto"/>
              </w:rPr>
            </w:pPr>
            <w:r>
              <w:rPr>
                <w:rFonts w:ascii="Arial" w:cs="Arial" w:eastAsia="Arial" w:hAnsi="Arial"/>
                <w:sz w:val="18"/>
                <w:szCs w:val="18"/>
                <w:color w:val="auto"/>
              </w:rPr>
              <w:t>prospectus.</w:t>
            </w:r>
          </w:p>
        </w:tc>
      </w:tr>
      <w:tr>
        <w:trPr>
          <w:trHeight w:val="161"/>
        </w:trPr>
        <w:tc>
          <w:tcPr>
            <w:tcW w:w="4040" w:type="dxa"/>
            <w:vAlign w:val="bottom"/>
            <w:tcBorders>
              <w:bottom w:val="single" w:sz="8" w:color="auto"/>
            </w:tcBorders>
          </w:tcPr>
          <w:p>
            <w:pPr>
              <w:spacing w:after="0"/>
              <w:rPr>
                <w:sz w:val="13"/>
                <w:szCs w:val="13"/>
                <w:color w:val="auto"/>
              </w:rPr>
            </w:pPr>
          </w:p>
        </w:tc>
        <w:tc>
          <w:tcPr>
            <w:tcW w:w="7420" w:type="dxa"/>
            <w:vAlign w:val="bottom"/>
            <w:tcBorders>
              <w:bottom w:val="single" w:sz="8" w:color="auto"/>
            </w:tcBorders>
          </w:tcPr>
          <w:p>
            <w:pPr>
              <w:spacing w:after="0"/>
              <w:rPr>
                <w:sz w:val="13"/>
                <w:szCs w:val="13"/>
                <w:color w:val="auto"/>
              </w:rPr>
            </w:pPr>
          </w:p>
        </w:tc>
      </w:tr>
      <w:tr>
        <w:trPr>
          <w:trHeight w:val="359"/>
        </w:trPr>
        <w:tc>
          <w:tcPr>
            <w:tcW w:w="4040" w:type="dxa"/>
            <w:vAlign w:val="bottom"/>
          </w:tcPr>
          <w:p>
            <w:pPr>
              <w:spacing w:after="0"/>
              <w:rPr>
                <w:sz w:val="24"/>
                <w:szCs w:val="24"/>
                <w:color w:val="auto"/>
              </w:rPr>
            </w:pPr>
          </w:p>
        </w:tc>
        <w:tc>
          <w:tcPr>
            <w:tcW w:w="7420" w:type="dxa"/>
            <w:vAlign w:val="bottom"/>
          </w:tcPr>
          <w:p>
            <w:pPr>
              <w:ind w:left="15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shares involves a significant degree of risk. Before you decide to purchase our common shares, you should carefully consider the following risk factors, together with all of the other information contained or incorporated by reference in this prospectus supplement, including the additional risk factors beginning on page 2 of the accompanying prospectus and in our Annual Report on Form 10-K for the year ended December 31, 2010, filed with the SEC on February 15, 2011. The risks and uncertainties described in the risk factors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2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You may experience significant dilution as a result of this offering and additional issuances of our securities, which could harm the market price of our common shares</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through the Agent, based on market conditions and other factors that may be beyond our control.</w:t>
      </w:r>
    </w:p>
    <w:p>
      <w:pPr>
        <w:spacing w:after="0" w:line="6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This offering may have a dilutive effect on our earnings per share and funds from operations per share after giving effect to the issuance of our common shares in this offering and the receipt of the expected net proceeds. The actual amount of dilution from this offering,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or otherwise, or as a result of the perception or expectation that such sales could occur.</w:t>
      </w:r>
    </w:p>
    <w:p>
      <w:pPr>
        <w:spacing w:after="0" w:line="1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2010, we had approximately $1.8 billion of debt outstanding and 399,896 shares of our 5.417% Series 1 Cumulative Convertible Preferred Shares, or the Series 1 Preferred Shares, were issued and outstanding. Holders of our debt and preferred shares have liquidation rights and other rights that are senior to our common shares. Upon any voluntary or involuntary liquidation, dissolution or winding up, payment will be made to holders of our debt and preferred shares, including our Series 1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intend to use the net proceeds from this offering to fund potential acquisition opportunities, fund our redevelopment pipeline, repay amounts outstanding under our revolving credit facility, and/or for general corporate purposes. Our revolving credit facility bears interest at LIBOR plus 42.5 basis points and matures on July 27, 2011. An affiliate of the Agent is a lender under our revolving credit facility and will receive a pro rata portion of any proceeds used to repay amounts outstanding under the revolving credit facility.</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SUPPLEMENTAL MATERIAL FEDERAL INCOME TAX CONSIDERATIONS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a discussion of the taxation of us and the tax considerations relevant to shareholders generally, see “Material Federal Income Tax Considerations” beginning on page 36 of the accompanying prospectus. The following sections summarize the supplemental material U.S. federal income tax considerations that you may consider relevant relating to the acquisition, ownership and disposition of our common shares and should be read in conjunction with the accompanying prospectus.</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Because this section is a summary, it does not address all of the tax issues that may be important to you. For example, this discussion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or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in the accompanying prospectus), controlled foreign corporations, passive foreign investment companies, persons that acquire their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in the accompanying prospectus). In addition, this discussion is general in nature and is not exhaustive of all possible tax considerations, nor does it address any aspect of state, local or foreign taxation or any U.S. federal tax (e.g., estate or gift tax) other than the income tax.</w:t>
      </w:r>
    </w:p>
    <w:p>
      <w:pPr>
        <w:spacing w:after="0" w:line="3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promulgated thereunder and judicial and administrative rulings now in effect, all of which are subject to change or differing interpretations, possibly with retroactive effect.</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URGE YOU TO CONSULT YOUR OWN TAX ADVISOR REGARDING THE SPECIFIC FEDERAL, STATE, LOCAL, FOREIGN AND OTHER TAX CONSEQUENCES TO YOU OF PURCHASING, OWNING AND DISPOSING OF OUR COMMON SHARES, OUR ELECTION TO BE TAXED AS A REIT AND THE EFFECT OF POTENTIAL CHANGES IN APPLICABLE TAX LAWS.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 Legislation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taxable years beginning after December 31, 2012, certain taxable U.S. shareholders who are individuals, estates or trusts will be subject to a 3.8% tax on all or a portion of their “net investment income,” which may include all or a portion of their dividends on our common shares and net gains from the disposition of our common shares. Taxable U.S. shareholders that are individuals, estates or trusts should consult their tax advisors regarding the applicability of the Medicare tax to any of their income or gains in respect of our common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and Withholding on Foreign Financial Accounts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18, 2010, the President signed the Hiring Incentives to Restore Employment Act into law. Effective for payments made after December 31, 2012, this law imposes a 30% U.S. federal withholding tax on distributions and the gross proceeds of sale in respect of our common shares to a foreign financial institution or non-financial foreign entity,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account holders that are foreign entities with U.S. owners) and to withhold on certain payments and (ii) in the case of a non-financial foreign entity, such entity provides the withholding agent with a certification identifying the direct and indirect U.S. owners of the entity. Under certain circumstances, a non-U.S. shareholder might be eligible for refunds or credits of such taxes. Prospective investors should consult with their own tax advisors regarding the possible implications of this recently enacted legislation on the ownership and disposition of our common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of Reduced Tax Rates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17, 2010, the Tax Relief, Unemployment Insurance Reauthorization, and Job Creation Act of 2010, or the “Job Creation Act,” was enacted. Among other things, the Job Creation Act extended until December 31, 2012 certain reduced tax rates that had been scheduled to expire after December 31, 2010, including the reduced 15% maximum rate of tax on capital gains, the reduced 35% maximum rate of tax on ordinary income, and the application of the capital gains tax rate to certain “qualified dividend income” discussed in the accompanying prospectus.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 (CONFLICTS OF INTEREST)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an equity distribution agreement, dated as of February 24, 2011, with the Agent under which we may offer and sell common shares having an aggregate offering price of up to $300,000,000 from time to time. Sales of our common shares, if any, under this prospectus supplement and the accompanying prospectus may be made in negotiated transactions or transactions that are deemed to be “at the market” offerings, including sales made directly on the NYSE or sales made to or through a market maker other than on an exchange. As our sales agent, the Agent will not engage in any transactions that stabilize the price of our common shares.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its acceptance of written instructions from us, the Agent will use its commercially reasonable efforts, consistent with its sales and trading practices, to solicit offers to purchase our common shares under the terms and subject to the conditions set forth in the equity distribution agreement. We will instruct the Agent as to the amount of common shares to be sold by it. We may instruct the Agent not to sell common shares if the sales cannot be effected at or above the price designated by us in any instruction. We or the Agent may suspend the offering of common shares upon proper notice and subject to other conditions.</w:t>
      </w:r>
    </w:p>
    <w:p>
      <w:pPr>
        <w:spacing w:after="0" w:line="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Agent will provide written confirmation to us no later than the opening of the New York Stock Exchange, or the NYSE, on the trading day following the trading day in which common shares were sold under the equity distribution agreement. Each confirmation will include the number of common shares sold on the preceding day, the net proceeds to us and the compensation payable by us to the Agent in connection with the sales.</w:t>
      </w:r>
    </w:p>
    <w:p>
      <w:pPr>
        <w:spacing w:after="0" w:line="2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will pay the Agent commissions for its services in acting as sales agent and/or principal in the sale of common shares. The Agent will be entitled to compensation that will not exceed, but may be lower than, 2.0% of the gross sales price of all common shares sold through it under the equity distribution agreement. We estimate that the total expenses for the offering, excluding compensation payable to the Agent under the terms of the equity distribution agreement, will be approximately $150,000. In connection with the sale of common shares on our behalf, the Agent may be deemed to be an “underwriter” within the meaning of the Act, and the compensation paid to the Agent may be deemed to be underwriting commissions and discounts.</w:t>
      </w:r>
    </w:p>
    <w:p>
      <w:pPr>
        <w:spacing w:after="0" w:line="3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Settlement of sales of common shares will occur on the third business day following the date on which any sales are made, or on some other date that is agreed upon by us and the Agent in connection with a particular transaction, in return for payment of the net proceeds to us. There is no arrangement for funds to be received in an escrow, trust or similar arrangement.</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report at least quarterly the number of common shares sold through the Agent under the equity distribution agreement, the net proceeds to us and the compensation paid by us to the Agent in connection with the sales of common shares.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Agent has determined that our common shares are “actively-traded securities” excepted from the requirements of Rule 101 of Regulation M under the Exchange Act by Rule 101(c)(1) under that Act. If the Agent has, or we have, reason to believe that the exemptive provisions set forth in Rule 101(c)(1) of Regulation M under the Exchange Act are not satisfied, that party will promptly notify the other and sales of common shares under the equity distribution agreement will be suspended until that or other exemptive provisions have been satisfied in the judgment of the Agent and us.</w:t>
      </w:r>
    </w:p>
    <w:p>
      <w:pPr>
        <w:spacing w:after="0" w:line="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offering of common shares pursuant to the equity distribution agreement will terminate upon the earlier of (1) the sale of common shares having an aggregate offering price of $300,000,000 pursuant to this offering and (2) the termination of the equity distribution agreement. The equity distribution agreement may be terminated by the Agent or us at any time upon three days’ notice, and by the Agent at any time in certain circumstances, including our failure to maintain a listing of our common shares on the NYSE or the occurrence of a material adverse change in our company.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 of Interest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described in “Use of Proceeds,” some of the net proceeds of this offering may be used to repay amounts outstanding under our revolving credit facility. An affiliate of the Agent is a lender under our revolving credit facility. Because an affiliate of the Agent is a lender under our credit facility, the Agent or its affiliate may receive more than 5% of the proceeds of this offering.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40" w:firstLine="456"/>
        <w:spacing w:after="0" w:line="357" w:lineRule="auto"/>
        <w:rPr>
          <w:sz w:val="20"/>
          <w:szCs w:val="20"/>
          <w:color w:val="auto"/>
        </w:rPr>
      </w:pPr>
      <w:r>
        <w:rPr>
          <w:rFonts w:ascii="Arial" w:cs="Arial" w:eastAsia="Arial" w:hAnsi="Arial"/>
          <w:sz w:val="15"/>
          <w:szCs w:val="15"/>
          <w:color w:val="auto"/>
        </w:rPr>
        <w:t>The Agent and its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ind w:right="180" w:firstLine="456"/>
        <w:spacing w:after="0" w:line="294" w:lineRule="auto"/>
        <w:rPr>
          <w:sz w:val="20"/>
          <w:szCs w:val="20"/>
          <w:color w:val="auto"/>
        </w:rPr>
      </w:pPr>
      <w:r>
        <w:rPr>
          <w:rFonts w:ascii="Arial" w:cs="Arial" w:eastAsia="Arial" w:hAnsi="Arial"/>
          <w:sz w:val="16"/>
          <w:szCs w:val="16"/>
          <w:color w:val="auto"/>
        </w:rPr>
        <w:t>In addition, in the ordinary course of its business activities, the Agent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NYSE under the symbol “FRT.”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agreed to indemnify the Agent against certain liabilities, including liabilities under the Act, or to contribute to payments the Agent may be required to make because of any of those liabilities.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consolidated financial statements incorporated by reference in this prospectus supplement and elsewhere in the registration statement have been so incorporated by reference in reliance upon the reports of Grant Thornton LLP, an independent registered public accounting firm, upon the authority of said firm as experts in accounting and auditing in giving said reports.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The legality of the common shares offered by this prospectus supplement will be passed upon for us by Pillsbury Winthrop Shaw Pittman LLP, Washington, DC. In addition, the descriptions of material federal income tax considerations contained in this prospectus supplement under “Supplemental Material Federal Income Tax Considerations” and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3"/>
          <w:szCs w:val="13"/>
          <w:color w:val="auto"/>
        </w:rPr>
        <w:t>LLP</w:t>
      </w:r>
      <w:r>
        <w:rPr>
          <w:rFonts w:ascii="Arial" w:cs="Arial" w:eastAsia="Arial" w:hAnsi="Arial"/>
          <w:sz w:val="16"/>
          <w:szCs w:val="16"/>
          <w:color w:val="auto"/>
        </w:rPr>
        <w:t>, New York, New York, will act as counsel to the Agent.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or REIT,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16, 2009.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12"/>
            <w:vMerge w:val="restart"/>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About this Prospectus</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40" w:type="dxa"/>
            <w:vAlign w:val="bottom"/>
            <w:gridSpan w:val="12"/>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5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Forward-Looking Information</w:t>
              </w:r>
            </w:hyperlink>
          </w:p>
        </w:tc>
        <w:tc>
          <w:tcPr>
            <w:tcW w:w="89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4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Company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Ratios of Earnings to Combined Fixed Charges and Preferred Share Dividends</w:t>
              </w:r>
            </w:hyperlink>
          </w:p>
        </w:tc>
        <w:tc>
          <w:tcPr>
            <w:tcW w:w="55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Description of Debt Securities</w:t>
              </w:r>
            </w:hyperlink>
          </w:p>
        </w:tc>
        <w:tc>
          <w:tcPr>
            <w:tcW w:w="89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Shares of Beneficial Interest</w:t>
              </w:r>
            </w:hyperlink>
          </w:p>
        </w:tc>
        <w:tc>
          <w:tcPr>
            <w:tcW w:w="79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40" w:type="dxa"/>
            <w:vAlign w:val="bottom"/>
            <w:gridSpan w:val="1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Material Federal Income Tax Considerations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Plan of Distribution</w:t>
              </w:r>
            </w:hyperlink>
          </w:p>
        </w:tc>
        <w:tc>
          <w:tcPr>
            <w:tcW w:w="79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96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Experts</w:t>
              </w:r>
            </w:hyperlink>
          </w:p>
        </w:tc>
        <w:tc>
          <w:tcPr>
            <w:tcW w:w="100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Where You Can Find More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60" w:firstLine="8"/>
        <w:spacing w:after="0" w:line="323"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7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6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2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7"/>
          </w:tcPr>
          <w:p>
            <w:pPr>
              <w:spacing w:after="0"/>
              <w:rPr>
                <w:sz w:val="20"/>
                <w:szCs w:val="20"/>
                <w:color w:val="auto"/>
              </w:rPr>
            </w:pPr>
            <w:r>
              <w:rPr>
                <w:rFonts w:ascii="Arial" w:cs="Arial" w:eastAsia="Arial" w:hAnsi="Arial"/>
                <w:sz w:val="14"/>
                <w:szCs w:val="14"/>
                <w:b w:val="1"/>
                <w:bCs w:val="1"/>
                <w:color w:val="auto"/>
                <w:w w:val="87"/>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2008</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noncontrolling interests plus distributed income of equity investees and fixed charges (excluding capitalized interest) less noncontrolling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21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21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14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172"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211"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17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offered debt securities may elect to receive payments in respect of the offered debt securities in a currency or currency unit other than that in which the offered debt securities are stated to be payable.</w:t>
      </w:r>
    </w:p>
    <w:p>
      <w:pPr>
        <w:spacing w:after="0" w:line="172" w:lineRule="exact"/>
        <w:rPr>
          <w:sz w:val="20"/>
          <w:szCs w:val="20"/>
          <w:color w:val="auto"/>
        </w:rPr>
      </w:pPr>
    </w:p>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211"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211"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certain certificates or other documents or satisfaction of other conditions in addition to those specified in the applicable indenture, the form of those certificates, documents or conditions.</w:t>
      </w:r>
    </w:p>
    <w:p>
      <w:pPr>
        <w:spacing w:after="0" w:line="18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the manner in which, or the person to whom, any interest on any bearer securities of the series will be payable.</w:t>
      </w:r>
    </w:p>
    <w:p>
      <w:pPr>
        <w:spacing w:after="0" w:line="125"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17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211"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77"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212" w:lineRule="exact"/>
        <w:rPr>
          <w:sz w:val="20"/>
          <w:szCs w:val="20"/>
          <w:color w:val="auto"/>
        </w:rPr>
      </w:pPr>
    </w:p>
    <w:p>
      <w:pPr>
        <w:ind w:left="900" w:right="6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7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235"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21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14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21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21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26" w:lineRule="exact"/>
        <w:rPr>
          <w:sz w:val="20"/>
          <w:szCs w:val="20"/>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8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12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211" w:lineRule="exact"/>
        <w:rPr>
          <w:rFonts w:ascii="Arial" w:cs="Arial" w:eastAsia="Arial" w:hAnsi="Arial"/>
          <w:sz w:val="18"/>
          <w:szCs w:val="18"/>
          <w:color w:val="auto"/>
        </w:rPr>
      </w:pPr>
    </w:p>
    <w:p>
      <w:pPr>
        <w:ind w:left="1460" w:right="320" w:hanging="547"/>
        <w:spacing w:after="0" w:line="259"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8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17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103"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obligations as lessee under leases of property whether made as part of any sale and leaseback transaction to which we are a party or otherwise;</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25"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172" w:lineRule="exact"/>
        <w:rPr>
          <w:rFonts w:ascii="Arial" w:cs="Arial" w:eastAsia="Arial" w:hAnsi="Arial"/>
          <w:sz w:val="18"/>
          <w:szCs w:val="18"/>
          <w:color w:val="auto"/>
        </w:rPr>
      </w:pPr>
    </w:p>
    <w:p>
      <w:pPr>
        <w:jc w:val="both"/>
        <w:ind w:left="1460" w:right="40" w:hanging="547"/>
        <w:spacing w:after="0" w:line="306" w:lineRule="auto"/>
        <w:tabs>
          <w:tab w:leader="none" w:pos="1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47" w:lineRule="exact"/>
        <w:rPr>
          <w:rFonts w:ascii="Arial" w:cs="Arial" w:eastAsia="Arial" w:hAnsi="Arial"/>
          <w:sz w:val="16"/>
          <w:szCs w:val="16"/>
          <w:color w:val="auto"/>
        </w:rPr>
      </w:pPr>
    </w:p>
    <w:p>
      <w:pPr>
        <w:ind w:left="1460" w:right="300" w:hanging="547"/>
        <w:spacing w:after="0" w:line="268"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17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211" w:lineRule="exact"/>
        <w:rPr>
          <w:rFonts w:ascii="Arial" w:cs="Arial" w:eastAsia="Arial" w:hAnsi="Arial"/>
          <w:sz w:val="18"/>
          <w:szCs w:val="18"/>
          <w:color w:val="auto"/>
        </w:rPr>
      </w:pPr>
    </w:p>
    <w:p>
      <w:pPr>
        <w:ind w:left="5620" w:right="4780" w:hanging="5166"/>
        <w:spacing w:after="0" w:line="525" w:lineRule="auto"/>
        <w:tabs>
          <w:tab w:leader="none" w:pos="8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purchase, redeem, defease, or otherwise acquire any subordinated debt securities. 11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235"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17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18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32" w:lineRule="exact"/>
        <w:rPr>
          <w:sz w:val="20"/>
          <w:szCs w:val="20"/>
          <w:color w:val="auto"/>
        </w:rPr>
      </w:pPr>
    </w:p>
    <w:p>
      <w:pPr>
        <w:ind w:left="460" w:right="20" w:firstLine="443"/>
        <w:spacing w:after="0" w:line="268" w:lineRule="auto"/>
        <w:tabs>
          <w:tab w:leader="none" w:pos="11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40" w:lineRule="exact"/>
        <w:rPr>
          <w:rFonts w:ascii="Arial" w:cs="Arial" w:eastAsia="Arial" w:hAnsi="Arial"/>
          <w:sz w:val="18"/>
          <w:szCs w:val="18"/>
          <w:color w:val="auto"/>
        </w:rPr>
      </w:pPr>
    </w:p>
    <w:p>
      <w:pPr>
        <w:ind w:left="1720" w:hanging="379"/>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200" w:hanging="297"/>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720" w:hanging="379"/>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71" w:lineRule="exact"/>
        <w:rPr>
          <w:sz w:val="20"/>
          <w:szCs w:val="20"/>
          <w:color w:val="auto"/>
        </w:rPr>
      </w:pPr>
    </w:p>
    <w:p>
      <w:pPr>
        <w:ind w:left="1200" w:hanging="297"/>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left="920" w:right="740" w:firstLine="421"/>
        <w:spacing w:after="0" w:line="268" w:lineRule="auto"/>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920" w:right="480" w:firstLine="421"/>
        <w:spacing w:after="0" w:line="268" w:lineRule="auto"/>
        <w:tabs>
          <w:tab w:leader="none" w:pos="17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131" w:lineRule="exact"/>
        <w:rPr>
          <w:rFonts w:ascii="Arial" w:cs="Arial" w:eastAsia="Arial" w:hAnsi="Arial"/>
          <w:sz w:val="18"/>
          <w:szCs w:val="18"/>
          <w:color w:val="auto"/>
        </w:rPr>
      </w:pPr>
    </w:p>
    <w:p>
      <w:pPr>
        <w:ind w:left="1720" w:hanging="379"/>
        <w:spacing w:after="0"/>
        <w:tabs>
          <w:tab w:leader="none" w:pos="1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17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4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234"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234"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81" w:lineRule="exact"/>
        <w:rPr>
          <w:sz w:val="20"/>
          <w:szCs w:val="20"/>
          <w:color w:val="auto"/>
        </w:rPr>
      </w:pPr>
    </w:p>
    <w:p>
      <w:pPr>
        <w:ind w:left="900" w:right="2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2"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57"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since the date of execution of the indenture, there has been a change in the applicable federal income tax law,</w:t>
      </w:r>
    </w:p>
    <w:p>
      <w:pPr>
        <w:spacing w:after="0" w:line="211"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8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2"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211"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17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7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18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172" w:lineRule="exact"/>
        <w:rPr>
          <w:sz w:val="20"/>
          <w:szCs w:val="20"/>
          <w:color w:val="auto"/>
        </w:rPr>
      </w:pPr>
    </w:p>
    <w:p>
      <w:pPr>
        <w:ind w:left="900" w:right="3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21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211"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2"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15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211"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our shareholder rights plan.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shareholder rights plan and the articles supplementary with respect to our Series 1 preferred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June 11, 2009, we had issued and outstanding 59,156,354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172" w:lineRule="exact"/>
        <w:rPr>
          <w:sz w:val="20"/>
          <w:szCs w:val="20"/>
          <w:color w:val="auto"/>
        </w:rPr>
      </w:pPr>
    </w:p>
    <w:p>
      <w:pPr>
        <w:ind w:left="900" w:right="5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21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83"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83"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47"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tabs>
          <w:tab w:leader="none" w:pos="238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71"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5"/>
          <w:szCs w:val="15"/>
          <w:color w:val="auto"/>
        </w:rPr>
        <w:t>The Series 1 preferred shares shall have no voting rights.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the articles supplementary for the Series 1 preferred shares, from the date of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21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17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17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2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receipts shall have the right to inspect the transfer books of the depositary and the list of holders of depositary receipts as provided in the applicable deposit agreement or as required by law.</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72" w:lineRule="exact"/>
        <w:rPr>
          <w:sz w:val="20"/>
          <w:szCs w:val="20"/>
          <w:color w:val="auto"/>
        </w:rPr>
      </w:pPr>
    </w:p>
    <w:p>
      <w:pPr>
        <w:ind w:left="900" w:right="60" w:hanging="446"/>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47"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21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211"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47"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211"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21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211"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17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17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right="60" w:firstLine="456"/>
        <w:spacing w:after="0" w:line="311" w:lineRule="auto"/>
        <w:rPr>
          <w:sz w:val="20"/>
          <w:szCs w:val="20"/>
          <w:color w:val="auto"/>
        </w:rPr>
      </w:pPr>
      <w:r>
        <w:rPr>
          <w:rFonts w:ascii="Arial" w:cs="Arial" w:eastAsia="Arial" w:hAnsi="Arial"/>
          <w:sz w:val="15"/>
          <w:szCs w:val="15"/>
          <w:b w:val="1"/>
          <w:bCs w:val="1"/>
          <w:i w:val="1"/>
          <w:iCs w:val="1"/>
          <w:color w:val="auto"/>
        </w:rPr>
        <w:t>Rights Plan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April 13, 1989, we adopted a shareholder rights plan and declared a dividend distribution of one right for each outstanding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to shareholders of record at the close of business on April 24, 1989, with such rights to expire on April 24, 1999. On March 11, 1999, the expiration date of the rights plan was extended ten years and certain other amendments to the terms of the rights plan were adopted. On November 23, 2003, the rights plan was modified to increase the triggering ownership threshold to 20% and to add a provision commonly called a “TIDE” provision requiring that the independent trustees of the Board of Trustees review the rights under the rights plan every three years. On March 16, 2009, the rights plan was further amended to extend the expiration date for an additional three years and to add a provision commonly called a “qualified offer” provision, which is explained below. Except as set forth below, each right, as amended, when exercisable, entitles the registered holder to purchase from us a number of common shares (or fractional shares) having a then-current market value of two times the purchase price, initially equal to $65.00 per share, subject to adjustment upon the occurrence of specified events.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distribution date, which shall be the earlier to occur of:</w:t>
      </w:r>
    </w:p>
    <w:p>
      <w:pPr>
        <w:spacing w:after="0" w:line="212" w:lineRule="exact"/>
        <w:rPr>
          <w:sz w:val="20"/>
          <w:szCs w:val="20"/>
          <w:color w:val="auto"/>
        </w:rPr>
      </w:pPr>
    </w:p>
    <w:p>
      <w:pPr>
        <w:ind w:left="900" w:right="8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public announcement that, without the prior consent of the Board of Trustees, a person or group of affiliated or associated persons has acquired, or obtained the right to acquire, beneficial ownership of 20% or more of our common shares (without regard to the ownership limits contained within our declaration of trust); or</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ten days following the commencement of (or a public announcement of an intention to make) a tender offer or exchange offer that would result in the beneficial ownership by a person or group of affiliated or associated persons of 20% or more of our common shares.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as soon as practicable to holders of record of our common shares as of the close of business on the distribution date, and the separate rights certificates alone will evidence the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212"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April 24, 2012;</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(or, in the event there is more than one acquiring company, the acquiring company receiving the greatest portion of the assets or earning power transferred), which at the time of such transaction would have a market value equal to two times the then-current purchase price of the right.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which redemption shall be effective upon the authorization of the Board of Trustees.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20% or more of our common shares.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we receive a qualified offer and we do not redeem the rights, within 90 days thereafter, then, upon request from holders (other than the offeror and its affiliates or associates or any officer or trustee of ours) of at least 10% of the outstanding common shares for the calling of a special meeting, we will hold a special meeting within 60 days after receipt of such a request. If, at such meeting, holders of more than 50% of the outstanding common shares (other than shares of the offeror or its affiliates or associates or any officer or trustee of ours) vote for redemption of the rights, then we will thereafter redeem the rights (or take similar action) as promptly as practicable. If such a meeting is not held on or prior to the 60</w:t>
      </w:r>
      <w:r>
        <w:rPr>
          <w:rFonts w:ascii="Arial" w:cs="Arial" w:eastAsia="Arial" w:hAnsi="Arial"/>
          <w:sz w:val="10"/>
          <w:szCs w:val="10"/>
          <w:color w:val="auto"/>
        </w:rPr>
        <w:t>th</w:t>
      </w:r>
      <w:r>
        <w:rPr>
          <w:rFonts w:ascii="Arial" w:cs="Arial" w:eastAsia="Arial" w:hAnsi="Arial"/>
          <w:sz w:val="16"/>
          <w:szCs w:val="16"/>
          <w:color w:val="auto"/>
        </w:rPr>
        <w:t xml:space="preserve"> day after a qualifying request is received (which period shall be extended if we are exercising reasonable efforts to hold such a meeting and have been prevented by circumstances reasonably beyond our control), we shall promptly thereafter redeem the rights (or take similar action). However, we are not required to hold such a meeting unless the qualified offer at issue has an expiration date which is at least 10 business days after such meeting, and any obligations of us to hold such a meeting or to redeem the rights in connection therewith are null and void in the event any person, entity or group acquires, or obtains the right to acquire, beneficial ownership of 20% or more of our common shares.</w:t>
      </w:r>
    </w:p>
    <w:p>
      <w:pPr>
        <w:spacing w:after="0" w:line="12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qualified offer shall mean a tender offer which, among other things, (a) is an all-cash offer for all common shares at a price per share which is at least the higher of (x) $97; or (y) an amount equal to 25% higher than the higher of (1) the average closing price of the common shares over the period of 30 trading days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preceding commencement of the offer or (2) the average closing price of the common shares over the period of five trading days immediately preceding commencement of the offer, (b) includes a firm financing commitment which, when added to the offeror’s cash, will be sufficient, (c) has a non-waivable condition that the offeror must own, after consummating the offer, at least 50% of the common shares then outstanding (other than common shares already held by such offeror and its affiliates or associates or any trustee or officer of ours), (d) stays open for at least 60 business days (extended for any increase in price) and (e) commits the offeror to buy all other common shares at the same price paid pursuant to the offer.</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any event, upon the effective date of the redemption of the rights, the right to exercise the rights will terminate and the only right of the holders of rights will be to receive the price of $0.01 per right.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179" w:lineRule="exact"/>
        <w:rPr>
          <w:sz w:val="20"/>
          <w:szCs w:val="20"/>
          <w:color w:val="auto"/>
        </w:rPr>
      </w:pPr>
    </w:p>
    <w:p>
      <w:pPr>
        <w:ind w:left="900" w:right="1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2"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i w:val="1"/>
          <w:iCs w:val="1"/>
          <w:color w:val="auto"/>
        </w:rPr>
        <w:t>Limitation of Liability of Trustees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183"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ownership and disposition of our common, preferred, and depositary shares. If we offer one or more additional series of common shares or preferred shares, debt securities, depositary shares, warrants to purchase debt or equity securities, or rights to purchase our common shares, the prospectus supplement would include information about certain additional material U.S. federal income tax considerations to holders of any of the offered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qualification tests. For a discussion of the tax treatment of us and our shareholders if we fail to qualify as a REIT, see “— Requirements for REIT Qualification — Failure to Qualify.”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59" w:lineRule="exact"/>
        <w:rPr>
          <w:sz w:val="20"/>
          <w:szCs w:val="20"/>
          <w:color w:val="auto"/>
        </w:rPr>
      </w:pPr>
    </w:p>
    <w:p>
      <w:pPr>
        <w:ind w:left="900" w:right="20" w:hanging="446"/>
        <w:spacing w:after="0" w:line="318" w:lineRule="auto"/>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5" w:lineRule="exact"/>
        <w:rPr>
          <w:rFonts w:ascii="Arial" w:cs="Arial" w:eastAsia="Arial" w:hAnsi="Arial"/>
          <w:sz w:val="16"/>
          <w:szCs w:val="16"/>
          <w:color w:val="auto"/>
        </w:rPr>
      </w:pPr>
    </w:p>
    <w:p>
      <w:pPr>
        <w:ind w:left="900" w:right="120" w:hanging="446"/>
        <w:spacing w:after="0" w:line="370" w:lineRule="auto"/>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61" w:lineRule="auto"/>
        <w:tabs>
          <w:tab w:leader="none" w:pos="2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17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Treasury is considering other methods for basis recovery, and new regulations addressing this treatment recently were proposed. There can be no assurance, however, that the proposed regulations will be adopted or that they will be adopted in the form currently proposed, and the existing methods for recovering adjusted tax basis continue to apply. We urge you to consult your tax advisor concerning the treatment of a cash redemption of our preferred shares.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7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shareholders. Thus, such entities will, after satisfying filing requirements, be allowed a credit or refund of the tax deemed paid by such entities in respect of such includible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10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Wash Sales. </w:t>
      </w:r>
      <w:r>
        <w:rPr>
          <w:rFonts w:ascii="Arial" w:cs="Arial" w:eastAsia="Arial" w:hAnsi="Arial"/>
          <w:sz w:val="16"/>
          <w:szCs w:val="16"/>
          <w:color w:val="auto"/>
        </w:rPr>
        <w:t>In general, special wash sale rules apply if a shareholder owning more than 5% of our common or preferred shares avoids a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6"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212" w:lineRule="exact"/>
        <w:rPr>
          <w:sz w:val="20"/>
          <w:szCs w:val="20"/>
          <w:color w:val="auto"/>
        </w:rPr>
      </w:pPr>
    </w:p>
    <w:p>
      <w:pPr>
        <w:ind w:left="900" w:right="3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2539"/>
        <w:spacing w:after="0"/>
        <w:rPr>
          <w:sz w:val="20"/>
          <w:szCs w:val="20"/>
          <w:color w:val="auto"/>
        </w:rPr>
      </w:pPr>
      <w:r>
        <w:rPr>
          <w:rFonts w:ascii="Arial" w:cs="Arial" w:eastAsia="Arial" w:hAnsi="Arial"/>
          <w:sz w:val="24"/>
          <w:szCs w:val="24"/>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306070</wp:posOffset>
            </wp:positionV>
            <wp:extent cx="15862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60"/>
        <w:spacing w:after="0"/>
        <w:rPr>
          <w:sz w:val="20"/>
          <w:szCs w:val="20"/>
          <w:color w:val="auto"/>
        </w:rPr>
      </w:pPr>
      <w:r>
        <w:rPr>
          <w:rFonts w:ascii="Arial" w:cs="Arial" w:eastAsia="Arial" w:hAnsi="Arial"/>
          <w:sz w:val="32"/>
          <w:szCs w:val="32"/>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February 24, 2011</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
      <w:numFmt w:val="bullet"/>
      <w:start w:val="1"/>
    </w:lvl>
    <w:lvl w:ilvl="1">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30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lvl w:ilvl="1">
      <w:lvlJc w:val="left"/>
      <w:lvlText w:val="•"/>
      <w:numFmt w:val="bullet"/>
      <w:start w:val="1"/>
    </w:lvl>
  </w:abstractNum>
  <w:abstractNum w:abstractNumId="18">
    <w:nsid w:val="6DE91B18"/>
    <w:multiLevelType w:val="hybridMultilevel"/>
    <w:lvl w:ilvl="0">
      <w:lvlJc w:val="left"/>
      <w:lvlText w:val="•"/>
      <w:numFmt w:val="bullet"/>
      <w:start w:val="1"/>
    </w:lvl>
    <w:lvl w:ilvl="1">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2"/>
    </w:lvl>
    <w:lvl w:ilvl="1">
      <w:lvlJc w:val="left"/>
      <w:lvlText w:val="(%2)"/>
      <w:numFmt w:val="lowerLetter"/>
      <w:start w:val="1"/>
    </w:lvl>
  </w:abstractNum>
  <w:abstractNum w:abstractNumId="25">
    <w:nsid w:val="3DC240FB"/>
    <w:multiLevelType w:val="hybridMultilevel"/>
    <w:lvl w:ilvl="0">
      <w:lvlJc w:val="left"/>
      <w:lvlText w:val="%1."/>
      <w:numFmt w:val="decimal"/>
      <w:start w:val="7"/>
    </w:lvl>
    <w:lvl w:ilvl="1">
      <w:lvlJc w:val="left"/>
      <w:lvlText w:val="(%2)"/>
      <w:numFmt w:val="lowerLetter"/>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lvl w:ilvl="1">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lvl w:ilvl="1">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lvl w:ilvl="1">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1)"/>
      <w:numFmt w:val="lowerRoman"/>
      <w:start w:val="3"/>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lvl w:ilvl="1">
      <w:lvlJc w:val="left"/>
      <w:lvlText w:val="•"/>
      <w:numFmt w:val="bullet"/>
      <w:start w:val="1"/>
    </w:lvl>
  </w:abstractNum>
  <w:abstractNum w:abstractNumId="66">
    <w:nsid w:val="799D0247"/>
    <w:multiLevelType w:val="hybridMultilevel"/>
    <w:lvl w:ilvl="0">
      <w:lvlJc w:val="left"/>
      <w:lvlText w:val="(%1)"/>
      <w:numFmt w:val="lowerRoman"/>
      <w:start w:val="2"/>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decimal"/>
      <w:start w:val="4"/>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2019-12-10T00:20:10Z</dcterms:created>
  <dcterms:modified xsi:type="dcterms:W3CDTF">2019-12-10T00:20:10Z</dcterms:modified>
</cp:coreProperties>
</file>