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13G/A</w:t>
      </w:r>
    </w:p>
    <w:p>
      <w:pPr>
        <w:ind w:left="33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INFORMATION TO BE INCLUDED IN STATEMENTS FILED</w:t>
      </w:r>
    </w:p>
    <w:p>
      <w:pPr>
        <w:ind w:left="1280"/>
        <w:spacing w:after="0" w:line="238" w:lineRule="auto"/>
        <w:rPr>
          <w:sz w:val="20"/>
          <w:szCs w:val="20"/>
          <w:color w:val="auto"/>
        </w:rPr>
      </w:pPr>
      <w:r>
        <w:rPr>
          <w:rFonts w:ascii="Courier New" w:cs="Courier New" w:eastAsia="Courier New" w:hAnsi="Courier New"/>
          <w:sz w:val="18"/>
          <w:szCs w:val="18"/>
          <w:color w:val="auto"/>
        </w:rPr>
        <w:t>PURSUANT TO RULES 13d-1(b), (c) and (d) AND AMENDMENTS</w:t>
      </w:r>
    </w:p>
    <w:p>
      <w:pPr>
        <w:ind w:left="2120"/>
        <w:spacing w:after="0" w:line="238" w:lineRule="auto"/>
        <w:rPr>
          <w:sz w:val="20"/>
          <w:szCs w:val="20"/>
          <w:color w:val="auto"/>
        </w:rPr>
      </w:pPr>
      <w:r>
        <w:rPr>
          <w:rFonts w:ascii="Courier New" w:cs="Courier New" w:eastAsia="Courier New" w:hAnsi="Courier New"/>
          <w:sz w:val="18"/>
          <w:szCs w:val="18"/>
          <w:color w:val="auto"/>
        </w:rPr>
        <w:t>THERETO FILED PURSUANT TO RULE 13d-2(b)</w:t>
      </w: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Common Stock</w:t>
      </w:r>
    </w:p>
    <w:p>
      <w:pPr>
        <w:jc w:val="center"/>
        <w:ind w:right="19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313747206</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1999</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3700" w:right="5079" w:hanging="428"/>
        <w:spacing w:after="0" w:line="279" w:lineRule="auto"/>
        <w:tabs>
          <w:tab w:leader="none" w:pos="3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380" w:lineRule="exact"/>
        <w:rPr>
          <w:sz w:val="24"/>
          <w:szCs w:val="24"/>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649" w:right="1440" w:bottom="1440" w:gutter="0" w:footer="0" w:header="0"/>
        </w:sectPr>
      </w:pPr>
    </w:p>
    <w:bookmarkStart w:id="1" w:name="page2"/>
    <w:bookmarkEnd w:id="1"/>
    <w:p>
      <w:pPr>
        <w:ind w:left="7"/>
        <w:spacing w:after="0"/>
        <w:rPr>
          <w:sz w:val="20"/>
          <w:szCs w:val="20"/>
          <w:color w:val="auto"/>
        </w:rPr>
      </w:pPr>
      <w:r>
        <w:rPr>
          <w:rFonts w:ascii="Courier New" w:cs="Courier New" w:eastAsia="Courier New" w:hAnsi="Courier New"/>
          <w:sz w:val="18"/>
          <w:szCs w:val="18"/>
          <w:color w:val="auto"/>
        </w:rPr>
        <w:t>CUSIP No. 313747206</w:t>
      </w:r>
    </w:p>
    <w:p>
      <w:pPr>
        <w:spacing w:after="0" w:line="200" w:lineRule="exact"/>
        <w:rPr>
          <w:sz w:val="20"/>
          <w:szCs w:val="20"/>
          <w:color w:val="auto"/>
        </w:rPr>
      </w:pPr>
    </w:p>
    <w:p>
      <w:pPr>
        <w:spacing w:after="0" w:line="204" w:lineRule="exact"/>
        <w:rPr>
          <w:sz w:val="20"/>
          <w:szCs w:val="20"/>
          <w:color w:val="auto"/>
        </w:rPr>
      </w:pPr>
    </w:p>
    <w:p>
      <w:pPr>
        <w:ind w:left="527" w:hanging="527"/>
        <w:spacing w:after="0"/>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jc w:val="both"/>
        <w:ind w:left="527" w:right="63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Loomis, Sayles &amp; Company, L.P. I.R.S. Tax I.D. No. 04-3200030</w:t>
      </w:r>
    </w:p>
    <w:p>
      <w:pPr>
        <w:spacing w:after="0" w:line="163"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47" w:hanging="420"/>
        <w:spacing w:after="0" w:line="238" w:lineRule="auto"/>
        <w:tabs>
          <w:tab w:leader="none" w:pos="9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947" w:hanging="420"/>
        <w:spacing w:after="0" w:line="238" w:lineRule="auto"/>
        <w:tabs>
          <w:tab w:leader="none" w:pos="94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1"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3,426,750</w:t>
      </w:r>
    </w:p>
    <w:p>
      <w:pPr>
        <w:spacing w:after="0" w:line="201"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201"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201"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3,555,238</w:t>
      </w:r>
    </w:p>
    <w:p>
      <w:pPr>
        <w:spacing w:after="0" w:line="206"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3,555,238</w:t>
      </w:r>
    </w:p>
    <w:p>
      <w:pPr>
        <w:spacing w:after="0" w:line="223" w:lineRule="exact"/>
        <w:rPr>
          <w:rFonts w:ascii="Courier New" w:cs="Courier New" w:eastAsia="Courier New" w:hAnsi="Courier New"/>
          <w:sz w:val="16"/>
          <w:szCs w:val="16"/>
          <w:color w:val="auto"/>
        </w:rPr>
      </w:pPr>
    </w:p>
    <w:p>
      <w:pPr>
        <w:ind w:left="527" w:hanging="527"/>
        <w:spacing w:after="0"/>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18" w:lineRule="exact"/>
        <w:rPr>
          <w:rFonts w:ascii="Courier New" w:cs="Courier New" w:eastAsia="Courier New" w:hAnsi="Courier New"/>
          <w:sz w:val="16"/>
          <w:szCs w:val="16"/>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8.1%</w:t>
      </w:r>
    </w:p>
    <w:p>
      <w:pPr>
        <w:spacing w:after="0" w:line="201"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p>
      <w:pPr>
        <w:ind w:left="7"/>
        <w:spacing w:after="0"/>
        <w:tabs>
          <w:tab w:leader="none" w:pos="1026" w:val="left"/>
          <w:tab w:leader="none" w:pos="1566" w:val="left"/>
        </w:tabs>
        <w:rPr>
          <w:sz w:val="20"/>
          <w:szCs w:val="20"/>
          <w:color w:val="auto"/>
        </w:rPr>
      </w:pPr>
      <w:r>
        <w:rPr>
          <w:rFonts w:ascii="Courier New" w:cs="Courier New" w:eastAsia="Courier New" w:hAnsi="Courier New"/>
          <w:sz w:val="18"/>
          <w:szCs w:val="18"/>
          <w:color w:val="auto"/>
        </w:rPr>
        <w:t>Item 1.</w:t>
        <w:tab/>
        <w:t>(a)</w:t>
      </w:r>
      <w:r>
        <w:rPr>
          <w:sz w:val="20"/>
          <w:szCs w:val="20"/>
          <w:color w:val="auto"/>
        </w:rPr>
        <w:tab/>
      </w:r>
      <w:r>
        <w:rPr>
          <w:rFonts w:ascii="Courier New" w:cs="Courier New" w:eastAsia="Courier New" w:hAnsi="Courier New"/>
          <w:sz w:val="16"/>
          <w:szCs w:val="16"/>
          <w:color w:val="auto"/>
        </w:rPr>
        <w:t>Name of Issuer:</w:t>
      </w:r>
    </w:p>
    <w:p>
      <w:pPr>
        <w:ind w:left="1587"/>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026"/>
          </w:cols>
          <w:pgMar w:left="433" w:top="717" w:right="1440" w:bottom="144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1626 East Jefferson Street</w:t>
      </w:r>
    </w:p>
    <w:p>
      <w:pPr>
        <w:ind w:left="1060"/>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w:t>
      </w:r>
    </w:p>
    <w:p>
      <w:pPr>
        <w:ind w:left="1480"/>
        <w:spacing w:after="0" w:line="238" w:lineRule="auto"/>
        <w:rPr>
          <w:sz w:val="20"/>
          <w:szCs w:val="20"/>
          <w:color w:val="auto"/>
        </w:rPr>
      </w:pPr>
      <w:r>
        <w:rPr>
          <w:rFonts w:ascii="Courier New" w:cs="Courier New" w:eastAsia="Courier New" w:hAnsi="Courier New"/>
          <w:sz w:val="18"/>
          <w:szCs w:val="18"/>
          <w:color w:val="auto"/>
        </w:rPr>
        <w:t>Loomis, Sayles &amp; Company, L.P.</w:t>
      </w:r>
    </w:p>
    <w:p>
      <w:pPr>
        <w:spacing w:after="0" w:line="207" w:lineRule="exact"/>
        <w:rPr>
          <w:sz w:val="20"/>
          <w:szCs w:val="20"/>
          <w:color w:val="auto"/>
        </w:rPr>
      </w:pPr>
    </w:p>
    <w:p>
      <w:pPr>
        <w:ind w:left="1480" w:right="2339" w:hanging="419"/>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One Financial Center, Boston, MA 02111</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4" w:lineRule="exact"/>
        <w:rPr>
          <w:sz w:val="20"/>
          <w:szCs w:val="20"/>
          <w:color w:val="auto"/>
        </w:rPr>
      </w:pPr>
    </w:p>
    <w:p>
      <w:pPr>
        <w:ind w:left="1900" w:right="1819"/>
        <w:spacing w:after="0" w:line="236" w:lineRule="auto"/>
        <w:rPr>
          <w:sz w:val="20"/>
          <w:szCs w:val="20"/>
          <w:color w:val="auto"/>
        </w:rPr>
      </w:pPr>
      <w:r>
        <w:rPr>
          <w:rFonts w:ascii="Courier New" w:cs="Courier New" w:eastAsia="Courier New" w:hAnsi="Courier New"/>
          <w:sz w:val="18"/>
          <w:szCs w:val="18"/>
          <w:color w:val="auto"/>
        </w:rPr>
        <w:t>*Reporting person is filing this Schedule 13G with respect to shares that it has a right to acquire as a result of its beneficial ownership of convertible securities.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CUSIP Number: 313747206</w:t>
      </w:r>
    </w:p>
    <w:p>
      <w:pPr>
        <w:spacing w:after="0" w:line="207" w:lineRule="exact"/>
        <w:rPr>
          <w:sz w:val="20"/>
          <w:szCs w:val="20"/>
          <w:color w:val="auto"/>
        </w:rPr>
      </w:pPr>
    </w:p>
    <w:p>
      <w:pPr>
        <w:ind w:left="1060" w:right="19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2"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659" w:hanging="419"/>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480" w:right="2859" w:hanging="419"/>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8" w:lineRule="exact"/>
        <w:rPr>
          <w:rFonts w:ascii="Courier New" w:cs="Courier New" w:eastAsia="Courier New" w:hAnsi="Courier New"/>
          <w:sz w:val="18"/>
          <w:szCs w:val="18"/>
          <w:color w:val="auto"/>
        </w:rPr>
      </w:pPr>
    </w:p>
    <w:p>
      <w:pPr>
        <w:ind w:left="1480" w:right="1699" w:hanging="419"/>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119" w:hanging="419"/>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13d-1(b)(ii)(G);</w:t>
      </w:r>
    </w:p>
    <w:p>
      <w:pPr>
        <w:sectPr>
          <w:pgSz w:w="11900" w:h="16838" w:orient="portrait"/>
          <w:cols w:equalWidth="0" w:num="1">
            <w:col w:w="10139"/>
          </w:cols>
          <w:pgMar w:left="320" w:top="717" w:right="1440" w:bottom="1440" w:gutter="0" w:footer="0" w:header="0"/>
        </w:sectPr>
      </w:pPr>
    </w:p>
    <w:bookmarkStart w:id="3" w:name="page4"/>
    <w:bookmarkEnd w:id="3"/>
    <w:p>
      <w:pPr>
        <w:ind w:left="2000" w:right="2339" w:hanging="939"/>
        <w:spacing w:after="0" w:line="235" w:lineRule="auto"/>
        <w:tabs>
          <w:tab w:leader="none" w:pos="147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000" w:right="1919" w:hanging="939"/>
        <w:spacing w:after="0" w:line="236" w:lineRule="auto"/>
        <w:tabs>
          <w:tab w:leader="none" w:pos="147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2" w:lineRule="exact"/>
        <w:rPr>
          <w:sz w:val="20"/>
          <w:szCs w:val="20"/>
          <w:color w:val="auto"/>
        </w:rPr>
      </w:pPr>
    </w:p>
    <w:p>
      <w:pPr>
        <w:ind w:left="1060" w:hanging="526"/>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3,555,238</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8.1%</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3,426,750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206" w:lineRule="exact"/>
        <w:rPr>
          <w:rFonts w:ascii="Courier New" w:cs="Courier New" w:eastAsia="Courier New" w:hAnsi="Courier New"/>
          <w:sz w:val="18"/>
          <w:szCs w:val="18"/>
          <w:color w:val="auto"/>
        </w:rPr>
      </w:pPr>
    </w:p>
    <w:p>
      <w:pPr>
        <w:ind w:left="1900" w:right="2339" w:hanging="628"/>
        <w:spacing w:after="0" w:line="235" w:lineRule="auto"/>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3,555,238</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w:t>
      </w:r>
    </w:p>
    <w:p>
      <w:pPr>
        <w:sectPr>
          <w:pgSz w:w="11900" w:h="16838" w:orient="portrait"/>
          <w:cols w:equalWidth="0" w:num="1">
            <w:col w:w="10139"/>
          </w:cols>
          <w:pgMar w:left="320" w:top="722" w:right="1440" w:bottom="1440" w:gutter="0" w:footer="0" w:header="0"/>
        </w:sectPr>
      </w:pPr>
    </w:p>
    <w:bookmarkStart w:id="4" w:name="page5"/>
    <w:bookmarkEnd w:id="4"/>
    <w:p>
      <w:pPr>
        <w:jc w:val="both"/>
        <w:ind w:right="2239"/>
        <w:spacing w:after="0" w:line="236" w:lineRule="auto"/>
        <w:rPr>
          <w:sz w:val="20"/>
          <w:szCs w:val="20"/>
          <w:color w:val="auto"/>
        </w:rPr>
      </w:pPr>
      <w:r>
        <w:rPr>
          <w:rFonts w:ascii="Courier New" w:cs="Courier New" w:eastAsia="Courier New" w:hAnsi="Courier New"/>
          <w:sz w:val="18"/>
          <w:szCs w:val="18"/>
          <w:color w:val="auto"/>
        </w:rPr>
        <w:t>A listing of the shareholders of an investment company registered under the Investment Company Act of 1940 or the beneficiaries of an employee benefit plan, pension fund or endowment fund is not required.</w:t>
      </w:r>
    </w:p>
    <w:p>
      <w:pPr>
        <w:spacing w:after="0" w:line="208"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class.</w:t>
      </w:r>
    </w:p>
    <w:p>
      <w:pPr>
        <w:spacing w:after="0" w:line="208" w:lineRule="exact"/>
        <w:rPr>
          <w:sz w:val="20"/>
          <w:szCs w:val="20"/>
          <w:color w:val="auto"/>
        </w:rPr>
      </w:pPr>
    </w:p>
    <w:p>
      <w:pPr>
        <w:ind w:left="960" w:right="18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8" w:lineRule="exact"/>
        <w:rPr>
          <w:sz w:val="20"/>
          <w:szCs w:val="20"/>
          <w:color w:val="auto"/>
        </w:rPr>
      </w:pPr>
    </w:p>
    <w:p>
      <w:pPr>
        <w:jc w:val="both"/>
        <w:ind w:right="2339"/>
        <w:spacing w:after="0" w:line="279"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 identity and the Item 3 classification of the relevant subsidiary.</w:t>
      </w:r>
    </w:p>
    <w:p>
      <w:pPr>
        <w:spacing w:after="0" w:line="178" w:lineRule="exact"/>
        <w:rPr>
          <w:sz w:val="20"/>
          <w:szCs w:val="20"/>
          <w:color w:val="auto"/>
        </w:rPr>
      </w:pPr>
    </w:p>
    <w:p>
      <w:pPr>
        <w:ind w:right="1919"/>
        <w:spacing w:after="0" w:line="290" w:lineRule="auto"/>
        <w:rPr>
          <w:sz w:val="20"/>
          <w:szCs w:val="20"/>
          <w:color w:val="auto"/>
        </w:rPr>
      </w:pPr>
      <w:r>
        <w:rPr>
          <w:rFonts w:ascii="Courier New" w:cs="Courier New" w:eastAsia="Courier New" w:hAnsi="Courier New"/>
          <w:sz w:val="16"/>
          <w:szCs w:val="16"/>
          <w:color w:val="auto"/>
        </w:rPr>
        <w:t>If a parent holding company has filed this schedule pursuant to Rule 13d-1(c), attach an exhibit stating the identification of the relevant subsidiary.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13d-1(b)(1)(ii)(J), so indicate under Item 3(j) and attach an exhibit stating the identity and Item 3 classification of each member of the group. If a group has filed this schedule pursuant to Rule 13d-1(d) attach an exhibit stating the identity of each member of the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dissolution and that all further filings with respect to transactions in the security reported on will be filed, if required, by members of the group, in their individual capacity. 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139"/>
          </w:cols>
          <w:pgMar w:left="320" w:top="722" w:right="1440" w:bottom="1440" w:gutter="0" w:footer="0" w:header="0"/>
        </w:sectPr>
      </w:pPr>
    </w:p>
    <w:bookmarkStart w:id="5" w:name="page6"/>
    <w:bookmarkEnd w:id="5"/>
    <w:p>
      <w:pPr>
        <w:ind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Jeffrey L. Meade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L. Meade</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 2000</w:t>
      </w:r>
    </w:p>
    <w:p>
      <w:pPr>
        <w:spacing w:after="0" w:line="238" w:lineRule="auto"/>
        <w:rPr>
          <w:sz w:val="20"/>
          <w:szCs w:val="20"/>
          <w:color w:val="auto"/>
        </w:rPr>
      </w:pPr>
      <w:r>
        <w:rPr>
          <w:rFonts w:ascii="Courier New" w:cs="Courier New" w:eastAsia="Courier New" w:hAnsi="Courier New"/>
          <w:sz w:val="18"/>
          <w:szCs w:val="18"/>
          <w:color w:val="auto"/>
        </w:rPr>
        <w:t>Executive Vice President and Chief Operating Officer</w:t>
      </w:r>
    </w:p>
    <w:sectPr>
      <w:pgSz w:w="11900" w:h="16838" w:orient="portrait"/>
      <w:cols w:equalWidth="0" w:num="1">
        <w:col w:w="10139"/>
      </w:cols>
      <w:pgMar w:left="32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8"/>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2020-10-06T02:58:12Z</dcterms:created>
  <dcterms:modified xsi:type="dcterms:W3CDTF">2020-10-06T02:58:12Z</dcterms:modified>
</cp:coreProperties>
</file>