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 TO RULES 13D-1(b)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FILED THERETO FILED PURSUANT TO RULE 13D-2(b)</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(Amendment No. </w:t>
      </w:r>
      <w:r>
        <w:rPr>
          <w:rFonts w:ascii="Arial" w:cs="Arial" w:eastAsia="Arial" w:hAnsi="Arial"/>
          <w:sz w:val="18"/>
          <w:szCs w:val="18"/>
          <w:b w:val="1"/>
          <w:bCs w:val="1"/>
          <w:u w:val="single" w:color="auto"/>
          <w:color w:val="auto"/>
        </w:rPr>
        <w:t>_</w:t>
      </w:r>
      <w:r>
        <w:rPr>
          <w:rFonts w:ascii="Arial" w:cs="Arial" w:eastAsia="Arial" w:hAnsi="Arial"/>
          <w:sz w:val="18"/>
          <w:szCs w:val="18"/>
          <w:b w:val="1"/>
          <w:bCs w:val="1"/>
          <w:color w:val="auto"/>
        </w:rPr>
        <w: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Federal Realty Investment Trust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Classes of Securities)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313747206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December 31, 2011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0"/>
          <w:szCs w:val="20"/>
          <w:color w:val="auto"/>
        </w:rPr>
      </w:pPr>
    </w:p>
    <w:p>
      <w:pPr>
        <w:ind w:left="1400" w:hanging="95"/>
        <w:spacing w:after="0"/>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Rule 13d-1(b)</w:t>
      </w:r>
    </w:p>
    <w:p>
      <w:pPr>
        <w:spacing w:after="0" w:line="23" w:lineRule="exact"/>
        <w:rPr>
          <w:rFonts w:ascii="Arial" w:cs="Arial" w:eastAsia="Arial" w:hAnsi="Arial"/>
          <w:sz w:val="18"/>
          <w:szCs w:val="18"/>
          <w:color w:val="auto"/>
        </w:rPr>
      </w:pPr>
    </w:p>
    <w:p>
      <w:pPr>
        <w:ind w:left="1840" w:hanging="535"/>
        <w:spacing w:after="0"/>
        <w:tabs>
          <w:tab w:leader="none" w:pos="1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9" w:lineRule="exact"/>
        <w:rPr>
          <w:rFonts w:ascii="Arial" w:cs="Arial" w:eastAsia="Arial" w:hAnsi="Arial"/>
          <w:sz w:val="18"/>
          <w:szCs w:val="18"/>
          <w:color w:val="auto"/>
        </w:rPr>
      </w:pPr>
    </w:p>
    <w:p>
      <w:pPr>
        <w:ind w:left="1840" w:hanging="535"/>
        <w:spacing w:after="0"/>
        <w:tabs>
          <w:tab w:leader="none" w:pos="1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w:t>
      </w:r>
      <w:r>
        <w:rPr>
          <w:rFonts w:ascii="Arial" w:cs="Arial" w:eastAsia="Arial" w:hAnsi="Arial"/>
          <w:sz w:val="18"/>
          <w:szCs w:val="18"/>
          <w:u w:val="single" w:color="auto"/>
          <w:color w:val="auto"/>
        </w:rPr>
        <w:t>313747206</w:t>
      </w:r>
    </w:p>
    <w:p>
      <w:pPr>
        <w:spacing w:after="0" w:line="23" w:lineRule="exact"/>
        <w:rPr>
          <w:sz w:val="20"/>
          <w:szCs w:val="20"/>
          <w:color w:val="auto"/>
        </w:rPr>
      </w:pPr>
    </w:p>
    <w:p>
      <w:pPr>
        <w:ind w:left="1260" w:hanging="750"/>
        <w:spacing w:after="0"/>
        <w:tabs>
          <w:tab w:leader="none" w:pos="12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Invesco Ltd.</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IRS # 980557567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60" w:hanging="750"/>
        <w:spacing w:after="0"/>
        <w:tabs>
          <w:tab w:leader="none" w:pos="12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w:t>
      </w:r>
    </w:p>
    <w:p>
      <w:pPr>
        <w:spacing w:after="0" w:line="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60" w:hanging="750"/>
        <w:spacing w:after="0"/>
        <w:tabs>
          <w:tab w:leader="none" w:pos="12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60" w:right="6480" w:hanging="750"/>
        <w:spacing w:after="0" w:line="389" w:lineRule="auto"/>
        <w:tabs>
          <w:tab w:leader="none" w:pos="12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Invesco Ltd. –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040" w:hanging="768"/>
        <w:spacing w:after="0"/>
        <w:tabs>
          <w:tab w:leader="none" w:pos="4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2020" w:type="dxa"/>
            <w:vAlign w:val="bottom"/>
          </w:tcPr>
          <w:p>
            <w:pPr>
              <w:jc w:val="center"/>
              <w:ind w:right="650"/>
              <w:spacing w:after="0"/>
              <w:rPr>
                <w:sz w:val="20"/>
                <w:szCs w:val="20"/>
                <w:color w:val="auto"/>
              </w:rPr>
            </w:pPr>
            <w:r>
              <w:rPr>
                <w:rFonts w:ascii="Arial" w:cs="Arial" w:eastAsia="Arial" w:hAnsi="Arial"/>
                <w:sz w:val="18"/>
                <w:szCs w:val="18"/>
                <w:color w:val="auto"/>
                <w:w w:val="96"/>
              </w:rPr>
              <w:t>NUMBER OF</w:t>
            </w:r>
          </w:p>
        </w:tc>
        <w:tc>
          <w:tcPr>
            <w:tcW w:w="940" w:type="dxa"/>
            <w:vAlign w:val="bottom"/>
          </w:tcPr>
          <w:p>
            <w:pPr>
              <w:spacing w:after="0"/>
              <w:rPr>
                <w:sz w:val="18"/>
                <w:szCs w:val="18"/>
                <w:color w:val="auto"/>
              </w:rPr>
            </w:pPr>
          </w:p>
        </w:tc>
        <w:tc>
          <w:tcPr>
            <w:tcW w:w="7720" w:type="dxa"/>
            <w:vAlign w:val="bottom"/>
          </w:tcPr>
          <w:p>
            <w:pPr>
              <w:ind w:left="360"/>
              <w:spacing w:after="0"/>
              <w:rPr>
                <w:sz w:val="20"/>
                <w:szCs w:val="20"/>
                <w:color w:val="auto"/>
              </w:rPr>
            </w:pPr>
            <w:r>
              <w:rPr>
                <w:rFonts w:ascii="Arial" w:cs="Arial" w:eastAsia="Arial" w:hAnsi="Arial"/>
                <w:sz w:val="18"/>
                <w:szCs w:val="18"/>
                <w:color w:val="auto"/>
              </w:rPr>
              <w:t>Invesco Advisers, Inc. – 1,185,651</w:t>
            </w:r>
          </w:p>
        </w:tc>
      </w:tr>
      <w:tr>
        <w:trPr>
          <w:trHeight w:val="216"/>
        </w:trPr>
        <w:tc>
          <w:tcPr>
            <w:tcW w:w="2020" w:type="dxa"/>
            <w:vAlign w:val="bottom"/>
          </w:tcPr>
          <w:p>
            <w:pPr>
              <w:jc w:val="center"/>
              <w:ind w:right="630"/>
              <w:spacing w:after="0"/>
              <w:rPr>
                <w:sz w:val="20"/>
                <w:szCs w:val="20"/>
                <w:color w:val="auto"/>
              </w:rPr>
            </w:pPr>
            <w:r>
              <w:rPr>
                <w:rFonts w:ascii="Arial" w:cs="Arial" w:eastAsia="Arial" w:hAnsi="Arial"/>
                <w:sz w:val="18"/>
                <w:szCs w:val="18"/>
                <w:color w:val="auto"/>
                <w:w w:val="94"/>
              </w:rPr>
              <w:t>SHARES</w:t>
            </w:r>
          </w:p>
        </w:tc>
        <w:tc>
          <w:tcPr>
            <w:tcW w:w="940" w:type="dxa"/>
            <w:vAlign w:val="bottom"/>
          </w:tcPr>
          <w:p>
            <w:pPr>
              <w:spacing w:after="0"/>
              <w:rPr>
                <w:sz w:val="18"/>
                <w:szCs w:val="18"/>
                <w:color w:val="auto"/>
              </w:rPr>
            </w:pPr>
          </w:p>
        </w:tc>
        <w:tc>
          <w:tcPr>
            <w:tcW w:w="7720" w:type="dxa"/>
            <w:vAlign w:val="bottom"/>
          </w:tcPr>
          <w:p>
            <w:pPr>
              <w:ind w:left="360"/>
              <w:spacing w:after="0"/>
              <w:rPr>
                <w:sz w:val="20"/>
                <w:szCs w:val="20"/>
                <w:color w:val="auto"/>
              </w:rPr>
            </w:pPr>
            <w:r>
              <w:rPr>
                <w:rFonts w:ascii="Arial" w:cs="Arial" w:eastAsia="Arial" w:hAnsi="Arial"/>
                <w:sz w:val="18"/>
                <w:szCs w:val="18"/>
                <w:color w:val="auto"/>
              </w:rPr>
              <w:t>Invesco PowerShares Capital Management – 9,633</w:t>
            </w:r>
          </w:p>
        </w:tc>
      </w:tr>
      <w:tr>
        <w:trPr>
          <w:trHeight w:val="216"/>
        </w:trPr>
        <w:tc>
          <w:tcPr>
            <w:tcW w:w="2020" w:type="dxa"/>
            <w:vAlign w:val="bottom"/>
          </w:tcPr>
          <w:p>
            <w:pPr>
              <w:jc w:val="center"/>
              <w:ind w:right="650"/>
              <w:spacing w:after="0"/>
              <w:rPr>
                <w:sz w:val="20"/>
                <w:szCs w:val="20"/>
                <w:color w:val="auto"/>
              </w:rPr>
            </w:pPr>
            <w:r>
              <w:rPr>
                <w:rFonts w:ascii="Arial" w:cs="Arial" w:eastAsia="Arial" w:hAnsi="Arial"/>
                <w:sz w:val="18"/>
                <w:szCs w:val="18"/>
                <w:color w:val="auto"/>
              </w:rPr>
              <w:t>BENEFICIALLY</w:t>
            </w:r>
          </w:p>
        </w:tc>
        <w:tc>
          <w:tcPr>
            <w:tcW w:w="940" w:type="dxa"/>
            <w:vAlign w:val="bottom"/>
          </w:tcPr>
          <w:p>
            <w:pPr>
              <w:spacing w:after="0"/>
              <w:rPr>
                <w:sz w:val="18"/>
                <w:szCs w:val="18"/>
                <w:color w:val="auto"/>
              </w:rPr>
            </w:pPr>
          </w:p>
        </w:tc>
        <w:tc>
          <w:tcPr>
            <w:tcW w:w="7720" w:type="dxa"/>
            <w:vAlign w:val="bottom"/>
          </w:tcPr>
          <w:p>
            <w:pPr>
              <w:ind w:left="360"/>
              <w:spacing w:after="0"/>
              <w:rPr>
                <w:sz w:val="20"/>
                <w:szCs w:val="20"/>
                <w:color w:val="auto"/>
              </w:rPr>
            </w:pPr>
            <w:r>
              <w:rPr>
                <w:rFonts w:ascii="Arial" w:cs="Arial" w:eastAsia="Arial" w:hAnsi="Arial"/>
                <w:sz w:val="18"/>
                <w:szCs w:val="18"/>
                <w:color w:val="auto"/>
              </w:rPr>
              <w:t>Invesco Asset Management(Japan) Limited – 7,060</w:t>
            </w:r>
          </w:p>
        </w:tc>
      </w:tr>
      <w:tr>
        <w:trPr>
          <w:trHeight w:val="216"/>
        </w:trPr>
        <w:tc>
          <w:tcPr>
            <w:tcW w:w="2020" w:type="dxa"/>
            <w:vAlign w:val="bottom"/>
          </w:tcPr>
          <w:p>
            <w:pPr>
              <w:jc w:val="center"/>
              <w:ind w:right="650"/>
              <w:spacing w:after="0"/>
              <w:rPr>
                <w:sz w:val="20"/>
                <w:szCs w:val="20"/>
                <w:color w:val="auto"/>
              </w:rPr>
            </w:pPr>
            <w:r>
              <w:rPr>
                <w:rFonts w:ascii="Arial" w:cs="Arial" w:eastAsia="Arial" w:hAnsi="Arial"/>
                <w:sz w:val="18"/>
                <w:szCs w:val="18"/>
                <w:color w:val="auto"/>
                <w:w w:val="97"/>
              </w:rPr>
              <w:t>OWNED BY</w:t>
            </w:r>
          </w:p>
        </w:tc>
        <w:tc>
          <w:tcPr>
            <w:tcW w:w="94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Invesco Investment Advisers, LLC – 3,517</w:t>
            </w:r>
          </w:p>
        </w:tc>
      </w:tr>
      <w:tr>
        <w:trPr>
          <w:trHeight w:val="237"/>
        </w:trPr>
        <w:tc>
          <w:tcPr>
            <w:tcW w:w="2020" w:type="dxa"/>
            <w:vAlign w:val="bottom"/>
          </w:tcPr>
          <w:p>
            <w:pPr>
              <w:jc w:val="center"/>
              <w:ind w:right="630"/>
              <w:spacing w:after="0"/>
              <w:rPr>
                <w:sz w:val="20"/>
                <w:szCs w:val="20"/>
                <w:color w:val="auto"/>
              </w:rPr>
            </w:pPr>
            <w:r>
              <w:rPr>
                <w:rFonts w:ascii="Arial" w:cs="Arial" w:eastAsia="Arial" w:hAnsi="Arial"/>
                <w:sz w:val="18"/>
                <w:szCs w:val="18"/>
                <w:color w:val="auto"/>
                <w:w w:val="99"/>
              </w:rPr>
              <w:t>EACH</w:t>
            </w:r>
          </w:p>
        </w:tc>
        <w:tc>
          <w:tcPr>
            <w:tcW w:w="940" w:type="dxa"/>
            <w:vAlign w:val="bottom"/>
            <w:tcBorders>
              <w:bottom w:val="single" w:sz="8" w:color="auto"/>
            </w:tcBorders>
          </w:tcPr>
          <w:p>
            <w:pPr>
              <w:spacing w:after="0"/>
              <w:rPr>
                <w:sz w:val="20"/>
                <w:szCs w:val="20"/>
                <w:color w:val="auto"/>
              </w:rPr>
            </w:pPr>
          </w:p>
        </w:tc>
        <w:tc>
          <w:tcPr>
            <w:tcW w:w="7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Invesco PowerShares Capital Management Ireland Limited – 174</w:t>
            </w:r>
          </w:p>
        </w:tc>
      </w:tr>
      <w:tr>
        <w:trPr>
          <w:trHeight w:val="175"/>
        </w:trPr>
        <w:tc>
          <w:tcPr>
            <w:tcW w:w="2020" w:type="dxa"/>
            <w:vAlign w:val="bottom"/>
          </w:tcPr>
          <w:p>
            <w:pPr>
              <w:jc w:val="center"/>
              <w:ind w:right="650"/>
              <w:spacing w:after="0" w:line="175" w:lineRule="exact"/>
              <w:rPr>
                <w:sz w:val="20"/>
                <w:szCs w:val="20"/>
                <w:color w:val="auto"/>
              </w:rPr>
            </w:pPr>
            <w:r>
              <w:rPr>
                <w:rFonts w:ascii="Arial" w:cs="Arial" w:eastAsia="Arial" w:hAnsi="Arial"/>
                <w:sz w:val="18"/>
                <w:szCs w:val="18"/>
                <w:color w:val="auto"/>
                <w:w w:val="93"/>
              </w:rPr>
              <w:t>REPORTING</w:t>
            </w:r>
          </w:p>
        </w:tc>
        <w:tc>
          <w:tcPr>
            <w:tcW w:w="940" w:type="dxa"/>
            <w:vAlign w:val="bottom"/>
          </w:tcPr>
          <w:p>
            <w:pPr>
              <w:jc w:val="right"/>
              <w:ind w:right="250"/>
              <w:spacing w:after="0" w:line="175" w:lineRule="exact"/>
              <w:rPr>
                <w:sz w:val="20"/>
                <w:szCs w:val="20"/>
                <w:color w:val="auto"/>
              </w:rPr>
            </w:pPr>
            <w:r>
              <w:rPr>
                <w:rFonts w:ascii="Arial" w:cs="Arial" w:eastAsia="Arial" w:hAnsi="Arial"/>
                <w:sz w:val="18"/>
                <w:szCs w:val="18"/>
                <w:b w:val="1"/>
                <w:bCs w:val="1"/>
                <w:color w:val="auto"/>
              </w:rPr>
              <w:t>6</w:t>
            </w:r>
          </w:p>
        </w:tc>
        <w:tc>
          <w:tcPr>
            <w:tcW w:w="7720" w:type="dxa"/>
            <w:vAlign w:val="bottom"/>
          </w:tcPr>
          <w:p>
            <w:pPr>
              <w:ind w:left="340"/>
              <w:spacing w:after="0" w:line="175" w:lineRule="exact"/>
              <w:rPr>
                <w:sz w:val="20"/>
                <w:szCs w:val="20"/>
                <w:color w:val="auto"/>
              </w:rPr>
            </w:pPr>
            <w:r>
              <w:rPr>
                <w:rFonts w:ascii="Arial" w:cs="Arial" w:eastAsia="Arial" w:hAnsi="Arial"/>
                <w:sz w:val="18"/>
                <w:szCs w:val="18"/>
                <w:color w:val="auto"/>
              </w:rPr>
              <w:t>SHARED VOTING POWER</w:t>
            </w:r>
          </w:p>
        </w:tc>
      </w:tr>
      <w:tr>
        <w:trPr>
          <w:trHeight w:val="216"/>
        </w:trPr>
        <w:tc>
          <w:tcPr>
            <w:tcW w:w="2020" w:type="dxa"/>
            <w:vAlign w:val="bottom"/>
          </w:tcPr>
          <w:p>
            <w:pPr>
              <w:jc w:val="center"/>
              <w:ind w:right="630"/>
              <w:spacing w:after="0"/>
              <w:rPr>
                <w:sz w:val="20"/>
                <w:szCs w:val="20"/>
                <w:color w:val="auto"/>
              </w:rPr>
            </w:pPr>
            <w:r>
              <w:rPr>
                <w:rFonts w:ascii="Arial" w:cs="Arial" w:eastAsia="Arial" w:hAnsi="Arial"/>
                <w:sz w:val="18"/>
                <w:szCs w:val="18"/>
                <w:color w:val="auto"/>
                <w:w w:val="92"/>
              </w:rPr>
              <w:t>PERSON</w:t>
            </w:r>
          </w:p>
        </w:tc>
        <w:tc>
          <w:tcPr>
            <w:tcW w:w="940" w:type="dxa"/>
            <w:vAlign w:val="bottom"/>
          </w:tcPr>
          <w:p>
            <w:pPr>
              <w:spacing w:after="0"/>
              <w:rPr>
                <w:sz w:val="18"/>
                <w:szCs w:val="18"/>
                <w:color w:val="auto"/>
              </w:rPr>
            </w:pPr>
          </w:p>
        </w:tc>
        <w:tc>
          <w:tcPr>
            <w:tcW w:w="7720" w:type="dxa"/>
            <w:vAlign w:val="bottom"/>
          </w:tcPr>
          <w:p>
            <w:pPr>
              <w:spacing w:after="0"/>
              <w:rPr>
                <w:sz w:val="18"/>
                <w:szCs w:val="18"/>
                <w:color w:val="auto"/>
              </w:rPr>
            </w:pPr>
          </w:p>
        </w:tc>
      </w:tr>
      <w:tr>
        <w:trPr>
          <w:trHeight w:val="264"/>
        </w:trPr>
        <w:tc>
          <w:tcPr>
            <w:tcW w:w="2020" w:type="dxa"/>
            <w:vAlign w:val="bottom"/>
          </w:tcPr>
          <w:p>
            <w:pPr>
              <w:jc w:val="center"/>
              <w:ind w:right="630"/>
              <w:spacing w:after="0"/>
              <w:rPr>
                <w:sz w:val="20"/>
                <w:szCs w:val="20"/>
                <w:color w:val="auto"/>
              </w:rPr>
            </w:pPr>
            <w:r>
              <w:rPr>
                <w:rFonts w:ascii="Arial" w:cs="Arial" w:eastAsia="Arial" w:hAnsi="Arial"/>
                <w:sz w:val="18"/>
                <w:szCs w:val="18"/>
                <w:color w:val="auto"/>
                <w:w w:val="99"/>
              </w:rPr>
              <w:t>WITH</w:t>
            </w:r>
          </w:p>
        </w:tc>
        <w:tc>
          <w:tcPr>
            <w:tcW w:w="940" w:type="dxa"/>
            <w:vAlign w:val="bottom"/>
            <w:tcBorders>
              <w:bottom w:val="single" w:sz="8" w:color="auto"/>
            </w:tcBorders>
          </w:tcPr>
          <w:p>
            <w:pPr>
              <w:spacing w:after="0"/>
              <w:rPr>
                <w:sz w:val="22"/>
                <w:szCs w:val="22"/>
                <w:color w:val="auto"/>
              </w:rPr>
            </w:pPr>
          </w:p>
        </w:tc>
        <w:tc>
          <w:tcPr>
            <w:tcW w:w="7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Invesco Advisers, Inc. – 12,900</w:t>
            </w:r>
          </w:p>
        </w:tc>
      </w:tr>
      <w:tr>
        <w:trPr>
          <w:trHeight w:val="234"/>
        </w:trPr>
        <w:tc>
          <w:tcPr>
            <w:tcW w:w="202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7</w:t>
            </w:r>
          </w:p>
        </w:tc>
        <w:tc>
          <w:tcPr>
            <w:tcW w:w="7720" w:type="dxa"/>
            <w:vAlign w:val="bottom"/>
          </w:tcPr>
          <w:p>
            <w:pPr>
              <w:ind w:left="340"/>
              <w:spacing w:after="0"/>
              <w:rPr>
                <w:sz w:val="20"/>
                <w:szCs w:val="20"/>
                <w:color w:val="auto"/>
              </w:rPr>
            </w:pPr>
            <w:r>
              <w:rPr>
                <w:rFonts w:ascii="Arial" w:cs="Arial" w:eastAsia="Arial" w:hAnsi="Arial"/>
                <w:sz w:val="18"/>
                <w:szCs w:val="18"/>
                <w:color w:val="auto"/>
              </w:rPr>
              <w:t>SOLE DISPOSITIVE POWER</w:t>
            </w:r>
          </w:p>
        </w:tc>
      </w:tr>
      <w:tr>
        <w:trPr>
          <w:trHeight w:val="400"/>
        </w:trPr>
        <w:tc>
          <w:tcPr>
            <w:tcW w:w="2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720" w:type="dxa"/>
            <w:vAlign w:val="bottom"/>
          </w:tcPr>
          <w:p>
            <w:pPr>
              <w:ind w:left="360"/>
              <w:spacing w:after="0"/>
              <w:rPr>
                <w:sz w:val="20"/>
                <w:szCs w:val="20"/>
                <w:color w:val="auto"/>
              </w:rPr>
            </w:pPr>
            <w:r>
              <w:rPr>
                <w:rFonts w:ascii="Arial" w:cs="Arial" w:eastAsia="Arial" w:hAnsi="Arial"/>
                <w:sz w:val="18"/>
                <w:szCs w:val="18"/>
                <w:color w:val="auto"/>
              </w:rPr>
              <w:t>Invesco Advisers, Inc. – 3,329,502</w:t>
            </w:r>
          </w:p>
        </w:tc>
      </w:tr>
      <w:tr>
        <w:trPr>
          <w:trHeight w:val="216"/>
        </w:trPr>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720" w:type="dxa"/>
            <w:vAlign w:val="bottom"/>
          </w:tcPr>
          <w:p>
            <w:pPr>
              <w:ind w:left="360"/>
              <w:spacing w:after="0"/>
              <w:rPr>
                <w:sz w:val="20"/>
                <w:szCs w:val="20"/>
                <w:color w:val="auto"/>
              </w:rPr>
            </w:pPr>
            <w:r>
              <w:rPr>
                <w:rFonts w:ascii="Arial" w:cs="Arial" w:eastAsia="Arial" w:hAnsi="Arial"/>
                <w:sz w:val="18"/>
                <w:szCs w:val="18"/>
                <w:color w:val="auto"/>
              </w:rPr>
              <w:t>Invesco PowerShares Capital Management – 9,633</w:t>
            </w:r>
          </w:p>
        </w:tc>
      </w:tr>
      <w:tr>
        <w:trPr>
          <w:trHeight w:val="216"/>
        </w:trPr>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720" w:type="dxa"/>
            <w:vAlign w:val="bottom"/>
          </w:tcPr>
          <w:p>
            <w:pPr>
              <w:ind w:left="360"/>
              <w:spacing w:after="0"/>
              <w:rPr>
                <w:sz w:val="20"/>
                <w:szCs w:val="20"/>
                <w:color w:val="auto"/>
              </w:rPr>
            </w:pPr>
            <w:r>
              <w:rPr>
                <w:rFonts w:ascii="Arial" w:cs="Arial" w:eastAsia="Arial" w:hAnsi="Arial"/>
                <w:sz w:val="18"/>
                <w:szCs w:val="18"/>
                <w:color w:val="auto"/>
              </w:rPr>
              <w:t>Invesco Asset Management(Japan) Limited – 7,060</w:t>
            </w:r>
          </w:p>
        </w:tc>
      </w:tr>
      <w:tr>
        <w:trPr>
          <w:trHeight w:val="216"/>
        </w:trPr>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Invesco Investment Advisers, LLC – 3,517</w:t>
            </w:r>
          </w:p>
        </w:tc>
      </w:tr>
      <w:tr>
        <w:trPr>
          <w:trHeight w:val="237"/>
        </w:trPr>
        <w:tc>
          <w:tcPr>
            <w:tcW w:w="20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Invesco PowerShares Capital Management Ireland Limited – 174</w:t>
            </w:r>
          </w:p>
        </w:tc>
      </w:tr>
      <w:tr>
        <w:trPr>
          <w:trHeight w:val="234"/>
        </w:trPr>
        <w:tc>
          <w:tcPr>
            <w:tcW w:w="202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8</w:t>
            </w:r>
          </w:p>
        </w:tc>
        <w:tc>
          <w:tcPr>
            <w:tcW w:w="7720" w:type="dxa"/>
            <w:vAlign w:val="bottom"/>
          </w:tcPr>
          <w:p>
            <w:pPr>
              <w:ind w:left="340"/>
              <w:spacing w:after="0"/>
              <w:rPr>
                <w:sz w:val="20"/>
                <w:szCs w:val="20"/>
                <w:color w:val="auto"/>
              </w:rPr>
            </w:pPr>
            <w:r>
              <w:rPr>
                <w:rFonts w:ascii="Arial" w:cs="Arial" w:eastAsia="Arial" w:hAnsi="Arial"/>
                <w:sz w:val="18"/>
                <w:szCs w:val="18"/>
                <w:color w:val="auto"/>
              </w:rPr>
              <w:t>SHARED DISPOSITIVE POWER</w:t>
            </w:r>
          </w:p>
        </w:tc>
      </w:tr>
    </w:tbl>
    <w:p>
      <w:pPr>
        <w:spacing w:after="0" w:line="18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Invesco Advisers, Inc. – 9,102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140" w:hanging="691"/>
        <w:spacing w:after="0"/>
        <w:tabs>
          <w:tab w:leader="none" w:pos="11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3,358,988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140" w:right="3120" w:hanging="736"/>
        <w:spacing w:after="0" w:line="389" w:lineRule="auto"/>
        <w:tabs>
          <w:tab w:leader="none" w:pos="11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N/A</w:t>
      </w:r>
    </w:p>
    <w:p>
      <w:pPr>
        <w:spacing w:after="0" w:line="4" w:lineRule="exact"/>
        <w:rPr>
          <w:rFonts w:ascii="Arial" w:cs="Arial" w:eastAsia="Arial" w:hAnsi="Arial"/>
          <w:sz w:val="18"/>
          <w:szCs w:val="18"/>
          <w:b w:val="1"/>
          <w:bCs w:val="1"/>
          <w:color w:val="auto"/>
        </w:rPr>
      </w:pPr>
    </w:p>
    <w:p>
      <w:pPr>
        <w:ind w:left="1160" w:right="5340" w:hanging="751"/>
        <w:spacing w:after="0" w:line="389" w:lineRule="auto"/>
        <w:tabs>
          <w:tab w:leader="none" w:pos="114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5.3%</w:t>
      </w:r>
    </w:p>
    <w:p>
      <w:pPr>
        <w:spacing w:after="0" w:line="4" w:lineRule="exact"/>
        <w:rPr>
          <w:rFonts w:ascii="Arial" w:cs="Arial" w:eastAsia="Arial" w:hAnsi="Arial"/>
          <w:sz w:val="18"/>
          <w:szCs w:val="18"/>
          <w:b w:val="1"/>
          <w:bCs w:val="1"/>
          <w:color w:val="auto"/>
        </w:rPr>
      </w:pPr>
    </w:p>
    <w:p>
      <w:pPr>
        <w:ind w:left="1160" w:right="7680" w:hanging="756"/>
        <w:spacing w:after="0" w:line="624" w:lineRule="auto"/>
        <w:tabs>
          <w:tab w:leader="none" w:pos="1142"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TYPE OF REPORTING PERSON* See Item 3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-1043940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1(a). Name of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 Rockville, MD 20852;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of Principal Business Office or, if none, residence of filing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1555 Peachtree Street NE; Atlanta, GA 30309;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Citizenship of filing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Title of Classes of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Common Stock .01 par value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CUSIP Number: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313747206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If this statement is filed pursuant to ss240.13d-1(b) or 240.13d-2(b) or (c), check whether the person filing is 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 [x] An investment adviser in accordance with section 240.13d-1(b)(1)(ii)(E)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 [x] A parent holding company or control person in accordance with section 240.13d-1(b)(1)(ii)(G)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color w:val="auto"/>
        </w:rPr>
        <w:t>Ownership: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Please see responses to Items 5-8 on the cover of this statement, which are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color w:val="auto"/>
        </w:rPr>
        <w:t>Ownership of Five Percent or Less of a Class: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Ownership of More than Five Percent on Behalf of Another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Identification and Classification of the Subsidiary which Acquired the Security Being Reported on by the Parent Holding Company: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subsidiaries of Invesco Ltd. are investment advisers which hold shares of the security being reported: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Invesco Advisers,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Invesco PowerShares Capital Management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Invesco Asset Management(Japan) Limited</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Invesco Investment Advisers, LLC</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Invesco PowerShares Capital Management Ireland Limited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color w:val="auto"/>
        </w:rPr>
        <w:t>Identification and Classification of Members of the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color w:val="auto"/>
        </w:rPr>
        <w:t>Notice of Dissolution of a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color w:val="auto"/>
        </w:rPr>
        <w:t>Certification:</w:t>
      </w:r>
    </w:p>
    <w:p>
      <w:pPr>
        <w:spacing w:after="0" w:line="256"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02/10/2012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18"/>
                <w:szCs w:val="18"/>
                <w:color w:val="auto"/>
              </w:rPr>
            </w:pPr>
          </w:p>
        </w:tc>
        <w:tc>
          <w:tcPr>
            <w:tcW w:w="10660" w:type="dxa"/>
            <w:vAlign w:val="bottom"/>
            <w:gridSpan w:val="2"/>
          </w:tcPr>
          <w:p>
            <w:pPr>
              <w:spacing w:after="0"/>
              <w:rPr>
                <w:sz w:val="20"/>
                <w:szCs w:val="20"/>
                <w:color w:val="auto"/>
              </w:rPr>
            </w:pPr>
            <w:r>
              <w:rPr>
                <w:rFonts w:ascii="Arial" w:cs="Arial" w:eastAsia="Arial" w:hAnsi="Arial"/>
                <w:sz w:val="18"/>
                <w:szCs w:val="18"/>
                <w:color w:val="auto"/>
              </w:rPr>
              <w:t>/s/ Lisa Brinkley</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200"/>
              <w:spacing w:after="0"/>
              <w:rPr>
                <w:sz w:val="20"/>
                <w:szCs w:val="20"/>
                <w:color w:val="auto"/>
              </w:rPr>
            </w:pPr>
            <w:r>
              <w:rPr>
                <w:rFonts w:ascii="Arial" w:cs="Arial" w:eastAsia="Arial" w:hAnsi="Arial"/>
                <w:sz w:val="18"/>
                <w:szCs w:val="18"/>
                <w:color w:val="auto"/>
              </w:rPr>
              <w:t>Lisa Brinkley</w:t>
            </w: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200"/>
              <w:spacing w:after="0"/>
              <w:rPr>
                <w:sz w:val="20"/>
                <w:szCs w:val="20"/>
                <w:color w:val="auto"/>
              </w:rPr>
            </w:pPr>
            <w:r>
              <w:rPr>
                <w:rFonts w:ascii="Arial" w:cs="Arial" w:eastAsia="Arial" w:hAnsi="Arial"/>
                <w:sz w:val="18"/>
                <w:szCs w:val="18"/>
                <w:color w:val="auto"/>
              </w:rPr>
              <w:t>Global Assurance Officer</w:t>
            </w:r>
          </w:p>
        </w:tc>
      </w:tr>
      <w:tr>
        <w:trPr>
          <w:trHeight w:val="902"/>
        </w:trPr>
        <w:tc>
          <w:tcPr>
            <w:tcW w:w="4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9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 12/31/2011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Lisa Brinkley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Lisa Brinkley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Global Assurance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Advisers,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Jeffrey Kupor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Jeffrey Kupor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Canada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Wayne Bolton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Wayne Bolton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Compliance &amp; Chief Compliance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National Trust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Kevin Lyman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Kevin Lyman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General Counsel</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Hong Kong Limited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Asha Balachandra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Asha Balachandra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Reg. Head of Legal AP</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Deutschland GmbH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Stephanie Ehrenfried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Stephanie Ehrenfried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Legal CE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Limited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Nick Styman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Nick Styman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 of European Compliance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Nicolas Bouet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Nicolas Bouet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Deputy Managing Director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Bernard Aybran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Bernard Aybran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Deputy Managing Director</w:t>
      </w:r>
    </w:p>
    <w:p>
      <w:pPr>
        <w:sectPr>
          <w:pgSz w:w="11900" w:h="16838" w:orient="portrait"/>
          <w:cols w:equalWidth="0" w:num="1">
            <w:col w:w="11420"/>
          </w:cols>
          <w:pgMar w:left="240" w:top="513" w:right="239" w:bottom="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Invesco Asset Management Oesterreich GmbH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Thomas Kraus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Thomas Kraus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Sales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GT Management Company 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Nick Styman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Nick Styman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 of European Compliance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Management 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John Rowland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John Rowland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Taiwan Limited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Asha Balachandra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Asha Balachandra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Reg. Head of Legal, AP</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Invesco Asset Management (Japan) Limited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Asha Balachandra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Asha Balachandra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Reg. Head of Legal, AP</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Ireland Limited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John Rowland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John Rowland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Kapitalanlagegesellschaft GmbH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Stephanie Ehrenfried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Stephanie Ehrenfried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Legal CE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Invesco PowerShares Capital Management LLC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Deanna Marotz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Deanna Marotz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Compliance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Stein Roe Investment Counsel,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Greg Campbell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Greg Campbell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General Counsel</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Investment Advisers,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Christopher C. Joe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Christopher C. Joe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Compliance Officer</w:t>
      </w:r>
    </w:p>
    <w:p>
      <w:pPr>
        <w:sectPr>
          <w:pgSz w:w="11900" w:h="16838" w:orient="portrait"/>
          <w:cols w:equalWidth="0" w:num="1">
            <w:col w:w="10219"/>
          </w:cols>
          <w:pgMar w:left="240" w:top="368" w:right="1440" w:bottom="450"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4"/>
      <w:numFmt w:val="bullet"/>
      <w:start w:val="1"/>
    </w:lvl>
  </w:abstractNum>
  <w:abstractNum w:abstractNumId="5">
    <w:nsid w:val="41B71EFB"/>
    <w:multiLevelType w:val="hybridMultilevel"/>
    <w:lvl w:ilvl="0">
      <w:lvlJc w:val="left"/>
      <w:lvlText w:val="5"/>
      <w:numFmt w:val="bullet"/>
      <w:start w:val="1"/>
    </w:lvl>
  </w:abstractNum>
  <w:abstractNum w:abstractNumId="6">
    <w:nsid w:val="79E2A9E3"/>
    <w:multiLevelType w:val="hybridMultilevel"/>
    <w:lvl w:ilvl="0">
      <w:lvlJc w:val="left"/>
      <w:lvlText w:val="9"/>
      <w:numFmt w:val="bullet"/>
      <w:start w:val="1"/>
    </w:lvl>
  </w:abstractNum>
  <w:abstractNum w:abstractNumId="7">
    <w:nsid w:val="7545E14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2019-12-09T07:38:31Z</dcterms:created>
  <dcterms:modified xsi:type="dcterms:W3CDTF">2019-12-09T07:38:31Z</dcterms:modified>
</cp:coreProperties>
</file>