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Filed Pursuant to Rule 424(b)(5)</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No. 333-135159</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32406B"/>
        </w:rPr>
        <w:t>(To Prospectus Dated June 20, 2006)</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75565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ind w:left="3340"/>
        <w:spacing w:after="0"/>
        <w:rPr>
          <w:sz w:val="20"/>
          <w:szCs w:val="20"/>
          <w:color w:val="auto"/>
        </w:rPr>
      </w:pPr>
      <w:r>
        <w:rPr>
          <w:rFonts w:ascii="Arial" w:cs="Arial" w:eastAsia="Arial" w:hAnsi="Arial"/>
          <w:sz w:val="32"/>
          <w:szCs w:val="32"/>
          <w:b w:val="1"/>
          <w:bCs w:val="1"/>
          <w:color w:val="32406B"/>
        </w:rPr>
        <w:t>$55,000,000 6.00% Notes due 2012</w:t>
      </w:r>
    </w:p>
    <w:p>
      <w:pPr>
        <w:spacing w:after="0" w:line="78" w:lineRule="exact"/>
        <w:rPr>
          <w:sz w:val="24"/>
          <w:szCs w:val="24"/>
          <w:color w:val="auto"/>
        </w:rPr>
      </w:pPr>
    </w:p>
    <w:p>
      <w:pPr>
        <w:ind w:left="3340"/>
        <w:spacing w:after="0"/>
        <w:rPr>
          <w:sz w:val="20"/>
          <w:szCs w:val="20"/>
          <w:color w:val="auto"/>
        </w:rPr>
      </w:pPr>
      <w:r>
        <w:rPr>
          <w:rFonts w:ascii="Arial" w:cs="Arial" w:eastAsia="Arial" w:hAnsi="Arial"/>
          <w:sz w:val="32"/>
          <w:szCs w:val="32"/>
          <w:b w:val="1"/>
          <w:bCs w:val="1"/>
          <w:color w:val="32406B"/>
        </w:rPr>
        <w:t>$70,000,000 6.20% Notes due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7"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32406B"/>
        </w:rPr>
        <w:t>The 6.00% notes due 2012 offered by this prospectus supplement (the “2012 Notes”) will bear interest at the rate of 6.00% per year, and the 6.20% notes due 2017 offered by this prospectus supplement (the “2017 Notes” and, together with the 2012 Notes, the “Notes”) will bear interest at the rate of 6.20% per year. Interest on the Notes is payable on January 15 and July 15 of each year, beginning on January 15, 2007. The 2012 Notes will mature on July 15, 2012, and the 2017 Notes will mature on January 15, 2017. We may redeem some or all of the Notes at any time before maturity. The redemption prices are discussed under the caption “Description of Notes — Optional Redemption.”</w:t>
      </w:r>
    </w:p>
    <w:p>
      <w:pPr>
        <w:spacing w:after="0" w:line="62" w:lineRule="exact"/>
        <w:rPr>
          <w:sz w:val="24"/>
          <w:szCs w:val="24"/>
          <w:color w:val="auto"/>
        </w:rPr>
      </w:pPr>
    </w:p>
    <w:p>
      <w:pPr>
        <w:ind w:right="220" w:firstLine="456"/>
        <w:spacing w:after="0" w:line="259" w:lineRule="auto"/>
        <w:rPr>
          <w:sz w:val="20"/>
          <w:szCs w:val="20"/>
          <w:color w:val="auto"/>
        </w:rPr>
      </w:pPr>
      <w:r>
        <w:rPr>
          <w:rFonts w:ascii="Arial" w:cs="Arial" w:eastAsia="Arial" w:hAnsi="Arial"/>
          <w:sz w:val="18"/>
          <w:szCs w:val="18"/>
          <w:color w:val="32406B"/>
        </w:rPr>
        <w:t>The 2012 Notes offered hereby will be fully fungible with, rank equally with and form a single issue and series with, the $120 million 6.00% notes due 2012 initially issued on July 17, 2006. The 2017 Notes offered hereby will be fully fungible with, rank equally with and form a single issue and series with, the $130 million 6.20% notes due 2017 initially issued on July 17, 2006.</w:t>
      </w:r>
    </w:p>
    <w:p>
      <w:pPr>
        <w:spacing w:after="0" w:line="59" w:lineRule="exact"/>
        <w:rPr>
          <w:sz w:val="24"/>
          <w:szCs w:val="24"/>
          <w:color w:val="auto"/>
        </w:rPr>
      </w:pPr>
    </w:p>
    <w:p>
      <w:pPr>
        <w:ind w:left="460"/>
        <w:spacing w:after="0"/>
        <w:rPr>
          <w:sz w:val="20"/>
          <w:szCs w:val="20"/>
          <w:color w:val="auto"/>
        </w:rPr>
      </w:pPr>
      <w:r>
        <w:rPr>
          <w:rFonts w:ascii="Arial" w:cs="Arial" w:eastAsia="Arial" w:hAnsi="Arial"/>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4"/>
          <w:szCs w:val="24"/>
          <w:color w:val="auto"/>
        </w:rPr>
      </w:pPr>
    </w:p>
    <w:p>
      <w:pPr>
        <w:ind w:right="300"/>
        <w:spacing w:after="0" w:line="319" w:lineRule="auto"/>
        <w:rPr>
          <w:rFonts w:ascii="Arial" w:cs="Arial" w:eastAsia="Arial" w:hAnsi="Arial"/>
          <w:sz w:val="19"/>
          <w:szCs w:val="19"/>
          <w:b w:val="1"/>
          <w:bCs w:val="1"/>
          <w:color w:val="32406B"/>
        </w:rPr>
      </w:pPr>
      <w:r>
        <w:rPr>
          <w:rFonts w:ascii="Arial" w:cs="Arial" w:eastAsia="Arial" w:hAnsi="Arial"/>
          <w:sz w:val="19"/>
          <w:szCs w:val="19"/>
          <w:b w:val="1"/>
          <w:bCs w:val="1"/>
          <w:color w:val="32406B"/>
        </w:rPr>
        <w:t xml:space="preserve">Investing in the Notes involves risks. See “ </w:t>
      </w:r>
      <w:hyperlink w:anchor="page9">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32406B"/>
        </w:rPr>
        <w:t>” beginning on page S-5 of this prospectus supplement and in our Annual Report on Form 10-K filed with the SEC on March 3, 2006 and amended on March 10, 2006.</w:t>
      </w:r>
    </w:p>
    <w:tbl>
      <w:tblPr>
        <w:tblLayout w:type="fixed"/>
        <w:tblInd w:w="0" w:type="dxa"/>
        <w:tblCellMar>
          <w:top w:w="0" w:type="dxa"/>
          <w:left w:w="0" w:type="dxa"/>
          <w:bottom w:w="0" w:type="dxa"/>
          <w:right w:w="0" w:type="dxa"/>
        </w:tblCellMar>
      </w:tblPr>
      <w:tr>
        <w:trPr>
          <w:trHeight w:val="150"/>
        </w:trPr>
        <w:tc>
          <w:tcPr>
            <w:tcW w:w="4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880" w:type="dxa"/>
            <w:vAlign w:val="bottom"/>
            <w:gridSpan w:val="2"/>
          </w:tcPr>
          <w:p>
            <w:pPr>
              <w:jc w:val="center"/>
              <w:ind w:right="300"/>
              <w:spacing w:after="0" w:line="150" w:lineRule="exact"/>
              <w:rPr>
                <w:sz w:val="20"/>
                <w:szCs w:val="20"/>
                <w:color w:val="auto"/>
              </w:rPr>
            </w:pPr>
            <w:r>
              <w:rPr>
                <w:rFonts w:ascii="Arial" w:cs="Arial" w:eastAsia="Arial" w:hAnsi="Arial"/>
                <w:sz w:val="14"/>
                <w:szCs w:val="14"/>
                <w:b w:val="1"/>
                <w:bCs w:val="1"/>
                <w:color w:val="32406B"/>
                <w:w w:val="97"/>
              </w:rPr>
              <w:t>Per</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gridSpan w:val="2"/>
          </w:tcPr>
          <w:p>
            <w:pPr>
              <w:jc w:val="center"/>
              <w:ind w:right="460"/>
              <w:spacing w:after="0" w:line="150" w:lineRule="exact"/>
              <w:rPr>
                <w:sz w:val="20"/>
                <w:szCs w:val="20"/>
                <w:color w:val="auto"/>
              </w:rPr>
            </w:pPr>
            <w:r>
              <w:rPr>
                <w:rFonts w:ascii="Arial" w:cs="Arial" w:eastAsia="Arial" w:hAnsi="Arial"/>
                <w:sz w:val="14"/>
                <w:szCs w:val="14"/>
                <w:b w:val="1"/>
                <w:bCs w:val="1"/>
                <w:color w:val="32406B"/>
                <w:w w:val="88"/>
              </w:rPr>
              <w:t>Per</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9"/>
        </w:trPr>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3"/>
              </w:rPr>
              <w:t>2012</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32406B"/>
                <w:w w:val="89"/>
              </w:rPr>
              <w:t>2017</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3"/>
              </w:rPr>
              <w:t>Note</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32406B"/>
              </w:rPr>
              <w:t>Total</w:t>
            </w: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32406B"/>
                <w:w w:val="89"/>
              </w:rPr>
              <w:t>Note</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32406B"/>
              </w:rPr>
              <w:t>Total</w:t>
            </w:r>
          </w:p>
        </w:tc>
        <w:tc>
          <w:tcPr>
            <w:tcW w:w="2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Public Offering Price (1)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88"/>
              </w:rPr>
              <w:t>102.838%</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86"/>
              </w:rPr>
              <w:t>56,560,900</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88"/>
              </w:rPr>
              <w:t>104.049%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72,834,300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32406B"/>
              </w:rPr>
              <w:t>Underwriting Discount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32406B"/>
              </w:rPr>
              <w:t>0.6125%</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32406B"/>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32406B"/>
              </w:rPr>
              <w:t>336,875</w:t>
            </w: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32406B"/>
              </w:rPr>
              <w:t>0.650%</w:t>
            </w:r>
          </w:p>
        </w:tc>
        <w:tc>
          <w:tcPr>
            <w:tcW w:w="140" w:type="dxa"/>
            <w:vAlign w:val="bottom"/>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tcPr>
          <w:p>
            <w:pPr>
              <w:jc w:val="right"/>
              <w:spacing w:after="0"/>
              <w:rPr>
                <w:sz w:val="20"/>
                <w:szCs w:val="20"/>
                <w:color w:val="auto"/>
              </w:rPr>
            </w:pPr>
            <w:r>
              <w:rPr>
                <w:rFonts w:ascii="Arial" w:cs="Arial" w:eastAsia="Arial" w:hAnsi="Arial"/>
                <w:sz w:val="18"/>
                <w:szCs w:val="18"/>
                <w:color w:val="32406B"/>
              </w:rPr>
              <w:t>455,000</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32406B"/>
              </w:rPr>
              <w:t>Proceeds to Federal Realty (before expenses) (1)</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32406B"/>
                <w:w w:val="88"/>
              </w:rPr>
              <w:t>102.226%</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32406B"/>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86"/>
              </w:rPr>
              <w:t>56,224,025</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32406B"/>
                <w:w w:val="88"/>
              </w:rPr>
              <w:t>103.399%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32406B"/>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32406B"/>
                <w:w w:val="88"/>
              </w:rPr>
              <w:t>72,379,300</w:t>
            </w:r>
          </w:p>
        </w:tc>
        <w:tc>
          <w:tcPr>
            <w:tcW w:w="20" w:type="dxa"/>
            <w:vAlign w:val="bottom"/>
          </w:tcPr>
          <w:p>
            <w:pPr>
              <w:spacing w:after="0"/>
              <w:rPr>
                <w:sz w:val="18"/>
                <w:szCs w:val="18"/>
                <w:color w:val="auto"/>
              </w:rPr>
            </w:pPr>
          </w:p>
        </w:tc>
      </w:tr>
      <w:tr>
        <w:trPr>
          <w:trHeight w:val="108"/>
        </w:trPr>
        <w:tc>
          <w:tcPr>
            <w:tcW w:w="4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54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100" w:lineRule="exact"/>
        <w:rPr>
          <w:sz w:val="24"/>
          <w:szCs w:val="24"/>
          <w:color w:val="auto"/>
        </w:rPr>
      </w:pPr>
    </w:p>
    <w:p>
      <w:pPr>
        <w:ind w:left="460" w:right="360" w:hanging="452"/>
        <w:spacing w:after="0" w:line="268" w:lineRule="auto"/>
        <w:tabs>
          <w:tab w:leader="none" w:pos="460" w:val="left"/>
        </w:tabs>
        <w:numPr>
          <w:ilvl w:val="0"/>
          <w:numId w:val="1"/>
        </w:numPr>
        <w:rPr>
          <w:rFonts w:ascii="Arial" w:cs="Arial" w:eastAsia="Arial" w:hAnsi="Arial"/>
          <w:sz w:val="18"/>
          <w:szCs w:val="18"/>
          <w:color w:val="32406B"/>
        </w:rPr>
      </w:pPr>
      <w:r>
        <w:rPr>
          <w:rFonts w:ascii="Arial" w:cs="Arial" w:eastAsia="Arial" w:hAnsi="Arial"/>
          <w:sz w:val="18"/>
          <w:szCs w:val="18"/>
          <w:color w:val="32406B"/>
        </w:rPr>
        <w:t>Plus accrued interest from July 17, 2006, the date of original issuance of the $120 million 6.00% notes due 2012 and the $130 million 6.20% notes due 2017, to the date of issuance of the Notes, which is expected to be on or about September 28, 2006.</w:t>
      </w:r>
    </w:p>
    <w:p>
      <w:pPr>
        <w:spacing w:after="0" w:line="51" w:lineRule="exact"/>
        <w:rPr>
          <w:sz w:val="24"/>
          <w:szCs w:val="24"/>
          <w:color w:val="auto"/>
        </w:rPr>
      </w:pPr>
    </w:p>
    <w:p>
      <w:pPr>
        <w:ind w:right="300" w:firstLine="456"/>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September 28, 2006.</w:t>
      </w:r>
    </w:p>
    <w:p>
      <w:pPr>
        <w:spacing w:after="0" w:line="45" w:lineRule="exact"/>
        <w:rPr>
          <w:sz w:val="24"/>
          <w:szCs w:val="24"/>
          <w:color w:val="auto"/>
        </w:rPr>
      </w:pPr>
    </w:p>
    <w:p>
      <w:pPr>
        <w:ind w:right="460" w:firstLine="456"/>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32406B"/>
        </w:rPr>
        <w:t>Sole Book-Running Manager</w:t>
      </w:r>
    </w:p>
    <w:p>
      <w:pPr>
        <w:spacing w:after="0" w:line="5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Wachovia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135255</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74"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Bear, Stearns &amp; Co. Inc.</w:t>
      </w:r>
    </w:p>
    <w:p>
      <w:pPr>
        <w:spacing w:after="0" w:line="29" w:lineRule="exact"/>
        <w:rPr>
          <w:sz w:val="24"/>
          <w:szCs w:val="24"/>
          <w:color w:val="auto"/>
        </w:rPr>
      </w:pPr>
    </w:p>
    <w:p>
      <w:pPr>
        <w:ind w:left="2640"/>
        <w:spacing w:after="0"/>
        <w:rPr>
          <w:sz w:val="20"/>
          <w:szCs w:val="20"/>
          <w:color w:val="auto"/>
        </w:rPr>
      </w:pPr>
      <w:r>
        <w:rPr>
          <w:rFonts w:ascii="Arial" w:cs="Arial" w:eastAsia="Arial" w:hAnsi="Arial"/>
          <w:sz w:val="32"/>
          <w:szCs w:val="32"/>
          <w:b w:val="1"/>
          <w:bCs w:val="1"/>
          <w:color w:val="32406B"/>
        </w:rPr>
        <w:t>Citigroup</w:t>
      </w:r>
    </w:p>
    <w:p>
      <w:pPr>
        <w:ind w:left="4800"/>
        <w:spacing w:after="0" w:line="237" w:lineRule="auto"/>
        <w:rPr>
          <w:sz w:val="20"/>
          <w:szCs w:val="20"/>
          <w:color w:val="auto"/>
        </w:rPr>
      </w:pPr>
      <w:r>
        <w:rPr>
          <w:rFonts w:ascii="Arial" w:cs="Arial" w:eastAsia="Arial" w:hAnsi="Arial"/>
          <w:sz w:val="32"/>
          <w:szCs w:val="32"/>
          <w:b w:val="1"/>
          <w:bCs w:val="1"/>
          <w:color w:val="32406B"/>
        </w:rPr>
        <w:t>Merrill Lynch &amp; Co.</w:t>
      </w:r>
    </w:p>
    <w:p>
      <w:pPr>
        <w:spacing w:after="0" w:line="1" w:lineRule="exact"/>
        <w:rPr>
          <w:sz w:val="24"/>
          <w:szCs w:val="24"/>
          <w:color w:val="auto"/>
        </w:rPr>
      </w:pPr>
    </w:p>
    <w:p>
      <w:pPr>
        <w:ind w:left="8380"/>
        <w:spacing w:after="0"/>
        <w:rPr>
          <w:sz w:val="20"/>
          <w:szCs w:val="20"/>
          <w:color w:val="auto"/>
        </w:rPr>
      </w:pPr>
      <w:r>
        <w:rPr>
          <w:rFonts w:ascii="Arial" w:cs="Arial" w:eastAsia="Arial" w:hAnsi="Arial"/>
          <w:sz w:val="30"/>
          <w:szCs w:val="30"/>
          <w:b w:val="1"/>
          <w:bCs w:val="1"/>
          <w:color w:val="32406B"/>
        </w:rPr>
        <w:t>RBC Capital Markets</w:t>
      </w:r>
    </w:p>
    <w:p>
      <w:pPr>
        <w:sectPr>
          <w:pgSz w:w="11900" w:h="16838" w:orient="portrait"/>
          <w:cols w:equalWidth="0" w:num="1">
            <w:col w:w="11420"/>
          </w:cols>
          <w:pgMar w:left="240" w:top="230" w:right="239" w:bottom="1440" w:gutter="0" w:footer="0" w:header="0"/>
        </w:sectPr>
      </w:pPr>
    </w:p>
    <w:p>
      <w:pPr>
        <w:spacing w:after="0" w:line="9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32406B"/>
        </w:rPr>
        <w:t>The date of this prospectus supplement is September 25, 2006.</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3"/>
              </w:rPr>
              <w:t>Proposed</w:t>
            </w:r>
          </w:p>
        </w:tc>
        <w:tc>
          <w:tcPr>
            <w:tcW w:w="520" w:type="dxa"/>
            <w:vAlign w:val="bottom"/>
          </w:tcPr>
          <w:p>
            <w:pPr>
              <w:spacing w:after="0"/>
              <w:rPr>
                <w:sz w:val="14"/>
                <w:szCs w:val="14"/>
                <w:color w:val="auto"/>
              </w:rPr>
            </w:pPr>
          </w:p>
        </w:tc>
        <w:tc>
          <w:tcPr>
            <w:tcW w:w="14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Proposed</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Maximum</w:t>
            </w:r>
          </w:p>
        </w:tc>
        <w:tc>
          <w:tcPr>
            <w:tcW w:w="52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2"/>
              </w:rPr>
              <w:t>Maximum</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to</w:t>
            </w: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Offering</w:t>
            </w:r>
          </w:p>
        </w:tc>
        <w:tc>
          <w:tcPr>
            <w:tcW w:w="520" w:type="dxa"/>
            <w:vAlign w:val="bottom"/>
          </w:tcPr>
          <w:p>
            <w:pPr>
              <w:spacing w:after="0"/>
              <w:rPr>
                <w:sz w:val="12"/>
                <w:szCs w:val="12"/>
                <w:color w:val="auto"/>
              </w:rPr>
            </w:pP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Aggregate</w:t>
            </w:r>
          </w:p>
        </w:tc>
        <w:tc>
          <w:tcPr>
            <w:tcW w:w="7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Amount of</w:t>
            </w:r>
          </w:p>
        </w:tc>
        <w:tc>
          <w:tcPr>
            <w:tcW w:w="0" w:type="dxa"/>
            <w:vAlign w:val="bottom"/>
          </w:tcPr>
          <w:p>
            <w:pPr>
              <w:spacing w:after="0"/>
              <w:rPr>
                <w:sz w:val="1"/>
                <w:szCs w:val="1"/>
                <w:color w:val="auto"/>
              </w:rPr>
            </w:pPr>
          </w:p>
        </w:tc>
      </w:tr>
      <w:tr>
        <w:trPr>
          <w:trHeight w:val="14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Title of Each Class of Securities to be Registered</w:t>
            </w:r>
          </w:p>
        </w:tc>
        <w:tc>
          <w:tcPr>
            <w:tcW w:w="5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be</w:t>
            </w:r>
          </w:p>
        </w:tc>
        <w:tc>
          <w:tcPr>
            <w:tcW w:w="5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Price Per</w:t>
            </w:r>
          </w:p>
        </w:tc>
        <w:tc>
          <w:tcPr>
            <w:tcW w:w="520" w:type="dxa"/>
            <w:vAlign w:val="bottom"/>
          </w:tcPr>
          <w:p>
            <w:pPr>
              <w:spacing w:after="0"/>
              <w:rPr>
                <w:sz w:val="12"/>
                <w:szCs w:val="12"/>
                <w:color w:val="auto"/>
              </w:rPr>
            </w:pPr>
          </w:p>
        </w:tc>
        <w:tc>
          <w:tcPr>
            <w:tcW w:w="14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Offering Price</w:t>
            </w:r>
          </w:p>
        </w:tc>
        <w:tc>
          <w:tcPr>
            <w:tcW w:w="7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Registration</w:t>
            </w:r>
          </w:p>
        </w:tc>
        <w:tc>
          <w:tcPr>
            <w:tcW w:w="0" w:type="dxa"/>
            <w:vAlign w:val="bottom"/>
          </w:tcPr>
          <w:p>
            <w:pPr>
              <w:spacing w:after="0"/>
              <w:rPr>
                <w:sz w:val="1"/>
                <w:szCs w:val="1"/>
                <w:color w:val="auto"/>
              </w:rPr>
            </w:pPr>
          </w:p>
        </w:tc>
      </w:tr>
      <w:tr>
        <w:trPr>
          <w:trHeight w:val="148"/>
        </w:trPr>
        <w:tc>
          <w:tcPr>
            <w:tcW w:w="640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Registered</w:t>
            </w:r>
          </w:p>
        </w:tc>
        <w:tc>
          <w:tcPr>
            <w:tcW w:w="520" w:type="dxa"/>
            <w:vAlign w:val="bottom"/>
          </w:tcPr>
          <w:p>
            <w:pPr>
              <w:spacing w:after="0"/>
              <w:rPr>
                <w:sz w:val="12"/>
                <w:szCs w:val="12"/>
                <w:color w:val="auto"/>
              </w:rPr>
            </w:pP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Security</w:t>
            </w:r>
          </w:p>
        </w:tc>
        <w:tc>
          <w:tcPr>
            <w:tcW w:w="1400" w:type="dxa"/>
            <w:vAlign w:val="bottom"/>
            <w:gridSpan w:val="2"/>
          </w:tcPr>
          <w:p>
            <w:pPr>
              <w:jc w:val="center"/>
              <w:ind w:left="439"/>
              <w:spacing w:after="0" w:line="148" w:lineRule="exact"/>
              <w:rPr>
                <w:sz w:val="20"/>
                <w:szCs w:val="20"/>
                <w:color w:val="auto"/>
              </w:rPr>
            </w:pPr>
            <w:r>
              <w:rPr>
                <w:rFonts w:ascii="Arial" w:cs="Arial" w:eastAsia="Arial" w:hAnsi="Arial"/>
                <w:sz w:val="14"/>
                <w:szCs w:val="14"/>
                <w:b w:val="1"/>
                <w:bCs w:val="1"/>
                <w:color w:val="auto"/>
                <w:w w:val="93"/>
              </w:rPr>
              <w:t>(1)</w:t>
            </w:r>
          </w:p>
        </w:tc>
        <w:tc>
          <w:tcPr>
            <w:tcW w:w="540" w:type="dxa"/>
            <w:vAlign w:val="bottom"/>
          </w:tcPr>
          <w:p>
            <w:pPr>
              <w:spacing w:after="0"/>
              <w:rPr>
                <w:sz w:val="12"/>
                <w:szCs w:val="12"/>
                <w:color w:val="auto"/>
              </w:rPr>
            </w:pPr>
          </w:p>
        </w:tc>
        <w:tc>
          <w:tcPr>
            <w:tcW w:w="780" w:type="dxa"/>
            <w:vAlign w:val="bottom"/>
            <w:gridSpan w:val="2"/>
          </w:tcPr>
          <w:p>
            <w:pPr>
              <w:jc w:val="center"/>
              <w:ind w:right="60"/>
              <w:spacing w:after="0" w:line="148" w:lineRule="exact"/>
              <w:rPr>
                <w:sz w:val="20"/>
                <w:szCs w:val="20"/>
                <w:color w:val="auto"/>
              </w:rPr>
            </w:pPr>
            <w:r>
              <w:rPr>
                <w:rFonts w:ascii="Arial" w:cs="Arial" w:eastAsia="Arial" w:hAnsi="Arial"/>
                <w:sz w:val="14"/>
                <w:szCs w:val="14"/>
                <w:b w:val="1"/>
                <w:bCs w:val="1"/>
                <w:color w:val="auto"/>
                <w:w w:val="88"/>
              </w:rPr>
              <w:t>Fee (2)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6.00% notes due 2012</w:t>
            </w: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9"/>
              </w:rPr>
              <w:t>$55,000,000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6.20% notes due 2017</w:t>
            </w:r>
          </w:p>
        </w:tc>
        <w:tc>
          <w:tcPr>
            <w:tcW w:w="540" w:type="dxa"/>
            <w:vAlign w:val="bottom"/>
          </w:tcPr>
          <w:p>
            <w:pPr>
              <w:spacing w:after="0"/>
              <w:rPr>
                <w:sz w:val="19"/>
                <w:szCs w:val="19"/>
                <w:color w:val="auto"/>
              </w:rPr>
            </w:pPr>
          </w:p>
        </w:tc>
        <w:tc>
          <w:tcPr>
            <w:tcW w:w="620" w:type="dxa"/>
            <w:vAlign w:val="bottom"/>
          </w:tcPr>
          <w:p>
            <w:pPr>
              <w:ind w:left="3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1940" w:type="dxa"/>
            <w:vAlign w:val="bottom"/>
            <w:gridSpan w:val="3"/>
          </w:tcPr>
          <w:p>
            <w:pPr>
              <w:jc w:val="center"/>
              <w:spacing w:after="0"/>
              <w:rPr>
                <w:sz w:val="20"/>
                <w:szCs w:val="20"/>
                <w:color w:val="auto"/>
              </w:rPr>
            </w:pPr>
            <w:r>
              <w:rPr>
                <w:rFonts w:ascii="Arial" w:cs="Arial" w:eastAsia="Arial" w:hAnsi="Arial"/>
                <w:sz w:val="18"/>
                <w:szCs w:val="18"/>
                <w:color w:val="auto"/>
                <w:w w:val="89"/>
              </w:rPr>
              <w:t>$70,000,000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ind w:left="460" w:right="760" w:hanging="452"/>
        <w:spacing w:after="0" w:line="254"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maximum aggregate offering price of both the 6.00% notes due 2012 and the 6.20% notes due 2017 offered by this prospectus supplement is $125,000,000.</w:t>
      </w: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in accordance with Rule 456(b) and 457(r) of the Securities Act.</w:t>
      </w:r>
    </w:p>
    <w:p>
      <w:pPr>
        <w:spacing w:after="0" w:line="9" w:lineRule="exact"/>
        <w:rPr>
          <w:rFonts w:ascii="Arial" w:cs="Arial" w:eastAsia="Arial" w:hAnsi="Arial"/>
          <w:sz w:val="18"/>
          <w:szCs w:val="18"/>
          <w:color w:val="auto"/>
        </w:rPr>
      </w:pPr>
    </w:p>
    <w:p>
      <w:pPr>
        <w:ind w:left="460" w:right="240" w:hanging="452"/>
        <w:spacing w:after="0" w:line="261"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registration fee with respect to the aggregate offering price of $125,000,000 is $13,375, which the registrant paid in connection with the filing of the preliminary prospectus supplement on September 25, 2006.</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93"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If anyone provides you with different or inconsistent information, you should not rely on it. We are not, and the underwriters are not, making an offer to sell these securities in any state where the offer or sale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173990</wp:posOffset>
            </wp:positionV>
            <wp:extent cx="15347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44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w w:val="96"/>
              </w:rPr>
              <w:t>TABLE OF CONTENTS</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00"/>
              <w:spacing w:after="0"/>
              <w:rPr>
                <w:sz w:val="20"/>
                <w:szCs w:val="20"/>
                <w:color w:val="auto"/>
              </w:rPr>
            </w:pPr>
            <w:r>
              <w:rPr>
                <w:rFonts w:ascii="Arial" w:cs="Arial" w:eastAsia="Arial" w:hAnsi="Arial"/>
                <w:sz w:val="18"/>
                <w:szCs w:val="18"/>
                <w:b w:val="1"/>
                <w:bCs w:val="1"/>
                <w:color w:val="auto"/>
                <w:w w:val="85"/>
              </w:rPr>
              <w:t>Prospectus Supplement</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sz w:val="20"/>
                <w:szCs w:val="20"/>
                <w:color w:val="auto"/>
              </w:rPr>
            </w:pPr>
            <w:r>
              <w:rPr>
                <w:rFonts w:ascii="Arial" w:cs="Arial" w:eastAsia="Arial" w:hAnsi="Arial"/>
                <w:sz w:val="18"/>
                <w:szCs w:val="18"/>
                <w:color w:val="0000EE"/>
              </w:rPr>
              <w:t>Cautionary Statement Concerning Forward-Looking Statements</w:t>
            </w:r>
          </w:p>
        </w:tc>
        <w:tc>
          <w:tcPr>
            <w:tcW w:w="5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S-1</w:t>
            </w: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040" w:type="dxa"/>
            <w:vAlign w:val="bottom"/>
            <w:gridSpan w:val="1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S-5</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Use of Proceeds</w:t>
              </w:r>
            </w:hyperlink>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Ratios of Earnings to Fixed Charges</w:t>
              </w:r>
            </w:hyperlink>
          </w:p>
        </w:tc>
        <w:tc>
          <w:tcPr>
            <w:tcW w:w="8380" w:type="dxa"/>
            <w:vAlign w:val="bottom"/>
            <w:gridSpan w:val="6"/>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S-7</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Description of Notes</w:t>
              </w:r>
            </w:hyperlink>
          </w:p>
        </w:tc>
        <w:tc>
          <w:tcPr>
            <w:tcW w:w="9460" w:type="dxa"/>
            <w:vAlign w:val="bottom"/>
            <w:gridSpan w:val="11"/>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2"/>
              </w:rPr>
              <w:t>S-8</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Certain Federal Income Tax Considerations</w:t>
              </w:r>
            </w:hyperlink>
          </w:p>
        </w:tc>
        <w:tc>
          <w:tcPr>
            <w:tcW w:w="7860" w:type="dxa"/>
            <w:vAlign w:val="bottom"/>
            <w:gridSpan w:val="3"/>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Underwriting</w:t>
              </w:r>
            </w:hyperlink>
          </w:p>
        </w:tc>
        <w:tc>
          <w:tcPr>
            <w:tcW w:w="9980" w:type="dxa"/>
            <w:vAlign w:val="bottom"/>
            <w:gridSpan w:val="15"/>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S-18</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Matters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S-19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S-20</w:t>
            </w:r>
          </w:p>
        </w:tc>
        <w:tc>
          <w:tcPr>
            <w:tcW w:w="0" w:type="dxa"/>
            <w:vAlign w:val="bottom"/>
          </w:tcPr>
          <w:p>
            <w:pPr>
              <w:spacing w:after="0"/>
              <w:rPr>
                <w:sz w:val="1"/>
                <w:szCs w:val="1"/>
                <w:color w:val="auto"/>
              </w:rPr>
            </w:pPr>
          </w:p>
        </w:tc>
      </w:tr>
      <w:tr>
        <w:trPr>
          <w:trHeight w:val="397"/>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440" w:type="dxa"/>
            <w:vAlign w:val="bottom"/>
            <w:gridSpan w:val="2"/>
          </w:tcPr>
          <w:p>
            <w:pPr>
              <w:jc w:val="center"/>
              <w:ind w:right="4020"/>
              <w:spacing w:after="0"/>
              <w:rPr>
                <w:sz w:val="20"/>
                <w:szCs w:val="20"/>
                <w:color w:val="auto"/>
              </w:rPr>
            </w:pPr>
            <w:r>
              <w:rPr>
                <w:rFonts w:ascii="Arial" w:cs="Arial" w:eastAsia="Arial" w:hAnsi="Arial"/>
                <w:sz w:val="18"/>
                <w:szCs w:val="18"/>
                <w:b w:val="1"/>
                <w:bCs w:val="1"/>
                <w:color w:val="auto"/>
                <w:w w:val="83"/>
              </w:rPr>
              <w:t>Prospectus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0940" w:type="dxa"/>
            <w:vAlign w:val="bottom"/>
            <w:gridSpan w:val="18"/>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20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0940" w:type="dxa"/>
            <w:vAlign w:val="bottom"/>
            <w:gridSpan w:val="18"/>
            <w:vMerge w:val="continue"/>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Ratios of Earnings to Combined Fixed Charges and Preferred Stock Dividends</w:t>
              </w:r>
            </w:hyperlink>
          </w:p>
        </w:tc>
        <w:tc>
          <w:tcPr>
            <w:tcW w:w="5400" w:type="dxa"/>
            <w:vAlign w:val="bottom"/>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Debt Securities</w:t>
              </w:r>
            </w:hyperlink>
          </w:p>
        </w:tc>
        <w:tc>
          <w:tcPr>
            <w:tcW w:w="8800" w:type="dxa"/>
            <w:vAlign w:val="bottom"/>
            <w:gridSpan w:val="9"/>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Shares of Beneficial Interest</w:t>
              </w:r>
            </w:hyperlink>
          </w:p>
        </w:tc>
        <w:tc>
          <w:tcPr>
            <w:tcW w:w="7880" w:type="dxa"/>
            <w:vAlign w:val="bottom"/>
            <w:gridSpan w:val="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Federal Income Tax Consequences</w:t>
              </w:r>
            </w:hyperlink>
          </w:p>
        </w:tc>
        <w:tc>
          <w:tcPr>
            <w:tcW w:w="8480" w:type="dxa"/>
            <w:vAlign w:val="bottom"/>
            <w:gridSpan w:val="7"/>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9540" w:type="dxa"/>
            <w:vAlign w:val="bottom"/>
            <w:gridSpan w:val="12"/>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Experts</w:t>
              </w:r>
            </w:hyperlink>
          </w:p>
        </w:tc>
        <w:tc>
          <w:tcPr>
            <w:tcW w:w="9940" w:type="dxa"/>
            <w:vAlign w:val="bottom"/>
            <w:gridSpan w:val="14"/>
          </w:tcPr>
          <w:p>
            <w:pPr>
              <w:spacing w:after="0"/>
              <w:rPr>
                <w:sz w:val="17"/>
                <w:szCs w:val="17"/>
                <w:color w:val="auto"/>
              </w:rPr>
            </w:pPr>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140" w:type="dxa"/>
            <w:vAlign w:val="bottom"/>
            <w:gridSpan w:val="5"/>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18"/>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5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Annual Report on Form 10-K filed with the Securities and Exchange Commission, or the SEC, on March 3, 2006 and amended on March 10, 2006,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39" w:lineRule="exact"/>
        <w:rPr>
          <w:sz w:val="20"/>
          <w:szCs w:val="20"/>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90" w:lineRule="exact"/>
        <w:rPr>
          <w:rFonts w:ascii="Arial" w:cs="Arial" w:eastAsia="Arial" w:hAnsi="Arial"/>
          <w:sz w:val="18"/>
          <w:szCs w:val="18"/>
          <w:color w:val="auto"/>
        </w:rPr>
      </w:pPr>
    </w:p>
    <w:p>
      <w:pPr>
        <w:ind w:left="780" w:right="500" w:hanging="326"/>
        <w:spacing w:after="0" w:line="332"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risks that we may not be able to proceed with or obtain necessary approvals for any redevelopment or renovation project, and that completion of anticipated or ongoing property redevelopments or renovations may cost more, take more time to complete, or fail to perform as expected;</w:t>
      </w:r>
    </w:p>
    <w:p>
      <w:pPr>
        <w:spacing w:after="0" w:line="4" w:lineRule="exact"/>
        <w:rPr>
          <w:rFonts w:ascii="Arial" w:cs="Arial" w:eastAsia="Arial" w:hAnsi="Arial"/>
          <w:sz w:val="16"/>
          <w:szCs w:val="16"/>
          <w:color w:val="auto"/>
        </w:rPr>
      </w:pPr>
    </w:p>
    <w:p>
      <w:pPr>
        <w:ind w:left="780" w:right="12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new acquisitions may fail to perform as expected,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competition for acquisitions could result in increased prices for acquisitions,</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environmental issues may develop at our properties and result in unanticipated costs, and</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
        </w:numPr>
        <w:rPr>
          <w:rFonts w:ascii="Arial" w:cs="Arial" w:eastAsia="Arial" w:hAnsi="Arial"/>
          <w:sz w:val="18"/>
          <w:szCs w:val="18"/>
          <w:color w:val="auto"/>
        </w:rPr>
      </w:pPr>
      <w:r>
        <w:rPr>
          <w:rFonts w:ascii="Arial" w:cs="Arial" w:eastAsia="Arial" w:hAnsi="Arial"/>
          <w:sz w:val="18"/>
          <w:szCs w:val="18"/>
          <w:color w:val="auto"/>
        </w:rPr>
        <w:t>because real estate is illiquid, we may not be able to sell properties when appropriate;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780" w:right="26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780" w:right="2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SUPPLEMENT SUMMARY</w:t>
      </w:r>
    </w:p>
    <w:p>
      <w:pPr>
        <w:spacing w:after="0" w:line="177" w:lineRule="exact"/>
        <w:rPr>
          <w:sz w:val="20"/>
          <w:szCs w:val="20"/>
          <w:color w:val="auto"/>
        </w:rPr>
      </w:pPr>
    </w:p>
    <w:p>
      <w:pPr>
        <w:ind w:right="180" w:firstLine="456"/>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Trust</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high-quality retail and mixed-use properties. As of June 30, 2006, we owned or had an interest in 104 community and neighborhood shopping centers, and mixed-use properties comprising approximately 17.7 million square feet, located primarily in densely populated and affluent communities throughout the Northeast and Mid-Atlantic United States, as well as California, and one apartment complex in Maryland. A joint venture in which we own a 30% interest owned six neighborhood shopping centers totaling approximately 0.7 million square feet as of June 30, 2006.</w:t>
      </w:r>
    </w:p>
    <w:p>
      <w:pPr>
        <w:spacing w:after="0" w:line="1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Offering</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$55 million aggregate principal amount of 6.00% notes due 2012 (the “2012 Notes”), and $70 million aggregate principal amount of 6.20% notes due 2017 (the “2017 Notes”). The 2012 Notes offered hereby will be fully fungible with, rank equally with and form a single issue and series with, the $120 million 6.00% notes due 2012 initially issued on July 17, 2006. The 2017 Notes offered hereby will be fully fungible with, rank equally with and form a single issue and series with, the $130 million 6.20% notes due 2017 initially issued on July 17, 2006.</w:t>
      </w:r>
    </w:p>
    <w:p>
      <w:pPr>
        <w:spacing w:after="0" w:line="174"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Unless redeemed prior to maturity as described below, the 2012 Notes will mature on July 15, 2012, and the 2017 Notes will mature on January 15, 2017.</w:t>
      </w:r>
    </w:p>
    <w:p>
      <w:pPr>
        <w:spacing w:after="0" w:line="186"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100"/>
        <w:spacing w:after="0" w:line="268" w:lineRule="auto"/>
        <w:rPr>
          <w:sz w:val="20"/>
          <w:szCs w:val="20"/>
          <w:color w:val="auto"/>
        </w:rPr>
      </w:pPr>
      <w:r>
        <w:rPr>
          <w:rFonts w:ascii="Arial" w:cs="Arial" w:eastAsia="Arial" w:hAnsi="Arial"/>
          <w:sz w:val="18"/>
          <w:szCs w:val="18"/>
          <w:color w:val="auto"/>
        </w:rPr>
        <w:t>Interest on the notes will be payable semi-annually in arrears on January 15 and July 15, commencing January 15, 2007, and at maturity.</w:t>
      </w:r>
    </w:p>
    <w:p>
      <w:pPr>
        <w:spacing w:after="0" w:line="186"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ind w:right="60"/>
        <w:spacing w:after="0" w:line="289"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$287 million of secured indebtedness collateralized by all or parts of 15 properties, approximately $11 million of unsecured indebtedness issued by our subsidiaries and approximately $1,013 million of other unsecured indebtedness ranking equally with the notes.</w:t>
      </w:r>
    </w:p>
    <w:p>
      <w:pPr>
        <w:spacing w:after="0" w:line="172"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55" w:lineRule="auto"/>
        <w:rPr>
          <w:sz w:val="20"/>
          <w:szCs w:val="20"/>
          <w:color w:val="auto"/>
        </w:rPr>
      </w:pPr>
      <w:r>
        <w:rPr>
          <w:rFonts w:ascii="Arial" w:cs="Arial" w:eastAsia="Arial" w:hAnsi="Arial"/>
          <w:sz w:val="18"/>
          <w:szCs w:val="18"/>
          <w:color w:val="auto"/>
        </w:rPr>
        <w:t>Our net proceeds from this offering are estimated to be $129.9 million, including accrued interest, after deducting the underwriting discount and other estimated expenses of this offering. We expect to use these net proceeds to reduce amounts outstanding under our unsecured credit facility, although on an interim basis we may invest these funds, and for general corporate purposes. See “Use of Proceeds” on page S-7 for more information.</w:t>
      </w:r>
    </w:p>
    <w:p>
      <w:pPr>
        <w:spacing w:after="0" w:line="197"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200" w:lineRule="exact"/>
        <w:rPr>
          <w:sz w:val="20"/>
          <w:szCs w:val="20"/>
          <w:color w:val="auto"/>
        </w:rPr>
      </w:pPr>
    </w:p>
    <w:p>
      <w:pPr>
        <w:sectPr>
          <w:pgSz w:w="11900" w:h="16838" w:orient="portrait"/>
          <w:cols w:equalWidth="0" w:num="2">
            <w:col w:w="3400" w:space="720"/>
            <w:col w:w="7240"/>
          </w:cols>
          <w:pgMar w:left="240" w:top="459" w:right="299" w:bottom="1440" w:gutter="0" w:footer="0" w:header="0"/>
          <w:type w:val="continuous"/>
        </w:sectPr>
      </w:pPr>
    </w:p>
    <w:p>
      <w:pPr>
        <w:spacing w:after="0" w:line="48" w:lineRule="exact"/>
        <w:rPr>
          <w:sz w:val="20"/>
          <w:szCs w:val="20"/>
          <w:color w:val="auto"/>
        </w:rPr>
      </w:pPr>
    </w:p>
    <w:p>
      <w:pPr>
        <w:ind w:left="4120"/>
        <w:spacing w:after="0" w:line="294" w:lineRule="auto"/>
        <w:rPr>
          <w:sz w:val="20"/>
          <w:szCs w:val="20"/>
          <w:color w:val="auto"/>
        </w:rPr>
      </w:pPr>
      <w:r>
        <w:rPr>
          <w:rFonts w:ascii="Arial" w:cs="Arial" w:eastAsia="Arial" w:hAnsi="Arial"/>
          <w:sz w:val="16"/>
          <w:szCs w:val="16"/>
          <w:color w:val="auto"/>
        </w:rPr>
        <w:t>(1) we will not, and will not permit any subsidiary to, incur any Debt if, immediately after 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(a) Total Assets as of the end of the calendar quarter</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360"/>
          </w:cols>
          <w:pgMar w:left="240" w:top="459" w:right="29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90" w:lineRule="auto"/>
        <w:rPr>
          <w:sz w:val="20"/>
          <w:szCs w:val="20"/>
          <w:color w:val="auto"/>
        </w:rPr>
      </w:pPr>
      <w:r>
        <w:rPr>
          <w:rFonts w:ascii="Arial" w:cs="Arial" w:eastAsia="Arial" w:hAnsi="Arial"/>
          <w:sz w:val="16"/>
          <w:szCs w:val="16"/>
          <w:color w:val="auto"/>
        </w:rPr>
        <w:t>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59" w:lineRule="exact"/>
        <w:rPr>
          <w:sz w:val="20"/>
          <w:szCs w:val="20"/>
          <w:color w:val="auto"/>
        </w:rPr>
      </w:pPr>
    </w:p>
    <w:p>
      <w:pPr>
        <w:ind w:left="4360" w:hanging="250"/>
        <w:spacing w:after="0"/>
        <w:tabs>
          <w:tab w:leader="none" w:pos="43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will not, and will not permit any subsidiary to, incur any Debt secured by any mortgage, lien,</w:t>
      </w:r>
    </w:p>
    <w:p>
      <w:pPr>
        <w:spacing w:after="0" w:line="38" w:lineRule="exact"/>
        <w:rPr>
          <w:rFonts w:ascii="Arial" w:cs="Arial" w:eastAsia="Arial" w:hAnsi="Arial"/>
          <w:sz w:val="16"/>
          <w:szCs w:val="16"/>
          <w:color w:val="auto"/>
        </w:rPr>
      </w:pPr>
    </w:p>
    <w:p>
      <w:pPr>
        <w:ind w:left="4120" w:right="20"/>
        <w:spacing w:after="0" w:line="300" w:lineRule="auto"/>
        <w:rPr>
          <w:rFonts w:ascii="Arial" w:cs="Arial" w:eastAsia="Arial" w:hAnsi="Arial"/>
          <w:sz w:val="16"/>
          <w:szCs w:val="16"/>
          <w:color w:val="auto"/>
        </w:rPr>
      </w:pPr>
      <w:r>
        <w:rPr>
          <w:rFonts w:ascii="Arial" w:cs="Arial" w:eastAsia="Arial" w:hAnsi="Arial"/>
          <w:sz w:val="15"/>
          <w:szCs w:val="15"/>
          <w:color w:val="auto"/>
        </w:rPr>
        <w:t>charge, pledge, encumbrance or security interest of any kind upon any of our or any of our subsidiaries’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w:t>
      </w:r>
    </w:p>
    <w:p>
      <w:pPr>
        <w:spacing w:after="0" w:line="2" w:lineRule="exact"/>
        <w:rPr>
          <w:rFonts w:ascii="Arial" w:cs="Arial" w:eastAsia="Arial" w:hAnsi="Arial"/>
          <w:sz w:val="16"/>
          <w:szCs w:val="16"/>
          <w:color w:val="auto"/>
        </w:rPr>
      </w:pPr>
    </w:p>
    <w:p>
      <w:pPr>
        <w:ind w:left="4120"/>
        <w:spacing w:after="0" w:line="286" w:lineRule="auto"/>
        <w:rPr>
          <w:rFonts w:ascii="Arial" w:cs="Arial" w:eastAsia="Arial" w:hAnsi="Arial"/>
          <w:sz w:val="16"/>
          <w:szCs w:val="16"/>
          <w:color w:val="auto"/>
        </w:rPr>
      </w:pPr>
      <w:r>
        <w:rPr>
          <w:rFonts w:ascii="Arial" w:cs="Arial" w:eastAsia="Arial" w:hAnsi="Arial"/>
          <w:sz w:val="16"/>
          <w:szCs w:val="16"/>
          <w:color w:val="auto"/>
        </w:rPr>
        <w:t>(a)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(b)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provided that for purposes of this limitation, the amount of obligations under capital leases shown as a liability on our consolidated balance sheet shall be deducted from Debt and from Total Assets;</w:t>
      </w:r>
    </w:p>
    <w:p>
      <w:pPr>
        <w:spacing w:after="0" w:line="178" w:lineRule="exact"/>
        <w:rPr>
          <w:rFonts w:ascii="Arial" w:cs="Arial" w:eastAsia="Arial" w:hAnsi="Arial"/>
          <w:sz w:val="16"/>
          <w:szCs w:val="16"/>
          <w:color w:val="auto"/>
        </w:rPr>
      </w:pPr>
    </w:p>
    <w:p>
      <w:pPr>
        <w:ind w:left="4120" w:hanging="10"/>
        <w:spacing w:after="0" w:line="301" w:lineRule="auto"/>
        <w:tabs>
          <w:tab w:leader="none" w:pos="4369" w:val="left"/>
        </w:tabs>
        <w:numPr>
          <w:ilvl w:val="0"/>
          <w:numId w:val="4"/>
        </w:numPr>
        <w:rPr>
          <w:rFonts w:ascii="Arial" w:cs="Arial" w:eastAsia="Arial" w:hAnsi="Arial"/>
          <w:sz w:val="15"/>
          <w:szCs w:val="15"/>
          <w:color w:val="auto"/>
        </w:rPr>
      </w:pPr>
      <w:r>
        <w:rPr>
          <w:rFonts w:ascii="Arial" w:cs="Arial" w:eastAsia="Arial" w:hAnsi="Arial"/>
          <w:sz w:val="15"/>
          <w:szCs w:val="15"/>
          <w:color w:val="auto"/>
        </w:rPr>
        <w:t>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(a) such Debt and any other Debt incurred by us and our subsidiaries since the first day of such four-quarter period and the application of the proceeds therefrom, including to refinance other Debt, had occurred at the beginning of such period;</w:t>
      </w:r>
    </w:p>
    <w:p>
      <w:pPr>
        <w:spacing w:after="0" w:line="4" w:lineRule="exact"/>
        <w:rPr>
          <w:rFonts w:ascii="Arial" w:cs="Arial" w:eastAsia="Arial" w:hAnsi="Arial"/>
          <w:sz w:val="15"/>
          <w:szCs w:val="15"/>
          <w:color w:val="auto"/>
        </w:rPr>
      </w:pPr>
    </w:p>
    <w:p>
      <w:pPr>
        <w:ind w:left="4120" w:right="20"/>
        <w:spacing w:after="0" w:line="254" w:lineRule="auto"/>
        <w:rPr>
          <w:rFonts w:ascii="Arial" w:cs="Arial" w:eastAsia="Arial" w:hAnsi="Arial"/>
          <w:sz w:val="15"/>
          <w:szCs w:val="15"/>
          <w:color w:val="auto"/>
        </w:rPr>
      </w:pPr>
      <w:r>
        <w:rPr>
          <w:rFonts w:ascii="Arial" w:cs="Arial" w:eastAsia="Arial" w:hAnsi="Arial"/>
          <w:sz w:val="18"/>
          <w:szCs w:val="18"/>
          <w:color w:val="auto"/>
        </w:rPr>
        <w:t>(b) the repayment or retirement of any other Debt by us and our subsidiaries since the first day of such four-quarter period had been repaid or retired at the beginning of such period (except that, in making such computation, the amount of Debt under any revolving credit facility shall be computed based upon the</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340"/>
        <w:spacing w:after="0" w:line="288" w:lineRule="auto"/>
        <w:rPr>
          <w:sz w:val="20"/>
          <w:szCs w:val="20"/>
          <w:color w:val="auto"/>
        </w:rPr>
      </w:pPr>
      <w:r>
        <w:rPr>
          <w:rFonts w:ascii="Arial" w:cs="Arial" w:eastAsia="Arial" w:hAnsi="Arial"/>
          <w:sz w:val="16"/>
          <w:szCs w:val="16"/>
          <w:color w:val="auto"/>
        </w:rPr>
        <w:t>average daily balance of such Debt during such period); (c)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(d)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 and</w:t>
      </w:r>
    </w:p>
    <w:p>
      <w:pPr>
        <w:spacing w:after="0" w:line="174" w:lineRule="exact"/>
        <w:rPr>
          <w:sz w:val="20"/>
          <w:szCs w:val="20"/>
          <w:color w:val="auto"/>
        </w:rPr>
      </w:pPr>
    </w:p>
    <w:p>
      <w:pPr>
        <w:ind w:left="4120" w:right="80"/>
        <w:spacing w:after="0" w:line="259" w:lineRule="auto"/>
        <w:rPr>
          <w:sz w:val="20"/>
          <w:szCs w:val="20"/>
          <w:color w:val="auto"/>
        </w:rPr>
      </w:pPr>
      <w:r>
        <w:rPr>
          <w:rFonts w:ascii="Arial" w:cs="Arial" w:eastAsia="Arial" w:hAnsi="Arial"/>
          <w:sz w:val="18"/>
          <w:szCs w:val="18"/>
          <w:color w:val="auto"/>
        </w:rPr>
        <w:t>(4) we, together with our subsidiaries, will maintain an Unencumbered Total Asset Value in an amount not less than 150% of the aggregate outstanding principal amount of all of our and our subsidiaries’ unsecured Debt.</w:t>
      </w:r>
    </w:p>
    <w:p>
      <w:pPr>
        <w:sectPr>
          <w:pgSz w:w="11900" w:h="16838" w:orient="portrait"/>
          <w:cols w:equalWidth="0" w:num="1">
            <w:col w:w="11400"/>
          </w:cols>
          <w:pgMar w:left="240" w:top="459" w:right="259" w:bottom="1440" w:gutter="0" w:footer="0" w:header="0"/>
        </w:sectPr>
      </w:pP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15 basis points, in the case of the 2012 Notes, and 20 basis points in the case of the 2017 Notes, plus, in each case, accrued interest thereon to the redemption date. A detailed description is in “Description of Notes — Optional Redemption.”</w:t>
      </w:r>
    </w:p>
    <w:p>
      <w:pPr>
        <w:spacing w:after="0" w:line="147" w:lineRule="exact"/>
        <w:rPr>
          <w:sz w:val="20"/>
          <w:szCs w:val="20"/>
          <w:color w:val="auto"/>
        </w:rPr>
      </w:pPr>
    </w:p>
    <w:p>
      <w:pPr>
        <w:sectPr>
          <w:pgSz w:w="11900" w:h="16838" w:orient="portrait"/>
          <w:cols w:equalWidth="0" w:num="2">
            <w:col w:w="3400" w:space="720"/>
            <w:col w:w="7280"/>
          </w:cols>
          <w:pgMar w:left="240" w:top="459" w:right="259" w:bottom="1440" w:gutter="0" w:footer="0" w:header="0"/>
          <w:type w:val="continuous"/>
        </w:sectPr>
      </w:pPr>
    </w:p>
    <w:p>
      <w:pPr>
        <w:jc w:val="center"/>
        <w:ind w:right="-3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00"/>
          </w:cols>
          <w:pgMar w:left="240" w:top="459" w:right="2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Annual Report on Form 10-K filed with the SEC on March 3, 2006 and amended on March 10, 2006, before you decide to purchase the notes. The risks and uncertainties described below and in the referenced Form 10-K, as amended,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96"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August 31, 2006, after giving effect to this offering and to the initial issuance of the $120 million 6.00% notes due 2012 and $130 million 6.20% notes due 2017 on July 17, 2006, and the application of the net proceeds of each offering, our subsidiaries had approximately $79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August 31, 2006, after giving effect to this offering and the application of the net proceeds, we had approximately $287 million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There is currently no established trading market for the notes.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9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71"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The net proceeds to us from the sale of the notes offered by this prospectus supplement are estimated to be $129.9 million, including accrued interest, after deducting the underwriting discount and other estimated expenses of this offering payable by us. We expect that the sales of the 2012 Notes and the 2017 Notes will occur concurrently. However, the sales of the 2012 Notes and the 2017 Notes are not conditioned upon each other, and we may consummate the sale of one and not the other, or consummate the sales at different times. We expect to use these net proceeds to reduce borrowings under our unsecured credit facility, although on an interim basis we may invest these funds, and for general corporate purposes. As of August 31, 2006, we had approximately $156 million of debt outstanding on our revolving credit facility bearing interest at a weighted average annual rate, before amortization of debt fees, of 5.745% for the month of August 2006. Our revolving credit facility matures in July, 2010, subject to a one-year extension at our option. The borrowings under this facility were used for general corporate purposes, including working capital, property acquisitions and redevelopments. Affiliates of Wachovia Capital Markets, LLC and affiliates of certain other underwriters are lenders under our revolving credit facility and will receive a pro rata portion of any proceeds used to reduce amounts outstanding under the credit facility.</w:t>
      </w:r>
    </w:p>
    <w:p>
      <w:pPr>
        <w:spacing w:after="0" w:line="19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80" w:type="dxa"/>
            <w:vAlign w:val="bottom"/>
          </w:tcPr>
          <w:p>
            <w:pPr>
              <w:spacing w:after="0"/>
              <w:rPr>
                <w:sz w:val="14"/>
                <w:szCs w:val="14"/>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For the Six Months</w:t>
            </w: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7280" w:type="dxa"/>
            <w:vAlign w:val="bottom"/>
          </w:tcPr>
          <w:p>
            <w:pPr>
              <w:spacing w:after="0"/>
              <w:rPr>
                <w:sz w:val="15"/>
                <w:szCs w:val="15"/>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Ended June 30,</w:t>
            </w:r>
          </w:p>
        </w:tc>
        <w:tc>
          <w:tcPr>
            <w:tcW w:w="480" w:type="dxa"/>
            <w:vAlign w:val="bottom"/>
          </w:tcPr>
          <w:p>
            <w:pPr>
              <w:spacing w:after="0"/>
              <w:rPr>
                <w:sz w:val="15"/>
                <w:szCs w:val="15"/>
                <w:color w:val="auto"/>
              </w:rPr>
            </w:pPr>
          </w:p>
        </w:tc>
        <w:tc>
          <w:tcPr>
            <w:tcW w:w="2440" w:type="dxa"/>
            <w:vAlign w:val="bottom"/>
            <w:gridSpan w:val="10"/>
          </w:tcPr>
          <w:p>
            <w:pPr>
              <w:ind w:left="200"/>
              <w:spacing w:after="0"/>
              <w:rPr>
                <w:sz w:val="20"/>
                <w:szCs w:val="20"/>
                <w:color w:val="auto"/>
              </w:rPr>
            </w:pPr>
            <w:r>
              <w:rPr>
                <w:rFonts w:ascii="Arial" w:cs="Arial" w:eastAsia="Arial" w:hAnsi="Arial"/>
                <w:sz w:val="14"/>
                <w:szCs w:val="14"/>
                <w:b w:val="1"/>
                <w:bCs w:val="1"/>
                <w:color w:val="auto"/>
                <w:w w:val="96"/>
              </w:rPr>
              <w:t>For the Years Ended December 31,</w:t>
            </w:r>
          </w:p>
        </w:tc>
      </w:tr>
      <w:tr>
        <w:trPr>
          <w:trHeight w:val="142"/>
        </w:trPr>
        <w:tc>
          <w:tcPr>
            <w:tcW w:w="72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7"/>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2005</w:t>
            </w:r>
          </w:p>
        </w:tc>
        <w:tc>
          <w:tcPr>
            <w:tcW w:w="480" w:type="dxa"/>
            <w:vAlign w:val="bottom"/>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2005</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2004</w:t>
            </w:r>
          </w:p>
        </w:tc>
        <w:tc>
          <w:tcPr>
            <w:tcW w:w="22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2002</w:t>
            </w: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2001</w:t>
            </w:r>
          </w:p>
        </w:tc>
        <w:tc>
          <w:tcPr>
            <w:tcW w:w="20" w:type="dxa"/>
            <w:vAlign w:val="bottom"/>
          </w:tcPr>
          <w:p>
            <w:pPr>
              <w:spacing w:after="0"/>
              <w:rPr>
                <w:sz w:val="12"/>
                <w:szCs w:val="12"/>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1.9x</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4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3"/>
              </w:rPr>
              <w:t>1.8x</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1.7x</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88"/>
              </w:rPr>
              <w:t>1.6x</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1.2x</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1.4x</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77" w:lineRule="exact"/>
        <w:rPr>
          <w:sz w:val="20"/>
          <w:szCs w:val="20"/>
          <w:color w:val="auto"/>
        </w:rPr>
      </w:pPr>
    </w:p>
    <w:p>
      <w:pPr>
        <w:ind w:right="440" w:firstLine="456"/>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$120 million of our 6.00% notes due July 15, 2012 and $130 million of our 6.20% notes due January 15, 2017 were initially issued on July 17, 2006. In this offering, we are reopening each respective series of notes pursuant to our senior indenture, which is more fully described in the accompanying prospectus, and are offering an additional $55 million of 2012 Notes and $70 million of 2017 Notes. The $55 million of 2012 Notes offered hereby will be fully fungible with, will rank equally with and will form a single issue and series with, the $120 million of 6.00% notes due 2012 issued on July 17, 2006. The $70 million of 2017 Notes offered hereby will be fully fungible with, will rank equally with and will form a single issue and series with, the $130 million of 6.20% notes due 2017 issued on July 17, 2006. Accordingly, upon completion of this offering, $175 million in aggregate principal amount of our 2012 Notes and $200 million of aggregate principal amount of our 2017 Notes will be outstanding.</w:t>
      </w:r>
    </w:p>
    <w:p>
      <w:pPr>
        <w:spacing w:after="0" w:line="11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will pay interest on the notes semi-annually in arrears on January 15 and July 15 of each year, commencing January 15, 2007, to the registered holders of the notes on the preceding December 31 and June 30.</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defeasance and covenant defeasance provisions of the senior indenture apply to the notes. The notes will not be entitled to the benefit of any sinking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6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senior indenture does not limit the aggregate principal amount of the securities that may be issued thereunder, and securities may be issued thereunder from time to time in one or more separate series up to the aggregate principal amount from time to time authorized by us for each series. Upon completion of this offering, $175 million aggregate principal amount of our 6.00% notes due July 15, 2012 and $200 million aggregate principal amount of our 6.20% notes due January 15, 2017 will be outstanding. At any time and without the consent of the then existing holders, we may issue additional debt securities, as we are doing in this offering, having the same terms as the 2012 Notes or the 2017 Notes, as applicable, other than the date of original issuance, the issue price, the date on which interest begins to accrue and, in some circumstances, the first interest payment date, such that these additional debt securities will form a single series with the 2012 Notes or the 2017 Notes offered hereby (and on July 17, 2006), as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$287 million of secured indebtedness collateralized by all or parts of 15 properties, approximately $11 million of unsecured indebtedness issued by our subsidiaries and approximately $1,013 million of other unsecured indebtedness ranking equally with the notes.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redemption date) discounted to the redemption date on a semi-annual basis (assuming a 360-day year consisting of twelve 30-day months) at the Adjusted Treasury Rate (as defined below) plus 15 basis points, in the case of the 2012 Notes, and 20 basis points in the case of the 2017 Notes plus, in each case, accrued interest thereon to the redemption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7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Citigroup Global Markets Inc. and other primary U.S. Government securities dealers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Citigroup Global Markets Inc. ceases to be a primary U.S. Government securities dealer (a “Primary Treasury Dealer”), we will substitute therefor another Primary Treasury Dealer; and (2) any other Primary Treasury Dealer selected by us.</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for purposes of this limitation, the amount of obligations under capital leases shown as a liability on our consolidated balance sheet shall be deducted from Debt and from Total Assets.</w:t>
      </w:r>
    </w:p>
    <w:p>
      <w:pPr>
        <w:spacing w:after="0" w:line="127"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21" w:lineRule="exact"/>
        <w:rPr>
          <w:sz w:val="20"/>
          <w:szCs w:val="20"/>
          <w:color w:val="auto"/>
        </w:rPr>
      </w:pPr>
    </w:p>
    <w:p>
      <w:pPr>
        <w:ind w:right="60" w:firstLine="456"/>
        <w:spacing w:after="0" w:line="370" w:lineRule="auto"/>
        <w:rPr>
          <w:sz w:val="20"/>
          <w:szCs w:val="20"/>
          <w:color w:val="auto"/>
        </w:rPr>
      </w:pPr>
      <w:r>
        <w:rPr>
          <w:rFonts w:ascii="Arial" w:cs="Arial" w:eastAsia="Arial" w:hAnsi="Arial"/>
          <w:sz w:val="15"/>
          <w:szCs w:val="15"/>
          <w:i w:val="1"/>
          <w:iCs w:val="1"/>
          <w:color w:val="auto"/>
        </w:rPr>
        <w:t>Maintenance of Unencumbered Total Asset Value</w:t>
      </w:r>
      <w:r>
        <w:rPr>
          <w:rFonts w:ascii="Arial" w:cs="Arial" w:eastAsia="Arial" w:hAnsi="Arial"/>
          <w:sz w:val="15"/>
          <w:szCs w:val="15"/>
          <w:color w:val="auto"/>
        </w:rPr>
        <w:t>. 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6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Insurance</w:t>
      </w:r>
      <w:r>
        <w:rPr>
          <w:rFonts w:ascii="Arial" w:cs="Arial" w:eastAsia="Arial" w:hAnsi="Arial"/>
          <w:sz w:val="16"/>
          <w:szCs w:val="16"/>
          <w:color w:val="auto"/>
        </w:rPr>
        <w:t>. The notes will provide that we will, and will cause each of our subsidiaries to, maintain insurance with financially sound and reputable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companies against such risks and in such amounts as is customarily maintained by Persons engaged in similar businesses or as may be required by applicable law, and that we will from time to time deliver to the Agent (as defined in our Credit Agreement) upon its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32"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Debt</w:t>
      </w:r>
      <w:r>
        <w:rPr>
          <w:rFonts w:ascii="Arial" w:cs="Arial" w:eastAsia="Arial" w:hAnsi="Arial"/>
          <w:sz w:val="16"/>
          <w:szCs w:val="16"/>
          <w:color w:val="auto"/>
        </w:rPr>
        <w:t xml:space="preserve">” means any of our or any of our subsidiaries’ indebtedness, whether or not contingent, in respect of (without duplication) (1) borrowed money evidenced by bonds, notes, debentures or similar instruments, (2) 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2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113"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32"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“Description of Debt Securities — Certain Covenants” in the accompanying prospectus for a description of additional covenants applicable to us.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Form</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each of the 2012 Notes and the 2017 Notes will be represented by a single Global Security and will be deposited with, or on behalf of, the Depositary and will be 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a Global Security representing either the 2012 Notes or the 2017 Notes will not be entitled to receive physical delivery of Certificated notes and will not be considered the Holders thereof for any purpose under the senior indenture, and no Global Security representing such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2012 Notes or the 2017 Notes.</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Each Global Security representing the 2012 Notes and the 2017 Notes, respectively, will be exchangeable for Certificated notes of like tenor and terms and of differing authorized denominations aggregating a like principal amount, only if (1) the Depositary notifies us that it is unwilling or unable to continue as Depositary for such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such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such Global Security advise the Depositary to cease acting as depositary. Upon any such exchange, the Certificated notes shall be registered in the names of the Beneficial Owners of such Global Security representing the notes, which names shall be provided by the Depositary’s relevant Participants (as identified by the Depositary) to the Securities Registrar.</w:t>
      </w:r>
    </w:p>
    <w:p>
      <w:pPr>
        <w:spacing w:after="0" w:line="12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each of the 2012 Notes and the 2017 Notes, in the aggregate principal amount of each series of notes, and will be deposited with the Depositary.</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Depositary is a limited-purpose trust company organized under the New York Banking Law, a “banking organization” within the meaning of the New York Banking Law, a member of the Federal Reserve System, a</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“clearing corporation” within the meaning of the New York Uniform Commercial Code, and a “clearing agency” registered pursuant to the provisions of</w:t>
      </w:r>
    </w:p>
    <w:p>
      <w:pPr>
        <w:spacing w:after="0" w:line="3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18"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To facilitate subsequent transfers, each Global Security representing each of the 2012 Notes and the 2017 Notes, which is deposited with, or on behalf of, the Depositary are registered in the name of the Depositary’s partnership nominee, Cede &amp; Co. The deposit of a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4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4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a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8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Principal, premium, if any, and/or interest payments on a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2012 Notes or the 2017 Notes are being redeemed, the Depositary’s practice is to determine by lot the amount of the interest of each Direct Participant to be redeemed.</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77" w:lineRule="exact"/>
        <w:rPr>
          <w:sz w:val="20"/>
          <w:szCs w:val="20"/>
          <w:color w:val="auto"/>
        </w:rPr>
      </w:pPr>
    </w:p>
    <w:p>
      <w:pPr>
        <w:ind w:firstLine="456"/>
        <w:spacing w:after="0" w:line="282" w:lineRule="auto"/>
        <w:rPr>
          <w:sz w:val="20"/>
          <w:szCs w:val="20"/>
          <w:color w:val="auto"/>
        </w:rPr>
      </w:pPr>
      <w:r>
        <w:rPr>
          <w:rFonts w:ascii="Arial" w:cs="Arial" w:eastAsia="Arial" w:hAnsi="Arial"/>
          <w:sz w:val="16"/>
          <w:szCs w:val="16"/>
          <w:color w:val="auto"/>
        </w:rPr>
        <w:t>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former U.S. citizens or long-term residents, tax-exempt organizations, persons that are, or that hold their notes through, partnerships or other pass-through entities, U.S. Holders (as defined below) whose functional currency is not the U.S. dollar,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w:t>
      </w:r>
    </w:p>
    <w:p>
      <w:pPr>
        <w:spacing w:after="0" w:line="5"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color w:val="auto"/>
        </w:rPr>
        <w:t>Holders are encouraged to consult their own tax advisors as to the particular U.S. federal income tax consequences to them of acquiring, owning and disposing of the notes, as well as the effects of state, local and non-U.S. tax laws.</w:t>
      </w:r>
    </w:p>
    <w:p>
      <w:pPr>
        <w:spacing w:after="0" w:line="138"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4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interest earned on the notes as ordinary income when received or accrued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U.S. Holder’s regular method of tax accounting. In general, if the terms of a debt instrument entitle a holder to receive payments other than certain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11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b w:val="1"/>
          <w:bCs w:val="1"/>
          <w:i w:val="1"/>
          <w:iCs w:val="1"/>
          <w:color w:val="auto"/>
        </w:rPr>
        <w:t xml:space="preserve">Amortizable Bond Premium. </w:t>
      </w:r>
      <w:r>
        <w:rPr>
          <w:rFonts w:ascii="Arial" w:cs="Arial" w:eastAsia="Arial" w:hAnsi="Arial"/>
          <w:sz w:val="16"/>
          <w:szCs w:val="16"/>
          <w:color w:val="auto"/>
        </w:rPr>
        <w:t>If a U.S. Holder purchases a note at a price that exceeds the principal amount of the note, the amount of the difference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referred to as “bond premium” for U.S federal income tax purposes. The U.S. Holder may elect to amortize the bond premium against interest payable on the note. In addition, if the amount of bond premium allocable to an accrual period exceeds the interest payable for that accrual period, then (i) such excess is first treated as a deduction for that accrual period up to the amount of interest on the note that was previously included in the note holder’s income (but not offset by premium) and (ii) the balance is then carried forward to the next accrual period as part of the bond premium for that next accrual period. If a U.S. Holder elects to amortize bond premium, generally the amount of bond premium allocable to each period will be based on a constant yield to maturity over the period the note is held. The amortized bond premium would reduce the U.S. Holder’s tax basis in the note. Any such election applies not only to the note but to all fully taxable bonds held by the U.S. Holder at the beginning of the first taxable year to which the election applies, and to all fully taxable bonds acquired thereafter, and is irrevocable without the consent of the IRS. If the election is not</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made, a U.S. Holder must include the full amount of each interest payment in income as it accrues or is paid and premium will not be taken into account until principal payments are received on the note or the note is sold or otherwise disposed of. Any loss resulting from taking into account such unamortized premium would generally be treated as a capital loss.</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of our rights to optionally redeem the notes at any time (see “Description of Notes — Optional Redemption”), special rules apply that may result in the deferral of amortization of some of the bond premium, based on the assumption that we will exercise our redemption rights so as to maximize the yield to holders of notes. If such optional redemption rights expire unexercised, bond premium will generally be recalculated. U.S. Holders electing to amortize bond premium are encouraged to consult with their own tax advisors concerning the manner in which the bond premium will be amortized.</w:t>
      </w:r>
    </w:p>
    <w:p>
      <w:pPr>
        <w:spacing w:after="0" w:line="11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notes will be issued with pre-issuance accrued interest. A U.S. Holder may treat the notes, for U.S. federal income tax purposes, as having been issued for an amount that excludes the pre-issuance accrued interest. In that event, a portion of the first interest payment received by the U.S. Holder equal to the excluded pre-issuance accrued interest will be treated as a return of such pre-issuance accrued interest and will not be taxable to you or otherwise treated as an amount payable on the notes.</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Upon the sale, exchange, redemption or other taxable disposition of a note, a U.S. Holder will generally recognize capital gain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rules governing the United States federal income taxation of Non-U.S. Holders are complex and no attempt will be made herein to provide more than a summary of such rules. Prospective Non-U.S. Holders are encouraged to consult with their own tax advisors to determine the impact of federal, state, local and non-U.S. tax laws with regard to the notes.</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payments of interest on a note, provided that:</w:t>
      </w:r>
    </w:p>
    <w:p>
      <w:pPr>
        <w:spacing w:after="0" w:line="51" w:lineRule="exact"/>
        <w:rPr>
          <w:sz w:val="20"/>
          <w:szCs w:val="20"/>
          <w:color w:val="auto"/>
        </w:rPr>
      </w:pPr>
    </w:p>
    <w:p>
      <w:pPr>
        <w:ind w:left="780" w:hanging="326"/>
        <w:spacing w:after="0" w:line="332" w:lineRule="auto"/>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such interest payments are not effectively connected with the conduct by the Non-U.S. Holder of a trade or business within the United States; and</w:t>
      </w:r>
    </w:p>
    <w:p>
      <w:pPr>
        <w:spacing w:after="0" w:line="113" w:lineRule="exact"/>
        <w:rPr>
          <w:rFonts w:ascii="Arial" w:cs="Arial" w:eastAsia="Arial" w:hAnsi="Arial"/>
          <w:sz w:val="16"/>
          <w:szCs w:val="16"/>
          <w:color w:val="auto"/>
        </w:rPr>
      </w:pPr>
    </w:p>
    <w:p>
      <w:pPr>
        <w:ind w:left="780" w:right="40" w:hanging="326"/>
        <w:spacing w:after="0" w:line="268"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or our paying agent receives certain information from the Non-U.S. Holder (or a financial institution that holds the notes on behalf of the Non-U.S. Holder in the ordinary course of its trade or business), including certification that such holder is a Non-U.S. Holder.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Non-U.S. Holder that is not exempt from tax under these rules generally will be subject to U.S. federal income tax withholding at a rate of 30% unless:</w:t>
      </w:r>
    </w:p>
    <w:p>
      <w:pPr>
        <w:spacing w:after="0" w:line="113"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income is effectively connected with the conduct of a U.S. trade or business,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 applicable income tax treaty provides for a lower rate of, or exemption from, withholding tax.</w:t>
      </w:r>
    </w:p>
    <w:p>
      <w:pPr>
        <w:spacing w:after="0" w:line="171"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reduction under an applicable tax treaty), which is generally imposed on a foreign corporation on the actual or deemed repatriation from the United States of earnings and profits attributable to a United States trade or business.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 To claim the benefit of an income tax treaty, the Non-U.S. Holder must timely provide the appropriate, properly executed IRS forms.</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Subject to the discussion on backup withholding below, a Non-U.S. Holder generally will not be subject to U.S. federal income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tax on gain from the sale, exchange, redemption or other taxable disposition of a note unless:</w:t>
      </w:r>
    </w:p>
    <w:p>
      <w:pPr>
        <w:spacing w:after="0" w:line="51" w:lineRule="exact"/>
        <w:rPr>
          <w:sz w:val="20"/>
          <w:szCs w:val="20"/>
          <w:color w:val="auto"/>
        </w:rPr>
      </w:pPr>
    </w:p>
    <w:p>
      <w:pPr>
        <w:ind w:left="780" w:right="440" w:hanging="326"/>
        <w:spacing w:after="0" w:line="332"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4" w:lineRule="exact"/>
        <w:rPr>
          <w:rFonts w:ascii="Arial" w:cs="Arial" w:eastAsia="Arial" w:hAnsi="Arial"/>
          <w:sz w:val="16"/>
          <w:szCs w:val="16"/>
          <w:color w:val="auto"/>
        </w:rPr>
      </w:pPr>
    </w:p>
    <w:p>
      <w:pPr>
        <w:ind w:left="780" w:right="340" w:hanging="326"/>
        <w:spacing w:after="0" w:line="268" w:lineRule="auto"/>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which is generally imposed on a foreign corporation on the actual or deemed repatriation from the United States of earnings and profits attributable to a United States trade or business.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 To claim the benefit of an income tax treaty, the Non-U.S. Holder must timely provide the appropriate, properly executed IRS forms.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96" w:lineRule="exact"/>
        <w:rPr>
          <w:sz w:val="20"/>
          <w:szCs w:val="20"/>
          <w:color w:val="auto"/>
        </w:rPr>
      </w:pPr>
    </w:p>
    <w:p>
      <w:pPr>
        <w:ind w:right="300" w:firstLine="456"/>
        <w:spacing w:after="0" w:line="253" w:lineRule="auto"/>
        <w:rPr>
          <w:sz w:val="20"/>
          <w:szCs w:val="20"/>
          <w:color w:val="auto"/>
        </w:rPr>
      </w:pPr>
      <w:r>
        <w:rPr>
          <w:rFonts w:ascii="Arial" w:cs="Arial" w:eastAsia="Arial" w:hAnsi="Arial"/>
          <w:sz w:val="18"/>
          <w:szCs w:val="18"/>
          <w:color w:val="auto"/>
        </w:rPr>
        <w:t>Payments to a U.S. Holder (other than an “exempt recipient,” including a corporation and certain other persons who, when required, demonstrate their exempt status) of the principal of, interest on and any premium with respect to, or the proceeds of a sale or other disposition of, a note may be subject to information reporting requirements, and U.S. federal backup withholding at the applicable statutory rate. In general, if a non-corporate U.S. Holder subject to information reporting fails to provide an accurate taxpayer identification number or otherwise fails to comply with applicable U.S. information reporting or certification requirements, backup withholding at the applicable rate may apply.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4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jc w:val="center"/>
        <w:ind w:right="440"/>
        <w:spacing w:after="0"/>
        <w:rPr>
          <w:sz w:val="20"/>
          <w:szCs w:val="20"/>
          <w:color w:val="auto"/>
        </w:rPr>
      </w:pPr>
      <w:r>
        <w:rPr>
          <w:rFonts w:ascii="Arial" w:cs="Arial" w:eastAsia="Arial" w:hAnsi="Arial"/>
          <w:sz w:val="16"/>
          <w:szCs w:val="16"/>
          <w:color w:val="auto"/>
        </w:rPr>
        <w:t>Wachovia Capital Markets, LLC is acting as sole book-running manager of the offering and as representative of the underwriters named below.</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amounts of 2012 Notes and 2017 Notes set forth opposite the underwriter’s name.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Principal</w:t>
            </w:r>
          </w:p>
        </w:tc>
        <w:tc>
          <w:tcPr>
            <w:tcW w:w="3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7"/>
              </w:rPr>
              <w:t>Principal</w:t>
            </w:r>
          </w:p>
        </w:tc>
        <w:tc>
          <w:tcPr>
            <w:tcW w:w="0" w:type="dxa"/>
            <w:vAlign w:val="bottom"/>
          </w:tcPr>
          <w:p>
            <w:pPr>
              <w:spacing w:after="0"/>
              <w:rPr>
                <w:sz w:val="1"/>
                <w:szCs w:val="1"/>
                <w:color w:val="auto"/>
              </w:rPr>
            </w:pPr>
          </w:p>
        </w:tc>
      </w:tr>
      <w:tr>
        <w:trPr>
          <w:trHeight w:val="149"/>
        </w:trPr>
        <w:tc>
          <w:tcPr>
            <w:tcW w:w="8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Underwriter</w:t>
            </w:r>
          </w:p>
        </w:tc>
        <w:tc>
          <w:tcPr>
            <w:tcW w:w="34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c>
          <w:tcPr>
            <w:tcW w:w="3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Amount of</w:t>
            </w:r>
          </w:p>
        </w:tc>
        <w:tc>
          <w:tcPr>
            <w:tcW w:w="0" w:type="dxa"/>
            <w:vAlign w:val="bottom"/>
          </w:tcPr>
          <w:p>
            <w:pPr>
              <w:spacing w:after="0"/>
              <w:rPr>
                <w:sz w:val="1"/>
                <w:szCs w:val="1"/>
                <w:color w:val="auto"/>
              </w:rPr>
            </w:pPr>
          </w:p>
        </w:tc>
      </w:tr>
      <w:tr>
        <w:trPr>
          <w:trHeight w:val="155"/>
        </w:trPr>
        <w:tc>
          <w:tcPr>
            <w:tcW w:w="86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2012 Notes</w:t>
            </w:r>
          </w:p>
        </w:tc>
        <w:tc>
          <w:tcPr>
            <w:tcW w:w="340" w:type="dxa"/>
            <w:vAlign w:val="bottom"/>
          </w:tcPr>
          <w:p>
            <w:pPr>
              <w:spacing w:after="0"/>
              <w:rPr>
                <w:sz w:val="13"/>
                <w:szCs w:val="13"/>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2017 Notes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34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$33,000,000</w:t>
            </w:r>
          </w:p>
        </w:tc>
        <w:tc>
          <w:tcPr>
            <w:tcW w:w="34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$42,000,000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Bear, Stearns &amp; Co. Inc.</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Merrill Lynch, Pierce, Fenner &amp; Smith</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1120"/>
              <w:spacing w:after="0"/>
              <w:rPr>
                <w:sz w:val="20"/>
                <w:szCs w:val="20"/>
                <w:color w:val="auto"/>
              </w:rPr>
            </w:pPr>
            <w:r>
              <w:rPr>
                <w:rFonts w:ascii="Arial" w:cs="Arial" w:eastAsia="Arial" w:hAnsi="Arial"/>
                <w:sz w:val="18"/>
                <w:szCs w:val="18"/>
                <w:color w:val="auto"/>
              </w:rPr>
              <w:t>Incorporated</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5,500,000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RBC Capital Markets Corporation</w:t>
            </w:r>
          </w:p>
        </w:tc>
        <w:tc>
          <w:tcPr>
            <w:tcW w:w="34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3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60" w:type="dxa"/>
            <w:vAlign w:val="bottom"/>
          </w:tcPr>
          <w:p>
            <w:pPr>
              <w:ind w:left="420"/>
              <w:spacing w:after="0"/>
              <w:rPr>
                <w:sz w:val="20"/>
                <w:szCs w:val="20"/>
                <w:color w:val="auto"/>
              </w:rPr>
            </w:pPr>
            <w:r>
              <w:rPr>
                <w:rFonts w:ascii="Arial" w:cs="Arial" w:eastAsia="Arial" w:hAnsi="Arial"/>
                <w:sz w:val="18"/>
                <w:szCs w:val="18"/>
                <w:color w:val="auto"/>
              </w:rPr>
              <w:t>Total</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  55,000,000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70,000,000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underwriting agreement provides that the obligations of the underwriters to purchase the notes included in this offering are subject to approval of legal matters by counsel and to other conditions. The underwriters must purchase all of the 2012 Notes or the 2017 Notes, respectively, if they purchase any of the 2012 Notes or the 2017 Notes. However, the sales of the 2012 Notes and the 2017 Notes are not conditioned upon each other, and we may consummate the sale of one and not the other, or consummate the sales at different times.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underwriters have advised us that they propose to offer some of the notes directly to the public at the applicable public offering price appearing on the cover page of this prospectus supplement and some of the notes to certain dealers at the applicable public offering price less a concession not to exceed 0.350% of the principal amount of the 2012 Notes and 0.400% of the principal amount of the 2017 Notes. The underwriters may allow, and dealers may reallow, a concession not to exceed 0.250% of the principal amount of the 2012 Notes and 0.250% of the principal amount of the 2017 Notes on sales to other dealers. After the initial offering, the applicable public offering price and concession to dealers may be changed.</w:t>
      </w:r>
    </w:p>
    <w:p>
      <w:pPr>
        <w:spacing w:after="0" w:line="11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the underwriting discount that we are to pay to the underwriters in connection with this offering (expressed as percentages of the principal amount of each series of the notes).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480" w:type="dxa"/>
            <w:vAlign w:val="bottom"/>
          </w:tcPr>
          <w:p>
            <w:pPr>
              <w:jc w:val="right"/>
              <w:ind w:right="26"/>
              <w:spacing w:after="0"/>
              <w:rPr>
                <w:sz w:val="20"/>
                <w:szCs w:val="20"/>
                <w:color w:val="auto"/>
              </w:rPr>
            </w:pPr>
            <w:r>
              <w:rPr>
                <w:rFonts w:ascii="Arial" w:cs="Arial" w:eastAsia="Arial" w:hAnsi="Arial"/>
                <w:sz w:val="14"/>
                <w:szCs w:val="14"/>
                <w:b w:val="1"/>
                <w:bCs w:val="1"/>
                <w:color w:val="auto"/>
              </w:rPr>
              <w:t>2012</w:t>
            </w:r>
          </w:p>
        </w:tc>
        <w:tc>
          <w:tcPr>
            <w:tcW w:w="580" w:type="dxa"/>
            <w:vAlign w:val="bottom"/>
          </w:tcPr>
          <w:p>
            <w:pPr>
              <w:spacing w:after="0"/>
              <w:rPr>
                <w:sz w:val="14"/>
                <w:szCs w:val="14"/>
                <w:color w:val="auto"/>
              </w:rPr>
            </w:pPr>
          </w:p>
        </w:tc>
        <w:tc>
          <w:tcPr>
            <w:tcW w:w="420" w:type="dxa"/>
            <w:vAlign w:val="bottom"/>
          </w:tcPr>
          <w:p>
            <w:pPr>
              <w:jc w:val="right"/>
              <w:ind w:right="6"/>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4"/>
                <w:szCs w:val="14"/>
                <w:color w:val="auto"/>
              </w:rPr>
            </w:pPr>
          </w:p>
        </w:tc>
      </w:tr>
      <w:tr>
        <w:trPr>
          <w:trHeight w:val="161"/>
        </w:trPr>
        <w:tc>
          <w:tcPr>
            <w:tcW w:w="9800" w:type="dxa"/>
            <w:vAlign w:val="bottom"/>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Notes</w:t>
            </w:r>
          </w:p>
        </w:tc>
        <w:tc>
          <w:tcPr>
            <w:tcW w:w="58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Notes</w:t>
            </w:r>
          </w:p>
        </w:tc>
        <w:tc>
          <w:tcPr>
            <w:tcW w:w="140" w:type="dxa"/>
            <w:vAlign w:val="bottom"/>
          </w:tcPr>
          <w:p>
            <w:pPr>
              <w:spacing w:after="0"/>
              <w:rPr>
                <w:sz w:val="14"/>
                <w:szCs w:val="14"/>
                <w:color w:val="auto"/>
              </w:rPr>
            </w:pPr>
          </w:p>
        </w:tc>
      </w:tr>
      <w:tr>
        <w:trPr>
          <w:trHeight w:val="210"/>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rPr>
              <w:t>Paid by Federal Realty</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0.6125%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0.650%</w:t>
            </w:r>
          </w:p>
        </w:tc>
      </w:tr>
    </w:tbl>
    <w:p>
      <w:pPr>
        <w:spacing w:after="0" w:line="154"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connection with the offering, Wachovia Capital Markets, LLC, on behalf of the underwriters, may purchase and sell notes in the open market. These transactions may include over-allotment, syndicate covering transactions and stabilizing transactions. Over-allotment involves syndicate sales of notes of a particular series in excess of the principal amount of notes of such series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44"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The underwriters also may impose penalty bids. Penalty bids permit the underwriters to reclaim a selling concession from a syndicate member when Wachovia Capital Markets, LLC, in covering syndicate short positions or making stabilizing purchases, repurchases notes originally sold by that syndicate member.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firstLine="456"/>
        <w:spacing w:after="0" w:line="335" w:lineRule="auto"/>
        <w:rPr>
          <w:sz w:val="20"/>
          <w:szCs w:val="20"/>
          <w:color w:val="auto"/>
        </w:rPr>
      </w:pPr>
      <w:r>
        <w:rPr>
          <w:rFonts w:ascii="Arial" w:cs="Arial" w:eastAsia="Arial" w:hAnsi="Arial"/>
          <w:sz w:val="15"/>
          <w:szCs w:val="15"/>
          <w:color w:val="auto"/>
        </w:rPr>
        <w:t>Any of these activities may have the effect of preventing or retarding a decline in the market prices of the notes. They may also cause the prices of the notes to be higher than the prices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estimate that our total expenses for this offering (excluding the underwriting discount) will be $250,000.</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3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the underwriters and their affiliates have engaged in, and may in the future engage in, investment banking and other commercial dealings with us from time to time in the ordinary course of their business. In particular, affiliates of Wachovia Capital Markets, LLC and affiliates of certain other underwriters are lenders under our existing revolving credit facility. In addition, an affiliate of Wachovia Capital Markets, LLC is the lender under a bridge facility we used recently to finance the acquisition of three properties in New England.</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consolidated balance sheets as of December 31, 2005 and 2004 and the consolidated statements of operations, common shareholders’ equity and cash flows for the three years ended December 31, 2005, 2004 and 2003 appearing in our Annual Report on Form 10-K, as amended, for the fiscal year ended December 31, 2005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120" w:firstLine="456"/>
        <w:spacing w:after="0" w:line="323" w:lineRule="auto"/>
        <w:rPr>
          <w:sz w:val="20"/>
          <w:szCs w:val="20"/>
          <w:color w:val="auto"/>
        </w:rPr>
      </w:pPr>
      <w:r>
        <w:rPr>
          <w:rFonts w:ascii="Arial" w:cs="Arial" w:eastAsia="Arial" w:hAnsi="Arial"/>
          <w:sz w:val="15"/>
          <w:szCs w:val="15"/>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LLP, New York, New York, will act as counsel to the underwriters.</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Washington, D.C. 20549</w:t>
      </w:r>
    </w:p>
    <w:p>
      <w:pPr>
        <w:spacing w:after="0" w:line="165"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Any statement contained in this prospectus supplement, the accompanying prospectus or a document incorporated or deemed to be incorporated by reference in this prospectus supplement or the accompanying prospectus will be deemed to have been modified or superseded to the extent that a statement contained in this prospectus supplement, or in any subsequently filed document that also is or is deemed to be incorporated by reference in this prospectus supplement or the accompanying prospectus, modifies or supersedes that statement. Any statement so modified or superseded will not be deemed, except as so modified or superseded, to constitute a part of this prospectus supplement or the accompanying prospectus. We do not incorporate by reference into this prospectus supplement or the accompanying prospectus any documents or portions of documents that, in accordance with SEC rules, we “furnish” to the SEC, as opposed to those documents or portions of documents that we “file” with the SEC. As a result, the information that we furnish to the SEC is not and will not be a part of this prospectus supplement or the accompanying prospectus.</w:t>
      </w:r>
    </w:p>
    <w:p>
      <w:pPr>
        <w:spacing w:after="0" w:line="127"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59" w:lineRule="exact"/>
        <w:rPr>
          <w:sz w:val="20"/>
          <w:szCs w:val="20"/>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Annual Report on Form 10-K, as amended, for the fiscal year ended December 31, 2005</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March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13, 2006 (only with respect to Item 5.02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14,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July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August 7,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Current Report on Form 8-K filed with the SEC on September 15, 2006</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40"/>
          </w:cols>
          <w:pgMar w:left="240" w:top="459" w:right="31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60" w:right="2460" w:firstLine="2064"/>
        <w:spacing w:after="0" w:line="444" w:lineRule="auto"/>
        <w:rPr>
          <w:sz w:val="20"/>
          <w:szCs w:val="20"/>
          <w:color w:val="auto"/>
        </w:rPr>
      </w:pPr>
      <w:r>
        <w:rPr>
          <w:rFonts w:ascii="Arial" w:cs="Arial" w:eastAsia="Arial" w:hAnsi="Arial"/>
          <w:sz w:val="16"/>
          <w:szCs w:val="16"/>
          <w:b w:val="1"/>
          <w:bCs w:val="1"/>
          <w:color w:val="auto"/>
        </w:rPr>
        <w:t xml:space="preserve">Debt Securities, Common Shares, Preferred Shares, Depositary Shares and Warrants </w:t>
      </w:r>
      <w:r>
        <w:rPr>
          <w:rFonts w:ascii="Arial" w:cs="Arial" w:eastAsia="Arial" w:hAnsi="Arial"/>
          <w:sz w:val="16"/>
          <w:szCs w:val="16"/>
          <w:color w:val="auto"/>
        </w:rPr>
        <w:t>We may from time to time offer, in one or more series, separately or together, the following:</w:t>
      </w:r>
    </w:p>
    <w:p>
      <w:pPr>
        <w:spacing w:after="0" w:line="1"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shares are listed on the New York Stock Exchange under the symbol “FRT.”</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 Such terms may include limitations on direct or beneficial ownership and restrictions on transfer of our securities being offered that we believe are appropriate to preserve our status as a real estate investment trust for federal income tax purposes.</w:t>
      </w:r>
    </w:p>
    <w:p>
      <w:pPr>
        <w:spacing w:after="0" w:line="14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offer our securities directly, through agents we may designate from time to time, or to or through underwriters or dealers. If any agents or underwriters are involved in the sale of any of our securities, their names and any applicable purchase price, fee, commission or discount arrangement between or among them will be set forth or will be calculable from the information set forth in the applicable prospectus supplement. None of our securities may be sold without delivery of the applicable prospectus supplement describing the method and terms of the offering of such class or series of the securities.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106045</wp:posOffset>
            </wp:positionV>
            <wp:extent cx="15347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date of this prospectus is June 20, 2006.</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80" w:type="dxa"/>
            <w:vAlign w:val="bottom"/>
            <w:gridSpan w:val="2"/>
          </w:tcPr>
          <w:p>
            <w:pPr>
              <w:ind w:left="17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11"/>
            <w:vMerge w:val="restart"/>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About this Prospectus</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1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27">
              <w:r>
                <w:rPr>
                  <w:rFonts w:ascii="Arial" w:cs="Arial" w:eastAsia="Arial" w:hAnsi="Arial"/>
                  <w:sz w:val="18"/>
                  <w:szCs w:val="18"/>
                  <w:color w:val="0000EE"/>
                  <w:w w:val="92"/>
                </w:rPr>
                <w:t>Forward-Looking Information</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Use of Proceeds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40" w:type="dxa"/>
            <w:vAlign w:val="bottom"/>
            <w:tcBorders>
              <w:bottom w:val="single" w:sz="8" w:color="0000EE"/>
            </w:tcBorders>
            <w:gridSpan w:val="10"/>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Ratios of Earnings to Combined Fixed Charges and Preferred Share Dividends</w:t>
              </w:r>
            </w:hyperlink>
          </w:p>
        </w:tc>
        <w:tc>
          <w:tcPr>
            <w:tcW w:w="56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21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Description of Debt Securities</w:t>
              </w:r>
            </w:hyperlink>
          </w:p>
        </w:tc>
        <w:tc>
          <w:tcPr>
            <w:tcW w:w="900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306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Description of Shares of Beneficial Interest</w:t>
              </w:r>
            </w:hyperlink>
          </w:p>
        </w:tc>
        <w:tc>
          <w:tcPr>
            <w:tcW w:w="80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46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54">
              <w:r>
                <w:rPr>
                  <w:rFonts w:ascii="Arial" w:cs="Arial" w:eastAsia="Arial" w:hAnsi="Arial"/>
                  <w:sz w:val="18"/>
                  <w:szCs w:val="18"/>
                  <w:color w:val="0000EE"/>
                  <w:w w:val="85"/>
                </w:rPr>
                <w:t>Federal Income Tax Consequences</w:t>
              </w:r>
            </w:hyperlink>
          </w:p>
        </w:tc>
        <w:tc>
          <w:tcPr>
            <w:tcW w:w="86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Legal Matters</w:t>
              </w:r>
            </w:hyperlink>
          </w:p>
        </w:tc>
        <w:tc>
          <w:tcPr>
            <w:tcW w:w="974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100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Experts</w:t>
              </w:r>
            </w:hyperlink>
          </w:p>
        </w:tc>
        <w:tc>
          <w:tcPr>
            <w:tcW w:w="1014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834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140" w:type="dxa"/>
            <w:vAlign w:val="bottom"/>
            <w:gridSpan w:val="11"/>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Where You Can Find More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either separately or in units, in one or more offerings.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77"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2006, we owned or had a majority interest in 104 community and neighborhood shopping centers and mixed-use properties comprising approximately</w:t>
      </w:r>
    </w:p>
    <w:p>
      <w:pPr>
        <w:spacing w:after="0" w:line="3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17.6 million square feet, located primarily in densely populated and affluent communities throughout the Northeast and Mid-Atlantic United States, as well as in California, and one apartment complex in Maryland.</w:t>
      </w:r>
    </w:p>
    <w:p>
      <w:pPr>
        <w:spacing w:after="0" w:line="13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51" w:lineRule="exact"/>
        <w:rPr>
          <w:sz w:val="20"/>
          <w:szCs w:val="20"/>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327"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STOCK DIVIDENDS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stock dividends for the periods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4"/>
                <w:szCs w:val="14"/>
                <w:color w:val="auto"/>
              </w:rPr>
            </w:pPr>
          </w:p>
        </w:tc>
        <w:tc>
          <w:tcPr>
            <w:tcW w:w="1360" w:type="dxa"/>
            <w:vAlign w:val="bottom"/>
            <w:gridSpan w:val="3"/>
          </w:tcPr>
          <w:p>
            <w:pPr>
              <w:jc w:val="right"/>
              <w:spacing w:after="0"/>
              <w:rPr>
                <w:sz w:val="20"/>
                <w:szCs w:val="20"/>
                <w:color w:val="auto"/>
              </w:rPr>
            </w:pPr>
            <w:r>
              <w:rPr>
                <w:rFonts w:ascii="Arial" w:cs="Arial" w:eastAsia="Arial" w:hAnsi="Arial"/>
                <w:sz w:val="14"/>
                <w:szCs w:val="14"/>
                <w:b w:val="1"/>
                <w:bCs w:val="1"/>
                <w:color w:val="auto"/>
                <w:w w:val="90"/>
              </w:rPr>
              <w:t>For the Three Months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8"/>
          </w:tcPr>
          <w:p>
            <w:pPr>
              <w:jc w:val="center"/>
              <w:ind w:right="120"/>
              <w:spacing w:after="0"/>
              <w:rPr>
                <w:sz w:val="20"/>
                <w:szCs w:val="20"/>
                <w:color w:val="auto"/>
              </w:rPr>
            </w:pPr>
            <w:r>
              <w:rPr>
                <w:rFonts w:ascii="Arial" w:cs="Arial" w:eastAsia="Arial" w:hAnsi="Arial"/>
                <w:sz w:val="14"/>
                <w:szCs w:val="14"/>
                <w:b w:val="1"/>
                <w:bCs w:val="1"/>
                <w:color w:val="auto"/>
                <w:w w:val="86"/>
              </w:rPr>
              <w:t>For the Years Ended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620" w:type="dxa"/>
            <w:vAlign w:val="bottom"/>
          </w:tcPr>
          <w:p>
            <w:pPr>
              <w:spacing w:after="0"/>
              <w:rPr>
                <w:sz w:val="15"/>
                <w:szCs w:val="15"/>
                <w:color w:val="auto"/>
              </w:rPr>
            </w:pPr>
          </w:p>
        </w:tc>
        <w:tc>
          <w:tcPr>
            <w:tcW w:w="1360" w:type="dxa"/>
            <w:vAlign w:val="bottom"/>
            <w:tcBorders>
              <w:bottom w:val="single" w:sz="8" w:color="auto"/>
            </w:tcBorders>
            <w:gridSpan w:val="3"/>
          </w:tcPr>
          <w:p>
            <w:pPr>
              <w:jc w:val="right"/>
              <w:ind w:right="102"/>
              <w:spacing w:after="0"/>
              <w:rPr>
                <w:sz w:val="20"/>
                <w:szCs w:val="20"/>
                <w:color w:val="auto"/>
              </w:rPr>
            </w:pPr>
            <w:r>
              <w:rPr>
                <w:rFonts w:ascii="Arial" w:cs="Arial" w:eastAsia="Arial" w:hAnsi="Arial"/>
                <w:sz w:val="14"/>
                <w:szCs w:val="14"/>
                <w:b w:val="1"/>
                <w:bCs w:val="1"/>
                <w:color w:val="auto"/>
              </w:rPr>
              <w:t>Ended March 31,</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5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2"/>
                <w:szCs w:val="12"/>
                <w:color w:val="auto"/>
              </w:rPr>
            </w:pPr>
          </w:p>
        </w:tc>
        <w:tc>
          <w:tcPr>
            <w:tcW w:w="58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5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2004</w:t>
            </w:r>
          </w:p>
        </w:tc>
        <w:tc>
          <w:tcPr>
            <w:tcW w:w="50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2003</w:t>
            </w:r>
          </w:p>
        </w:tc>
        <w:tc>
          <w:tcPr>
            <w:tcW w:w="48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2002</w:t>
            </w: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w:t>
            </w:r>
          </w:p>
        </w:tc>
        <w:tc>
          <w:tcPr>
            <w:tcW w:w="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62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stock dividends</w:t>
            </w:r>
          </w:p>
        </w:tc>
        <w:tc>
          <w:tcPr>
            <w:tcW w:w="580" w:type="dxa"/>
            <w:vAlign w:val="bottom"/>
          </w:tcPr>
          <w:p>
            <w:pPr>
              <w:jc w:val="right"/>
              <w:spacing w:after="0"/>
              <w:rPr>
                <w:sz w:val="20"/>
                <w:szCs w:val="20"/>
                <w:color w:val="auto"/>
              </w:rPr>
            </w:pPr>
            <w:r>
              <w:rPr>
                <w:rFonts w:ascii="Arial" w:cs="Arial" w:eastAsia="Arial" w:hAnsi="Arial"/>
                <w:sz w:val="18"/>
                <w:szCs w:val="18"/>
                <w:color w:val="auto"/>
              </w:rPr>
              <w:t>1.7</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500" w:type="dxa"/>
            <w:vAlign w:val="bottom"/>
            <w:gridSpan w:val="3"/>
          </w:tcPr>
          <w:p>
            <w:pPr>
              <w:jc w:val="right"/>
              <w:ind w:right="120"/>
              <w:spacing w:after="0"/>
              <w:rPr>
                <w:sz w:val="20"/>
                <w:szCs w:val="20"/>
                <w:color w:val="auto"/>
              </w:rPr>
            </w:pPr>
            <w:r>
              <w:rPr>
                <w:rFonts w:ascii="Arial" w:cs="Arial" w:eastAsia="Arial" w:hAnsi="Arial"/>
                <w:sz w:val="18"/>
                <w:szCs w:val="18"/>
                <w:color w:val="auto"/>
              </w:rPr>
              <w:t>1.4</w:t>
            </w:r>
          </w:p>
        </w:tc>
        <w:tc>
          <w:tcPr>
            <w:tcW w:w="48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ratio of earnings to fixed charges is computed by dividing earnings by fixed charges. In computing the ratio of earnings to fixed charges: (a) earnings consist of income from continuing operations before minority interests plus distributed income of equity investees and fixed charges (excluding capitalized interest) less minority interests of subsidiaries with no fixed charges; and (b) fixed charges consist of interest expense including amortization of debt discounts and issuance costs (including capitalized interest) and the estimated portion of rents payable by us representing interest.</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ratio of earnings to combined fixed charges and preferred stock dividends is computed by dividing earnings by the total of fixed charges and preferred stock dividends. In computing the ratio of earnings to combined fixed charges and preferred stock dividends: (a) earnings consist of income from continuing operations before minority interests plus distributed income of equity investees and fixed charges (excluding capitalized interest) less minority interests of subsidiaries with no fixed charges; (b) fixed charges consist of interest expense including amortization of debt discounts and issuance costs (including capitalized interest) and the estimated portion of rents payable by us representing interest; and (c) preferred stock dividends consist of preferred stock dividends and preferred stock redemption costs.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DEBT SECURITIES</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9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71"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we say otherwise in a prospectus supplement:</w:t>
      </w:r>
    </w:p>
    <w:p>
      <w:pPr>
        <w:spacing w:after="0" w:line="90"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43"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59"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Title. </w:t>
      </w:r>
      <w:r>
        <w:rPr>
          <w:rFonts w:ascii="Arial" w:cs="Arial" w:eastAsia="Arial" w:hAnsi="Arial"/>
          <w:sz w:val="18"/>
          <w:szCs w:val="18"/>
          <w:color w:val="auto"/>
        </w:rPr>
        <w:t>The title of the debt securities offered.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90"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date or dates.</w:t>
      </w:r>
    </w:p>
    <w:p>
      <w:pPr>
        <w:spacing w:after="0" w:line="50" w:lineRule="exact"/>
        <w:rPr>
          <w:rFonts w:ascii="Arial" w:cs="Arial" w:eastAsia="Arial" w:hAnsi="Arial"/>
          <w:sz w:val="18"/>
          <w:szCs w:val="18"/>
          <w:color w:val="auto"/>
        </w:rPr>
      </w:pPr>
    </w:p>
    <w:p>
      <w:pPr>
        <w:ind w:left="780" w:right="6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90"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50"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50" w:lineRule="exact"/>
        <w:rPr>
          <w:rFonts w:ascii="Arial" w:cs="Arial" w:eastAsia="Arial" w:hAnsi="Arial"/>
          <w:sz w:val="18"/>
          <w:szCs w:val="18"/>
          <w:color w:val="auto"/>
        </w:rPr>
      </w:pPr>
    </w:p>
    <w:p>
      <w:pPr>
        <w:ind w:left="780" w:right="100" w:hanging="326"/>
        <w:spacing w:after="0" w:line="259"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59" w:lineRule="exact"/>
        <w:rPr>
          <w:rFonts w:ascii="Arial" w:cs="Arial" w:eastAsia="Arial" w:hAnsi="Arial"/>
          <w:sz w:val="18"/>
          <w:szCs w:val="18"/>
          <w:color w:val="auto"/>
        </w:rPr>
      </w:pPr>
    </w:p>
    <w:p>
      <w:pPr>
        <w:ind w:left="780" w:right="100" w:hanging="326"/>
        <w:spacing w:after="0" w:line="298" w:lineRule="auto"/>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31" w:lineRule="exact"/>
        <w:rPr>
          <w:rFonts w:ascii="Arial" w:cs="Arial" w:eastAsia="Arial" w:hAnsi="Arial"/>
          <w:sz w:val="16"/>
          <w:szCs w:val="16"/>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90" w:lineRule="exact"/>
        <w:rPr>
          <w:rFonts w:ascii="Arial" w:cs="Arial" w:eastAsia="Arial" w:hAnsi="Arial"/>
          <w:sz w:val="18"/>
          <w:szCs w:val="18"/>
          <w:color w:val="auto"/>
        </w:rPr>
      </w:pPr>
    </w:p>
    <w:p>
      <w:pPr>
        <w:ind w:left="780" w:right="160" w:hanging="326"/>
        <w:spacing w:after="0" w:line="256"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62"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index or pursuant to a formula or other method, the manner in which such amounts will be determined.</w:t>
      </w:r>
    </w:p>
    <w:p>
      <w:pPr>
        <w:spacing w:after="0" w:line="5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method by which such portion shall be determined.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Special Rights. </w:t>
      </w:r>
      <w:r>
        <w:rPr>
          <w:rFonts w:ascii="Arial" w:cs="Arial" w:eastAsia="Arial" w:hAnsi="Arial"/>
          <w:sz w:val="18"/>
          <w:szCs w:val="18"/>
          <w:color w:val="auto"/>
        </w:rPr>
        <w:t>Provisions, if any, granting special rights to the holders of the offered debt securities if certain specified events occur.</w:t>
      </w:r>
    </w:p>
    <w:p>
      <w:pPr>
        <w:spacing w:after="0" w:line="90"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2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90" w:lineRule="exact"/>
        <w:rPr>
          <w:rFonts w:ascii="Arial" w:cs="Arial" w:eastAsia="Arial" w:hAnsi="Arial"/>
          <w:sz w:val="18"/>
          <w:szCs w:val="18"/>
          <w:color w:val="auto"/>
        </w:rPr>
      </w:pPr>
    </w:p>
    <w:p>
      <w:pPr>
        <w:ind w:left="780" w:right="46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90" w:lineRule="exact"/>
        <w:rPr>
          <w:rFonts w:ascii="Arial" w:cs="Arial" w:eastAsia="Arial" w:hAnsi="Arial"/>
          <w:sz w:val="18"/>
          <w:szCs w:val="18"/>
          <w:color w:val="auto"/>
        </w:rPr>
      </w:pPr>
    </w:p>
    <w:p>
      <w:pPr>
        <w:ind w:left="780" w:right="1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90" w:lineRule="exact"/>
        <w:rPr>
          <w:rFonts w:ascii="Arial" w:cs="Arial" w:eastAsia="Arial" w:hAnsi="Arial"/>
          <w:sz w:val="18"/>
          <w:szCs w:val="18"/>
          <w:color w:val="auto"/>
        </w:rPr>
      </w:pPr>
    </w:p>
    <w:p>
      <w:pPr>
        <w:ind w:left="780" w:hanging="326"/>
        <w:spacing w:after="0" w:line="256"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62" w:lineRule="exact"/>
        <w:rPr>
          <w:rFonts w:ascii="Arial" w:cs="Arial" w:eastAsia="Arial" w:hAnsi="Arial"/>
          <w:sz w:val="18"/>
          <w:szCs w:val="18"/>
          <w:color w:val="auto"/>
        </w:rPr>
      </w:pPr>
    </w:p>
    <w:p>
      <w:pPr>
        <w:ind w:left="780" w:right="160" w:hanging="326"/>
        <w:spacing w:after="0" w:line="25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59" w:lineRule="exact"/>
        <w:rPr>
          <w:rFonts w:ascii="Arial" w:cs="Arial" w:eastAsia="Arial" w:hAnsi="Arial"/>
          <w:sz w:val="18"/>
          <w:szCs w:val="18"/>
          <w:color w:val="auto"/>
        </w:rPr>
      </w:pPr>
    </w:p>
    <w:p>
      <w:pPr>
        <w:ind w:left="780" w:right="22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4" w:lineRule="exact"/>
        <w:rPr>
          <w:rFonts w:ascii="Arial" w:cs="Arial" w:eastAsia="Arial" w:hAnsi="Arial"/>
          <w:sz w:val="16"/>
          <w:szCs w:val="16"/>
          <w:color w:val="auto"/>
        </w:rPr>
      </w:pPr>
    </w:p>
    <w:p>
      <w:pPr>
        <w:ind w:left="780" w:right="70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4" w:lineRule="exact"/>
        <w:rPr>
          <w:rFonts w:ascii="Arial" w:cs="Arial" w:eastAsia="Arial" w:hAnsi="Arial"/>
          <w:sz w:val="16"/>
          <w:szCs w:val="16"/>
          <w:color w:val="auto"/>
        </w:rPr>
      </w:pPr>
    </w:p>
    <w:p>
      <w:pPr>
        <w:ind w:left="780" w:right="28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Subordination. </w:t>
      </w:r>
      <w:r>
        <w:rPr>
          <w:rFonts w:ascii="Arial" w:cs="Arial" w:eastAsia="Arial" w:hAnsi="Arial"/>
          <w:sz w:val="16"/>
          <w:szCs w:val="16"/>
          <w:color w:val="auto"/>
        </w:rPr>
        <w:t>In the case of the subordinated indenture, the relative degree to which the offered debt securities shall be senior to or junior to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securities, whether currently outstanding or to be offered in the future, and to other debt, in right of payment.</w:t>
      </w:r>
    </w:p>
    <w:p>
      <w:pPr>
        <w:spacing w:after="0" w:line="4" w:lineRule="exact"/>
        <w:rPr>
          <w:rFonts w:ascii="Arial" w:cs="Arial" w:eastAsia="Arial" w:hAnsi="Arial"/>
          <w:sz w:val="16"/>
          <w:szCs w:val="16"/>
          <w:color w:val="auto"/>
        </w:rPr>
      </w:pPr>
    </w:p>
    <w:p>
      <w:pPr>
        <w:ind w:left="780" w:right="60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Guarantees. </w:t>
      </w:r>
      <w:r>
        <w:rPr>
          <w:rFonts w:ascii="Arial" w:cs="Arial" w:eastAsia="Arial" w:hAnsi="Arial"/>
          <w:sz w:val="16"/>
          <w:szCs w:val="16"/>
          <w:color w:val="auto"/>
        </w:rPr>
        <w:t>Whether the offered debt securities are guaranteed and, if so, the identity of the guarantors and the terms of the offered guarantees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whether and the extent to which the guarantees are subordinated to other debt of the guarantors).</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 securities or property.</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9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U.S. laws or regulations or advisable, as we determine, in connection with marketing of securities of the series.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Debt securities may be offered in either registered or bearer form.</w:t>
      </w:r>
    </w:p>
    <w:p>
      <w:pPr>
        <w:spacing w:after="0" w:line="90" w:lineRule="exact"/>
        <w:rPr>
          <w:sz w:val="20"/>
          <w:szCs w:val="20"/>
          <w:color w:val="auto"/>
        </w:rPr>
      </w:pPr>
    </w:p>
    <w:p>
      <w:pPr>
        <w:ind w:left="780" w:right="4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120" w:hanging="326"/>
        <w:spacing w:after="0" w:line="306" w:lineRule="auto"/>
        <w:tabs>
          <w:tab w:leader="none" w:pos="7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Unless we say otherwise in a prospectus supplement, we will issue debt securities in denominations of:</w:t>
      </w:r>
    </w:p>
    <w:p>
      <w:pPr>
        <w:spacing w:after="0" w:line="90" w:lineRule="exact"/>
        <w:rPr>
          <w:sz w:val="20"/>
          <w:szCs w:val="20"/>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Currencies and Indexed Securities. </w:t>
      </w:r>
      <w:r>
        <w:rPr>
          <w:rFonts w:ascii="Arial" w:cs="Arial" w:eastAsia="Arial" w:hAnsi="Arial"/>
          <w:sz w:val="18"/>
          <w:szCs w:val="18"/>
          <w:color w:val="auto"/>
        </w:rPr>
        <w:t>We may offer debt securities for which:</w:t>
      </w:r>
    </w:p>
    <w:p>
      <w:pPr>
        <w:spacing w:after="0" w:line="90" w:lineRule="exact"/>
        <w:rPr>
          <w:sz w:val="20"/>
          <w:szCs w:val="20"/>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other currency may be a currency unit composed of various currencies. Payments on debt securities may also be based on an index.</w:t>
      </w:r>
    </w:p>
    <w:p>
      <w:pPr>
        <w:spacing w:after="0" w:line="194" w:lineRule="exact"/>
        <w:rPr>
          <w:sz w:val="20"/>
          <w:szCs w:val="20"/>
          <w:color w:val="auto"/>
        </w:rPr>
      </w:pPr>
    </w:p>
    <w:p>
      <w:pPr>
        <w:jc w:val="both"/>
        <w:ind w:right="60" w:firstLine="456"/>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63" w:lineRule="exact"/>
        <w:rPr>
          <w:sz w:val="20"/>
          <w:szCs w:val="20"/>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32"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You may transfer or exchange debt securities without service charge, although we may require you to pay any related tax or other governmental charge.</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90"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7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 keep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107"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Payment of Taxes and Other Claims. </w:t>
      </w:r>
      <w:r>
        <w:rPr>
          <w:rFonts w:ascii="Arial" w:cs="Arial" w:eastAsia="Arial" w:hAnsi="Arial"/>
          <w:sz w:val="18"/>
          <w:szCs w:val="18"/>
          <w:color w:val="auto"/>
        </w:rPr>
        <w:t>We will pay or discharge or cause to be paid or discharged, before they shall become delinquent:</w:t>
      </w:r>
    </w:p>
    <w:p>
      <w:pPr>
        <w:spacing w:after="0" w:line="90"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32"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4" w:lineRule="exact"/>
        <w:rPr>
          <w:sz w:val="20"/>
          <w:szCs w:val="20"/>
          <w:color w:val="auto"/>
        </w:rPr>
      </w:pPr>
    </w:p>
    <w:p>
      <w:pPr>
        <w:jc w:val="both"/>
        <w:ind w:left="780" w:right="80" w:hanging="326"/>
        <w:spacing w:after="0" w:line="259"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5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51" w:lineRule="exact"/>
        <w:rPr>
          <w:sz w:val="20"/>
          <w:szCs w:val="20"/>
          <w:color w:val="auto"/>
        </w:rPr>
      </w:pPr>
    </w:p>
    <w:p>
      <w:pPr>
        <w:ind w:left="780" w:hanging="326"/>
        <w:spacing w:after="0"/>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either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90" w:lineRule="exact"/>
        <w:rPr>
          <w:rFonts w:ascii="Arial" w:cs="Arial" w:eastAsia="Arial" w:hAnsi="Arial"/>
          <w:sz w:val="18"/>
          <w:szCs w:val="18"/>
          <w:color w:val="auto"/>
        </w:rPr>
      </w:pPr>
    </w:p>
    <w:p>
      <w:pPr>
        <w:ind w:left="1260" w:right="160" w:hanging="455"/>
        <w:spacing w:after="0" w:line="259" w:lineRule="auto"/>
        <w:tabs>
          <w:tab w:leader="none" w:pos="12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59"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20" w:hanging="326"/>
        <w:spacing w:after="0" w:line="256" w:lineRule="auto"/>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113"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4" w:lineRule="exact"/>
        <w:rPr>
          <w:sz w:val="20"/>
          <w:szCs w:val="20"/>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90" w:lineRule="exact"/>
        <w:rPr>
          <w:rFonts w:ascii="Arial" w:cs="Arial" w:eastAsia="Arial" w:hAnsi="Arial"/>
          <w:sz w:val="18"/>
          <w:szCs w:val="18"/>
          <w:color w:val="auto"/>
        </w:rPr>
      </w:pPr>
    </w:p>
    <w:p>
      <w:pPr>
        <w:ind w:left="780" w:right="280" w:hanging="326"/>
        <w:spacing w:after="0" w:line="332" w:lineRule="auto"/>
        <w:tabs>
          <w:tab w:leader="none" w:pos="7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4" w:lineRule="exact"/>
        <w:rPr>
          <w:rFonts w:ascii="Arial" w:cs="Arial" w:eastAsia="Arial" w:hAnsi="Arial"/>
          <w:sz w:val="16"/>
          <w:szCs w:val="16"/>
          <w:color w:val="auto"/>
        </w:rPr>
      </w:pPr>
    </w:p>
    <w:p>
      <w:pPr>
        <w:ind w:left="780" w:right="10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50" w:lineRule="exact"/>
        <w:rPr>
          <w:rFonts w:ascii="Arial" w:cs="Arial" w:eastAsia="Arial" w:hAnsi="Arial"/>
          <w:sz w:val="18"/>
          <w:szCs w:val="18"/>
          <w:color w:val="auto"/>
        </w:rPr>
      </w:pPr>
    </w:p>
    <w:p>
      <w:pPr>
        <w:ind w:left="1260" w:right="100" w:hanging="455"/>
        <w:spacing w:after="0" w:line="306" w:lineRule="auto"/>
        <w:tabs>
          <w:tab w:leader="none" w:pos="126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25" w:lineRule="exact"/>
        <w:rPr>
          <w:rFonts w:ascii="Arial" w:cs="Arial" w:eastAsia="Arial" w:hAnsi="Arial"/>
          <w:sz w:val="16"/>
          <w:szCs w:val="16"/>
          <w:color w:val="auto"/>
        </w:rPr>
      </w:pPr>
    </w:p>
    <w:p>
      <w:pPr>
        <w:ind w:left="780" w:right="220" w:hanging="326"/>
        <w:spacing w:after="0" w:line="268" w:lineRule="auto"/>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71"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may not:</w:t>
      </w:r>
    </w:p>
    <w:p>
      <w:pPr>
        <w:spacing w:after="0" w:line="51" w:lineRule="exact"/>
        <w:rPr>
          <w:sz w:val="20"/>
          <w:szCs w:val="20"/>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13" w:lineRule="exact"/>
        <w:rPr>
          <w:sz w:val="20"/>
          <w:szCs w:val="20"/>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7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distributing any assets if:</w:t>
      </w:r>
    </w:p>
    <w:p>
      <w:pPr>
        <w:spacing w:after="0" w:line="51" w:lineRule="exact"/>
        <w:rPr>
          <w:sz w:val="20"/>
          <w:szCs w:val="20"/>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59"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13" w:lineRule="exact"/>
        <w:rPr>
          <w:rFonts w:ascii="Arial" w:cs="Arial" w:eastAsia="Arial" w:hAnsi="Arial"/>
          <w:sz w:val="16"/>
          <w:szCs w:val="16"/>
          <w:color w:val="auto"/>
        </w:rPr>
      </w:pPr>
    </w:p>
    <w:p>
      <w:pPr>
        <w:ind w:left="780" w:right="180" w:hanging="326"/>
        <w:spacing w:after="0" w:line="268" w:lineRule="auto"/>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 subordinated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51" w:lineRule="exact"/>
        <w:rPr>
          <w:sz w:val="20"/>
          <w:szCs w:val="20"/>
          <w:color w:val="auto"/>
        </w:rPr>
      </w:pPr>
    </w:p>
    <w:p>
      <w:pPr>
        <w:ind w:left="460" w:right="180" w:firstLine="443"/>
        <w:spacing w:after="0" w:line="268" w:lineRule="auto"/>
        <w:tabs>
          <w:tab w:leader="none" w:pos="10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0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50" w:lineRule="exact"/>
        <w:rPr>
          <w:rFonts w:ascii="Arial" w:cs="Arial" w:eastAsia="Arial" w:hAnsi="Arial"/>
          <w:sz w:val="18"/>
          <w:szCs w:val="18"/>
          <w:color w:val="auto"/>
        </w:rPr>
      </w:pPr>
    </w:p>
    <w:p>
      <w:pPr>
        <w:ind w:left="1060" w:hanging="157"/>
        <w:spacing w:after="0"/>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90" w:lineRule="exact"/>
        <w:rPr>
          <w:rFonts w:ascii="Arial" w:cs="Arial" w:eastAsia="Arial" w:hAnsi="Arial"/>
          <w:sz w:val="18"/>
          <w:szCs w:val="18"/>
          <w:color w:val="auto"/>
        </w:rPr>
      </w:pPr>
    </w:p>
    <w:p>
      <w:pPr>
        <w:ind w:left="460" w:firstLine="443"/>
        <w:spacing w:after="0" w:line="259" w:lineRule="auto"/>
        <w:tabs>
          <w:tab w:leader="none" w:pos="10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59" w:lineRule="exact"/>
        <w:rPr>
          <w:rFonts w:ascii="Arial" w:cs="Arial" w:eastAsia="Arial" w:hAnsi="Arial"/>
          <w:sz w:val="18"/>
          <w:szCs w:val="18"/>
          <w:color w:val="auto"/>
        </w:rPr>
      </w:pPr>
    </w:p>
    <w:p>
      <w:pPr>
        <w:ind w:left="1580" w:hanging="239"/>
        <w:spacing w:after="0"/>
        <w:tabs>
          <w:tab w:leader="none" w:pos="15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580" w:hanging="239"/>
        <w:spacing w:after="0"/>
        <w:tabs>
          <w:tab w:leader="none" w:pos="158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113" w:lineRule="exact"/>
        <w:rPr>
          <w:rFonts w:ascii="Arial" w:cs="Arial" w:eastAsia="Arial" w:hAnsi="Arial"/>
          <w:sz w:val="16"/>
          <w:szCs w:val="16"/>
          <w:color w:val="auto"/>
        </w:rPr>
      </w:pPr>
    </w:p>
    <w:p>
      <w:pPr>
        <w:ind w:left="460" w:right="120" w:firstLine="443"/>
        <w:spacing w:after="0" w:line="289" w:lineRule="auto"/>
        <w:tabs>
          <w:tab w:leader="none" w:pos="10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37" w:lineRule="exact"/>
        <w:rPr>
          <w:rFonts w:ascii="Arial" w:cs="Arial" w:eastAsia="Arial" w:hAnsi="Arial"/>
          <w:sz w:val="16"/>
          <w:szCs w:val="16"/>
          <w:color w:val="auto"/>
        </w:rPr>
      </w:pPr>
    </w:p>
    <w:p>
      <w:pPr>
        <w:ind w:left="1080" w:hanging="177"/>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90" w:lineRule="exact"/>
        <w:rPr>
          <w:rFonts w:ascii="Arial" w:cs="Arial" w:eastAsia="Arial" w:hAnsi="Arial"/>
          <w:sz w:val="18"/>
          <w:szCs w:val="18"/>
          <w:color w:val="auto"/>
        </w:rPr>
      </w:pPr>
    </w:p>
    <w:p>
      <w:pPr>
        <w:ind w:left="1580" w:hanging="239"/>
        <w:spacing w:after="0"/>
        <w:tabs>
          <w:tab w:leader="none" w:pos="158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113" w:lineRule="exact"/>
        <w:rPr>
          <w:rFonts w:ascii="Arial" w:cs="Arial" w:eastAsia="Arial" w:hAnsi="Arial"/>
          <w:sz w:val="16"/>
          <w:szCs w:val="16"/>
          <w:color w:val="auto"/>
        </w:rPr>
      </w:pPr>
    </w:p>
    <w:p>
      <w:pPr>
        <w:ind w:left="1580" w:hanging="239"/>
        <w:spacing w:after="0"/>
        <w:tabs>
          <w:tab w:leader="none" w:pos="158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90" w:lineRule="exact"/>
        <w:rPr>
          <w:sz w:val="20"/>
          <w:szCs w:val="20"/>
          <w:color w:val="auto"/>
        </w:rPr>
      </w:pPr>
    </w:p>
    <w:p>
      <w:pPr>
        <w:ind w:left="1080" w:hanging="177"/>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90" w:lineRule="exact"/>
        <w:rPr>
          <w:rFonts w:ascii="Arial" w:cs="Arial" w:eastAsia="Arial" w:hAnsi="Arial"/>
          <w:sz w:val="18"/>
          <w:szCs w:val="18"/>
          <w:color w:val="auto"/>
        </w:rPr>
      </w:pPr>
    </w:p>
    <w:p>
      <w:pPr>
        <w:ind w:left="920" w:right="80" w:firstLine="421"/>
        <w:spacing w:after="0" w:line="268" w:lineRule="auto"/>
        <w:tabs>
          <w:tab w:leader="none" w:pos="1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50" w:lineRule="exact"/>
        <w:rPr>
          <w:rFonts w:ascii="Arial" w:cs="Arial" w:eastAsia="Arial" w:hAnsi="Arial"/>
          <w:sz w:val="18"/>
          <w:szCs w:val="18"/>
          <w:color w:val="auto"/>
        </w:rPr>
      </w:pPr>
    </w:p>
    <w:p>
      <w:pPr>
        <w:ind w:left="920" w:right="40" w:firstLine="421"/>
        <w:spacing w:after="0" w:line="332" w:lineRule="auto"/>
        <w:tabs>
          <w:tab w:leader="none" w:pos="1588"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spacing w:after="0" w:line="4" w:lineRule="exact"/>
        <w:rPr>
          <w:rFonts w:ascii="Arial" w:cs="Arial" w:eastAsia="Arial" w:hAnsi="Arial"/>
          <w:sz w:val="16"/>
          <w:szCs w:val="16"/>
          <w:color w:val="auto"/>
        </w:rPr>
      </w:pPr>
    </w:p>
    <w:p>
      <w:pPr>
        <w:ind w:left="920" w:right="620" w:firstLine="421"/>
        <w:spacing w:after="0" w:line="268" w:lineRule="auto"/>
        <w:tabs>
          <w:tab w:leader="none" w:pos="1579"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consent to the appointment of a receiver in respect of us or any of our significant subsidiaries for all or substantially all of our or its property; or</w:t>
      </w:r>
    </w:p>
    <w:p>
      <w:pPr>
        <w:spacing w:after="0" w:line="50" w:lineRule="exact"/>
        <w:rPr>
          <w:rFonts w:ascii="Arial" w:cs="Arial" w:eastAsia="Arial" w:hAnsi="Arial"/>
          <w:sz w:val="18"/>
          <w:szCs w:val="18"/>
          <w:color w:val="auto"/>
        </w:rPr>
      </w:pPr>
    </w:p>
    <w:p>
      <w:pPr>
        <w:ind w:left="1580" w:hanging="239"/>
        <w:spacing w:after="0"/>
        <w:tabs>
          <w:tab w:leader="none" w:pos="15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90" w:lineRule="exact"/>
        <w:rPr>
          <w:rFonts w:ascii="Arial" w:cs="Arial" w:eastAsia="Arial" w:hAnsi="Arial"/>
          <w:sz w:val="18"/>
          <w:szCs w:val="18"/>
          <w:color w:val="auto"/>
        </w:rPr>
      </w:pPr>
    </w:p>
    <w:p>
      <w:pPr>
        <w:ind w:left="1060" w:hanging="157"/>
        <w:spacing w:after="0"/>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past default except for:</w:t>
      </w:r>
    </w:p>
    <w:p>
      <w:pPr>
        <w:spacing w:after="0" w:line="51" w:lineRule="exact"/>
        <w:rPr>
          <w:sz w:val="20"/>
          <w:szCs w:val="20"/>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 before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59" w:lineRule="exact"/>
        <w:rPr>
          <w:sz w:val="20"/>
          <w:szCs w:val="20"/>
          <w:color w:val="auto"/>
        </w:rPr>
      </w:pPr>
    </w:p>
    <w:p>
      <w:pPr>
        <w:ind w:left="780" w:hanging="326"/>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90" w:lineRule="exact"/>
        <w:rPr>
          <w:rFonts w:ascii="Arial" w:cs="Arial" w:eastAsia="Arial" w:hAnsi="Arial"/>
          <w:sz w:val="18"/>
          <w:szCs w:val="18"/>
          <w:color w:val="auto"/>
        </w:rPr>
      </w:pPr>
    </w:p>
    <w:p>
      <w:pPr>
        <w:ind w:left="1260" w:right="22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50" w:lineRule="exact"/>
        <w:rPr>
          <w:rFonts w:ascii="Arial" w:cs="Arial" w:eastAsia="Arial" w:hAnsi="Arial"/>
          <w:sz w:val="18"/>
          <w:szCs w:val="18"/>
          <w:color w:val="auto"/>
        </w:rPr>
      </w:pPr>
    </w:p>
    <w:p>
      <w:pPr>
        <w:ind w:left="1260" w:hanging="455"/>
        <w:spacing w:after="0"/>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90"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5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1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 xml:space="preserve">Limitation on Suits. </w:t>
      </w:r>
      <w:r>
        <w:rPr>
          <w:rFonts w:ascii="Arial" w:cs="Arial" w:eastAsia="Arial" w:hAnsi="Arial"/>
          <w:sz w:val="18"/>
          <w:szCs w:val="18"/>
          <w:color w:val="auto"/>
        </w:rPr>
        <w:t>Each indenture provides that no holders of debt securities of any series may institute any proceedings, judicial or otherwise,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 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44"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10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10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96"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59" w:lineRule="exact"/>
        <w:rPr>
          <w:sz w:val="20"/>
          <w:szCs w:val="20"/>
          <w:color w:val="auto"/>
        </w:rPr>
      </w:pPr>
    </w:p>
    <w:p>
      <w:pPr>
        <w:ind w:left="780" w:right="340" w:hanging="326"/>
        <w:spacing w:after="0" w:line="268" w:lineRule="auto"/>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50" w:lineRule="exact"/>
        <w:rPr>
          <w:rFonts w:ascii="Arial" w:cs="Arial" w:eastAsia="Arial" w:hAnsi="Arial"/>
          <w:sz w:val="18"/>
          <w:szCs w:val="18"/>
          <w:color w:val="auto"/>
        </w:rPr>
      </w:pPr>
    </w:p>
    <w:p>
      <w:pPr>
        <w:ind w:left="780" w:hanging="326"/>
        <w:spacing w:after="0" w:line="332" w:lineRule="auto"/>
        <w:tabs>
          <w:tab w:leader="none" w:pos="7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series:</w:t>
      </w:r>
    </w:p>
    <w:p>
      <w:pPr>
        <w:spacing w:after="0" w:line="84" w:lineRule="exact"/>
        <w:rPr>
          <w:sz w:val="20"/>
          <w:szCs w:val="20"/>
          <w:color w:val="auto"/>
        </w:rPr>
      </w:pPr>
    </w:p>
    <w:p>
      <w:pPr>
        <w:ind w:left="780" w:hanging="326"/>
        <w:spacing w:after="0"/>
        <w:tabs>
          <w:tab w:leader="none" w:pos="7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we must irrevocably deposit with the trustee, in trust, for the benefit of the holders of the debt securities of the applicable series, an amount in</w:t>
      </w:r>
    </w:p>
    <w:p>
      <w:pPr>
        <w:spacing w:after="0" w:line="38" w:lineRule="exact"/>
        <w:rPr>
          <w:rFonts w:ascii="Arial" w:cs="Arial" w:eastAsia="Arial" w:hAnsi="Arial"/>
          <w:sz w:val="16"/>
          <w:szCs w:val="16"/>
          <w:color w:val="auto"/>
        </w:rPr>
      </w:pPr>
    </w:p>
    <w:p>
      <w:pPr>
        <w:ind w:left="780" w:right="100"/>
        <w:spacing w:after="0" w:line="253" w:lineRule="auto"/>
        <w:rPr>
          <w:rFonts w:ascii="Arial" w:cs="Arial" w:eastAsia="Arial" w:hAnsi="Arial"/>
          <w:sz w:val="16"/>
          <w:szCs w:val="16"/>
          <w:color w:val="auto"/>
        </w:rPr>
      </w:pPr>
      <w:r>
        <w:rPr>
          <w:rFonts w:ascii="Arial" w:cs="Arial" w:eastAsia="Arial" w:hAnsi="Arial"/>
          <w:sz w:val="18"/>
          <w:szCs w:val="18"/>
          <w:color w:val="auto"/>
        </w:rPr>
        <w:t>(i)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64" w:lineRule="exact"/>
        <w:rPr>
          <w:rFonts w:ascii="Arial" w:cs="Arial" w:eastAsia="Arial" w:hAnsi="Arial"/>
          <w:sz w:val="16"/>
          <w:szCs w:val="16"/>
          <w:color w:val="auto"/>
        </w:rPr>
      </w:pPr>
    </w:p>
    <w:p>
      <w:pPr>
        <w:ind w:left="780" w:hanging="326"/>
        <w:spacing w:after="0"/>
        <w:tabs>
          <w:tab w:leader="none" w:pos="7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90" w:lineRule="exact"/>
        <w:rPr>
          <w:sz w:val="20"/>
          <w:szCs w:val="20"/>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90" w:lineRule="exact"/>
        <w:rPr>
          <w:sz w:val="20"/>
          <w:szCs w:val="20"/>
          <w:color w:val="auto"/>
        </w:rPr>
      </w:pPr>
    </w:p>
    <w:p>
      <w:pPr>
        <w:ind w:left="80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59" w:lineRule="exact"/>
        <w:rPr>
          <w:sz w:val="20"/>
          <w:szCs w:val="20"/>
          <w:color w:val="auto"/>
        </w:rPr>
      </w:pPr>
    </w:p>
    <w:p>
      <w:pPr>
        <w:ind w:left="780" w:right="60" w:hanging="326"/>
        <w:spacing w:after="0" w:line="256"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62"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2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50" w:lineRule="exact"/>
        <w:rPr>
          <w:rFonts w:ascii="Arial" w:cs="Arial" w:eastAsia="Arial" w:hAnsi="Arial"/>
          <w:sz w:val="18"/>
          <w:szCs w:val="18"/>
          <w:color w:val="auto"/>
        </w:rPr>
      </w:pPr>
    </w:p>
    <w:p>
      <w:pPr>
        <w:ind w:left="780" w:hanging="326"/>
        <w:spacing w:after="0" w:line="306" w:lineRule="auto"/>
        <w:tabs>
          <w:tab w:leader="none" w:pos="7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96"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6" w:lineRule="exact"/>
        <w:rPr>
          <w:sz w:val="20"/>
          <w:szCs w:val="20"/>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90"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50" w:lineRule="exact"/>
        <w:rPr>
          <w:rFonts w:ascii="Arial" w:cs="Arial" w:eastAsia="Arial" w:hAnsi="Arial"/>
          <w:sz w:val="18"/>
          <w:szCs w:val="18"/>
          <w:color w:val="auto"/>
        </w:rPr>
      </w:pPr>
    </w:p>
    <w:p>
      <w:pPr>
        <w:ind w:left="780" w:right="380" w:hanging="326"/>
        <w:spacing w:after="0" w:line="332" w:lineRule="auto"/>
        <w:tabs>
          <w:tab w:leader="none" w:pos="7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4" w:lineRule="exact"/>
        <w:rPr>
          <w:rFonts w:ascii="Arial" w:cs="Arial" w:eastAsia="Arial" w:hAnsi="Arial"/>
          <w:sz w:val="16"/>
          <w:szCs w:val="16"/>
          <w:color w:val="auto"/>
        </w:rPr>
      </w:pPr>
    </w:p>
    <w:p>
      <w:pPr>
        <w:ind w:left="780" w:right="20" w:hanging="326"/>
        <w:spacing w:after="0" w:line="256" w:lineRule="auto"/>
        <w:tabs>
          <w:tab w:leader="none" w:pos="7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51" w:lineRule="exact"/>
        <w:rPr>
          <w:sz w:val="20"/>
          <w:szCs w:val="20"/>
          <w:color w:val="auto"/>
        </w:rPr>
      </w:pPr>
    </w:p>
    <w:p>
      <w:pPr>
        <w:ind w:left="780" w:right="520" w:hanging="326"/>
        <w:spacing w:after="0" w:line="268" w:lineRule="auto"/>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90" w:lineRule="exact"/>
        <w:rPr>
          <w:rFonts w:ascii="Arial" w:cs="Arial" w:eastAsia="Arial" w:hAnsi="Arial"/>
          <w:sz w:val="18"/>
          <w:szCs w:val="18"/>
          <w:color w:val="auto"/>
        </w:rPr>
      </w:pPr>
    </w:p>
    <w:p>
      <w:pPr>
        <w:ind w:left="780" w:right="40" w:hanging="326"/>
        <w:spacing w:after="0" w:line="335" w:lineRule="auto"/>
        <w:tabs>
          <w:tab w:leader="none" w:pos="78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90" w:lineRule="exact"/>
        <w:rPr>
          <w:rFonts w:ascii="Arial" w:cs="Arial" w:eastAsia="Arial" w:hAnsi="Arial"/>
          <w:sz w:val="18"/>
          <w:szCs w:val="18"/>
          <w:color w:val="auto"/>
        </w:rPr>
      </w:pPr>
    </w:p>
    <w:p>
      <w:pPr>
        <w:ind w:left="780" w:right="420" w:hanging="326"/>
        <w:spacing w:after="0" w:line="268"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50" w:lineRule="exact"/>
        <w:rPr>
          <w:rFonts w:ascii="Arial" w:cs="Arial" w:eastAsia="Arial" w:hAnsi="Arial"/>
          <w:sz w:val="18"/>
          <w:szCs w:val="18"/>
          <w:color w:val="auto"/>
        </w:rPr>
      </w:pPr>
    </w:p>
    <w:p>
      <w:pPr>
        <w:ind w:left="780" w:right="400" w:hanging="326"/>
        <w:spacing w:after="0" w:line="256"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62"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40"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35" w:lineRule="exact"/>
        <w:rPr>
          <w:sz w:val="20"/>
          <w:szCs w:val="20"/>
          <w:color w:val="auto"/>
        </w:rPr>
      </w:pPr>
    </w:p>
    <w:p>
      <w:pPr>
        <w:ind w:left="780" w:hanging="326"/>
        <w:spacing w:after="0"/>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Unless we say otherwise in a prospectus supplement, we will send notices to holders of debt securities by mail to the holder’s address as it appears in the register.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we say otherwise in a prospectus supplement, each indenture and the debt securities will be governed by the laws of the State of New York.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96" w:lineRule="exact"/>
        <w:rPr>
          <w:sz w:val="20"/>
          <w:szCs w:val="20"/>
          <w:color w:val="auto"/>
        </w:rPr>
      </w:pPr>
    </w:p>
    <w:p>
      <w:pPr>
        <w:ind w:right="320" w:firstLine="456"/>
        <w:spacing w:after="0" w:line="317" w:lineRule="auto"/>
        <w:rPr>
          <w:sz w:val="20"/>
          <w:szCs w:val="20"/>
          <w:color w:val="auto"/>
        </w:rPr>
      </w:pPr>
      <w:r>
        <w:rPr>
          <w:rFonts w:ascii="Arial" w:cs="Arial" w:eastAsia="Arial" w:hAnsi="Arial"/>
          <w:sz w:val="16"/>
          <w:szCs w:val="16"/>
          <w:color w:val="auto"/>
        </w:rPr>
        <w:t xml:space="preserve">Our declaration of trust allows us to issue up to 100,000,000 common shares of beneficial interest, par value $.01 per share, and 15,000,000 preferred shares of beneficial interest, par value $.01 per share. As of May 1, 2006, we had issued and outstanding 53,047,258 common shares, and 5,400,000 preferred shares which were designated as 8 </w:t>
      </w:r>
      <w:r>
        <w:rPr>
          <w:rFonts w:ascii="Arial" w:cs="Arial" w:eastAsia="Arial" w:hAnsi="Arial"/>
          <w:sz w:val="20"/>
          <w:szCs w:val="20"/>
          <w:color w:val="auto"/>
          <w:vertAlign w:val="superscript"/>
        </w:rPr>
        <w:t>1</w:t>
      </w:r>
      <w:r>
        <w:rPr>
          <w:rFonts w:ascii="Arial" w:cs="Arial" w:eastAsia="Arial" w:hAnsi="Arial"/>
          <w:sz w:val="16"/>
          <w:szCs w:val="16"/>
          <w:color w:val="auto"/>
        </w:rPr>
        <w:t>/</w:t>
      </w:r>
      <w:r>
        <w:rPr>
          <w:rFonts w:ascii="Arial" w:cs="Arial" w:eastAsia="Arial" w:hAnsi="Arial"/>
          <w:sz w:val="12"/>
          <w:szCs w:val="12"/>
          <w:color w:val="auto"/>
        </w:rPr>
        <w:t>2</w:t>
      </w:r>
      <w:r>
        <w:rPr>
          <w:rFonts w:ascii="Arial" w:cs="Arial" w:eastAsia="Arial" w:hAnsi="Arial"/>
          <w:sz w:val="16"/>
          <w:szCs w:val="16"/>
          <w:color w:val="auto"/>
        </w:rPr>
        <w:t>% Series B Cumulative Redeemable Preferred Shares, which we refer to as the Series B preferred shares.</w:t>
      </w:r>
    </w:p>
    <w:p>
      <w:pPr>
        <w:spacing w:after="0" w:line="2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Series B preferred share is entitled to receive, when, as and if authorized by our Board of Trustees out of funds legally available for that purpose, cumulative dividends at the rate of $2.125 per annum.</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B preferred shares and any other class or series of our shares of beneficial interest ranking, as to the payment of dividends and the distribution of assets upon liquidation, dissolution or winding up, on a parity with the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 the event of our liquidation, dissolution or winding up, the holders of Series B preferred shares shall be entitled to receive $25 per share, plus all accrued and unpaid dividends, before any distribution shall be made with respect to the common shares.</w:t>
      </w:r>
    </w:p>
    <w:p>
      <w:pPr>
        <w:spacing w:after="0" w:line="13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 take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actions without approval by you or any shareholder:</w:t>
      </w:r>
    </w:p>
    <w:p>
      <w:pPr>
        <w:spacing w:after="0" w:line="51" w:lineRule="exact"/>
        <w:rPr>
          <w:sz w:val="20"/>
          <w:szCs w:val="20"/>
          <w:color w:val="auto"/>
        </w:rPr>
      </w:pPr>
    </w:p>
    <w:p>
      <w:pPr>
        <w:ind w:left="780" w:hanging="326"/>
        <w:spacing w:after="0"/>
        <w:tabs>
          <w:tab w:leader="none" w:pos="780" w:val="left"/>
        </w:tabs>
        <w:numPr>
          <w:ilvl w:val="0"/>
          <w:numId w:val="46"/>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71"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4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B preferred shares and any other shares of beneficial interest having a priority over our common shares in the event of our liquidation, dissolution or winding up. As noted above under “— Authorized Shares,” our outstanding Series B preferred shares rank prior to our common shares with respect to the payment of dividends and as to the distribution of assets in the event of our liquidation, dissolution or winding up.</w:t>
      </w:r>
    </w:p>
    <w:p>
      <w:pPr>
        <w:spacing w:after="0" w:line="12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all of the votes cast at a meeting of shareholders duly called and at which a quorum is present can elect a trustee at a meeting where the number of nominees exceeds the number of trustees to be elected, and the holders of a majority of all of the votes cast at a meeting of shareholders duly called and at which a quorum is present can elect a trustee at a meeting where the number of nominees is the same as the number of trustees to be elected, and in both cases the holders of the remaining shares will not be able to elect any trustees.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90" w:lineRule="exact"/>
        <w:rPr>
          <w:sz w:val="20"/>
          <w:szCs w:val="20"/>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71"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59" w:lineRule="exact"/>
        <w:rPr>
          <w:sz w:val="20"/>
          <w:szCs w:val="20"/>
          <w:color w:val="auto"/>
        </w:rPr>
      </w:pPr>
    </w:p>
    <w:p>
      <w:pPr>
        <w:ind w:left="780" w:right="8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election of trustees where the number of nominees exceeds the number of trustees to be elected (which requires a plurality of all the votes cast at a meeting of our shareholders at which a quorum is present);</w:t>
      </w:r>
    </w:p>
    <w:p>
      <w:pPr>
        <w:spacing w:after="0" w:line="50"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62" w:lineRule="exact"/>
        <w:rPr>
          <w:rFonts w:ascii="Arial" w:cs="Arial" w:eastAsia="Arial" w:hAnsi="Arial"/>
          <w:sz w:val="18"/>
          <w:szCs w:val="18"/>
          <w:color w:val="auto"/>
        </w:rPr>
      </w:pPr>
    </w:p>
    <w:p>
      <w:pPr>
        <w:ind w:left="780" w:right="180" w:hanging="326"/>
        <w:spacing w:after="0" w:line="306" w:lineRule="auto"/>
        <w:tabs>
          <w:tab w:leader="none" w:pos="7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25" w:lineRule="exact"/>
        <w:rPr>
          <w:rFonts w:ascii="Arial" w:cs="Arial" w:eastAsia="Arial" w:hAnsi="Arial"/>
          <w:sz w:val="16"/>
          <w:szCs w:val="16"/>
          <w:color w:val="auto"/>
        </w:rPr>
      </w:pPr>
    </w:p>
    <w:p>
      <w:pPr>
        <w:ind w:left="780" w:right="52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26" w:lineRule="exact"/>
        <w:rPr>
          <w:sz w:val="20"/>
          <w:szCs w:val="20"/>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Stock Exchange Listing. </w:t>
      </w:r>
      <w:r>
        <w:rPr>
          <w:rFonts w:ascii="Arial" w:cs="Arial" w:eastAsia="Arial" w:hAnsi="Arial"/>
          <w:sz w:val="18"/>
          <w:szCs w:val="18"/>
          <w:color w:val="auto"/>
        </w:rPr>
        <w:t>The common shares are traded on the New York Stock Exchange under the trading symbol “FRT.”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Transfer Agent and Registrar. </w:t>
      </w:r>
      <w:r>
        <w:rPr>
          <w:rFonts w:ascii="Arial" w:cs="Arial" w:eastAsia="Arial" w:hAnsi="Arial"/>
          <w:sz w:val="16"/>
          <w:szCs w:val="16"/>
          <w:color w:val="auto"/>
        </w:rPr>
        <w:t>The transfer agent and registrar for the common shares is American Stock Transfer &amp; Trust Company, New York, New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 Trustees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Terms. </w:t>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113" w:lineRule="exact"/>
        <w:rPr>
          <w:sz w:val="20"/>
          <w:szCs w:val="20"/>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dividend rate(s), period(s), amounts and/or payment date(s) or method(s) of calculation of any of those terms that apply to those preferred shares;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50" w:lineRule="exact"/>
        <w:rPr>
          <w:rFonts w:ascii="Arial" w:cs="Arial" w:eastAsia="Arial" w:hAnsi="Arial"/>
          <w:sz w:val="18"/>
          <w:szCs w:val="18"/>
          <w:color w:val="auto"/>
        </w:rPr>
      </w:pPr>
    </w:p>
    <w:p>
      <w:pPr>
        <w:ind w:left="780" w:right="38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right="26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9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32"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rights upon our liquidation, dissolution or winding up, rank:</w:t>
      </w:r>
    </w:p>
    <w:p>
      <w:pPr>
        <w:spacing w:after="0" w:line="51" w:lineRule="exact"/>
        <w:rPr>
          <w:sz w:val="20"/>
          <w:szCs w:val="20"/>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71"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40"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8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 rights,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except as may be required by applicable law or any applicable rules and regulations of the New York Stock Exchange.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Declaration of Trust provides that the holders of Series B preferred shares, together with the holders of any series or class of shares ranking on a parity with the Series B preferred shares, voting as a single class regardless of series, will be entitled to elect two additional trustees to serve on the Board of Trustees when six consecutive quarterly dividends payable to the holders of Series B preferred shares or any series or class of parity shares are in arrears. Whenever all dividends in arrears on the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4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the holders of the Series B preferred shares have such voting rights as are required by applicable law or any applicable rules and regulations of the New York Stock Exchange.</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prospectus supplement relating to the offering of those preferred shares. These terms typically will include:</w:t>
      </w:r>
    </w:p>
    <w:p>
      <w:pPr>
        <w:spacing w:after="0" w:line="51" w:lineRule="exact"/>
        <w:rPr>
          <w:sz w:val="20"/>
          <w:szCs w:val="20"/>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b w:val="1"/>
          <w:bCs w:val="1"/>
          <w:i w:val="1"/>
          <w:iCs w:val="1"/>
          <w:color w:val="auto"/>
        </w:rPr>
        <w:t xml:space="preserve">Transfer Agent and Registrar. </w:t>
      </w:r>
      <w:r>
        <w:rPr>
          <w:rFonts w:ascii="Arial" w:cs="Arial" w:eastAsia="Arial" w:hAnsi="Arial"/>
          <w:sz w:val="15"/>
          <w:szCs w:val="15"/>
          <w:color w:val="auto"/>
        </w:rPr>
        <w:t>The transfer agent and registrar for the Series B preferred shares is American Stock Transfer &amp; Trust Company, New York,</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New York. We will identify the transfer agent and registrar for any additional series of preferred shares issued through this prospectus in a prospectus supplement.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 shares.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16"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we make a distribution in a form other than cash, the depositary will distribute the property it receives to you and all other record holders of depositary receipts in an equitable manner, unless the depositary determines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14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43" w:lineRule="exact"/>
        <w:rPr>
          <w:sz w:val="20"/>
          <w:szCs w:val="20"/>
          <w:color w:val="auto"/>
        </w:rPr>
      </w:pPr>
    </w:p>
    <w:p>
      <w:pPr>
        <w:ind w:right="160" w:firstLine="456"/>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4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2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In the event of our liquidation, dissolution or winding up, whether voluntary or involuntary, you will be entitled, as a record holder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depositary shares, to the fraction of the liquidation preference accorded each applicable preferred share, as has been set forth in a prospectus supplement.</w:t>
      </w:r>
    </w:p>
    <w:p>
      <w:pPr>
        <w:spacing w:after="0" w:line="85"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Conversion of Preferred Shares. </w:t>
      </w:r>
      <w:r>
        <w:rPr>
          <w:rFonts w:ascii="Arial" w:cs="Arial" w:eastAsia="Arial" w:hAnsi="Arial"/>
          <w:sz w:val="16"/>
          <w:szCs w:val="16"/>
          <w:color w:val="auto"/>
        </w:rPr>
        <w:t>Our depositary shares, as such, are not convertible into common shares or any of our other securities or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 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Amendment and Termination of the Deposit Agreement. </w:t>
      </w:r>
      <w:r>
        <w:rPr>
          <w:rFonts w:ascii="Arial" w:cs="Arial" w:eastAsia="Arial" w:hAnsi="Arial"/>
          <w:sz w:val="18"/>
          <w:szCs w:val="18"/>
          <w:color w:val="auto"/>
        </w:rPr>
        <w:t>We and the depositary may amend the form of depositary receipt and any provision of the deposit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at any time. However, any amendment which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51" w:lineRule="exact"/>
        <w:rPr>
          <w:sz w:val="20"/>
          <w:szCs w:val="20"/>
          <w:color w:val="auto"/>
        </w:rPr>
      </w:pPr>
    </w:p>
    <w:p>
      <w:pPr>
        <w:ind w:left="780" w:hanging="326"/>
        <w:spacing w:after="0"/>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90" w:lineRule="exact"/>
        <w:rPr>
          <w:rFonts w:ascii="Arial" w:cs="Arial" w:eastAsia="Arial" w:hAnsi="Arial"/>
          <w:sz w:val="18"/>
          <w:szCs w:val="18"/>
          <w:color w:val="auto"/>
        </w:rPr>
      </w:pPr>
    </w:p>
    <w:p>
      <w:pPr>
        <w:ind w:left="780" w:right="260" w:hanging="326"/>
        <w:spacing w:after="0" w:line="332" w:lineRule="auto"/>
        <w:tabs>
          <w:tab w:leader="none" w:pos="7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4" w:lineRule="exact"/>
        <w:rPr>
          <w:rFonts w:ascii="Arial" w:cs="Arial" w:eastAsia="Arial" w:hAnsi="Arial"/>
          <w:sz w:val="16"/>
          <w:szCs w:val="16"/>
          <w:color w:val="auto"/>
        </w:rPr>
      </w:pPr>
    </w:p>
    <w:p>
      <w:pPr>
        <w:ind w:left="780" w:right="60" w:hanging="326"/>
        <w:spacing w:after="0" w:line="268" w:lineRule="auto"/>
        <w:tabs>
          <w:tab w:leader="none" w:pos="7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3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113"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Charges of Depositary. </w:t>
      </w:r>
      <w:r>
        <w:rPr>
          <w:rFonts w:ascii="Arial" w:cs="Arial" w:eastAsia="Arial" w:hAnsi="Arial"/>
          <w:sz w:val="18"/>
          <w:szCs w:val="18"/>
          <w:color w:val="auto"/>
        </w:rPr>
        <w:t>We will pay all transfer and other taxes and governmental charges arising solely from the existence of the depositary arrangements.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143"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holders of the preferred shares.</w:t>
      </w:r>
    </w:p>
    <w:p>
      <w:pPr>
        <w:spacing w:after="0" w:line="13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96"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4" w:lineRule="exact"/>
        <w:rPr>
          <w:sz w:val="20"/>
          <w:szCs w:val="20"/>
          <w:color w:val="auto"/>
        </w:rPr>
      </w:pPr>
    </w:p>
    <w:p>
      <w:pPr>
        <w:ind w:left="780" w:right="200" w:hanging="326"/>
        <w:spacing w:after="0" w:line="306" w:lineRule="auto"/>
        <w:tabs>
          <w:tab w:leader="none" w:pos="7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 individuals include certain tax-exempt entities except that qualified domestic pension funds are not generally treated as individuals.</w:t>
      </w:r>
    </w:p>
    <w:p>
      <w:pPr>
        <w:spacing w:after="0" w:line="25" w:lineRule="exact"/>
        <w:rPr>
          <w:rFonts w:ascii="Arial" w:cs="Arial" w:eastAsia="Arial" w:hAnsi="Arial"/>
          <w:sz w:val="16"/>
          <w:szCs w:val="16"/>
          <w:color w:val="auto"/>
        </w:rPr>
      </w:pPr>
    </w:p>
    <w:p>
      <w:pPr>
        <w:ind w:left="780" w:right="14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50"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90" w:lineRule="exact"/>
        <w:rPr>
          <w:sz w:val="20"/>
          <w:szCs w:val="20"/>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90" w:lineRule="exact"/>
        <w:rPr>
          <w:rFonts w:ascii="Arial" w:cs="Arial" w:eastAsia="Arial" w:hAnsi="Arial"/>
          <w:sz w:val="18"/>
          <w:szCs w:val="18"/>
          <w:color w:val="auto"/>
        </w:rPr>
      </w:pPr>
    </w:p>
    <w:p>
      <w:pPr>
        <w:ind w:left="780" w:right="920" w:hanging="326"/>
        <w:spacing w:after="0" w:line="268" w:lineRule="auto"/>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 restrictions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1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11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26" w:lineRule="exact"/>
        <w:rPr>
          <w:sz w:val="20"/>
          <w:szCs w:val="20"/>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90" w:lineRule="exact"/>
        <w:rPr>
          <w:rFonts w:ascii="Arial" w:cs="Arial" w:eastAsia="Arial" w:hAnsi="Arial"/>
          <w:sz w:val="18"/>
          <w:szCs w:val="18"/>
          <w:color w:val="auto"/>
        </w:rPr>
      </w:pPr>
    </w:p>
    <w:p>
      <w:pPr>
        <w:ind w:left="1260" w:hanging="455"/>
        <w:spacing w:after="0"/>
        <w:tabs>
          <w:tab w:leader="none" w:pos="1260" w:val="left"/>
        </w:tabs>
        <w:numPr>
          <w:ilvl w:val="1"/>
          <w:numId w:val="57"/>
        </w:numPr>
        <w:rPr>
          <w:rFonts w:ascii="Arial" w:cs="Arial" w:eastAsia="Arial" w:hAnsi="Arial"/>
          <w:sz w:val="16"/>
          <w:szCs w:val="16"/>
          <w:color w:val="auto"/>
        </w:rPr>
      </w:pPr>
      <w:r>
        <w:rPr>
          <w:rFonts w:ascii="Arial" w:cs="Arial" w:eastAsia="Arial" w:hAnsi="Arial"/>
          <w:sz w:val="16"/>
          <w:szCs w:val="16"/>
          <w:color w:val="auto"/>
        </w:rPr>
        <w:t>the price per share equal to the market price (which is calculated as defined in our declaration of trust) on the date the shares were received, or</w:t>
      </w:r>
    </w:p>
    <w:p>
      <w:pPr>
        <w:spacing w:after="0" w:line="113" w:lineRule="exact"/>
        <w:rPr>
          <w:rFonts w:ascii="Arial" w:cs="Arial" w:eastAsia="Arial" w:hAnsi="Arial"/>
          <w:sz w:val="16"/>
          <w:szCs w:val="16"/>
          <w:color w:val="auto"/>
        </w:rPr>
      </w:pPr>
    </w:p>
    <w:p>
      <w:pPr>
        <w:ind w:left="1260" w:hanging="455"/>
        <w:spacing w:after="0"/>
        <w:tabs>
          <w:tab w:leader="none" w:pos="1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10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4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32" w:lineRule="exact"/>
        <w:rPr>
          <w:sz w:val="20"/>
          <w:szCs w:val="20"/>
          <w:color w:val="auto"/>
        </w:rPr>
      </w:pPr>
    </w:p>
    <w:p>
      <w:pPr>
        <w:jc w:val="both"/>
        <w:ind w:right="260" w:firstLine="456"/>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43" w:lineRule="exact"/>
        <w:rPr>
          <w:sz w:val="20"/>
          <w:szCs w:val="20"/>
          <w:color w:val="auto"/>
        </w:rPr>
      </w:pPr>
    </w:p>
    <w:p>
      <w:pPr>
        <w:jc w:val="both"/>
        <w:ind w:right="400" w:firstLine="456"/>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Board of Trustees approved an exemption for MSIM, which expires on May 3, 2010 and which permits MSIM and its clients, as a group to own up to 12.0% of our outstanding common shares.</w:t>
      </w:r>
    </w:p>
    <w:p>
      <w:pPr>
        <w:spacing w:after="0" w:line="10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90" w:lineRule="exact"/>
        <w:rPr>
          <w:sz w:val="20"/>
          <w:szCs w:val="20"/>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9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Restrictions on Ownership and Transfer” and the supermajority voting rights described under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12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limits our ability to enter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62" w:lineRule="exact"/>
        <w:rPr>
          <w:sz w:val="20"/>
          <w:szCs w:val="20"/>
          <w:color w:val="auto"/>
        </w:rPr>
      </w:pPr>
    </w:p>
    <w:p>
      <w:pPr>
        <w:ind w:left="780" w:hanging="326"/>
        <w:spacing w:after="0"/>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32"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4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51" w:lineRule="exact"/>
        <w:rPr>
          <w:sz w:val="20"/>
          <w:szCs w:val="20"/>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71"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and of shareholders holding at least a majority of shares outstanding and entitled to vote on the matter, however, we could modify or eliminate the exemption in the future. If the exemption were eliminated, “control share acquisitions” would be subject to the following provisions.</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90" w:lineRule="exact"/>
        <w:rPr>
          <w:sz w:val="20"/>
          <w:szCs w:val="20"/>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7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4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90" w:lineRule="exact"/>
        <w:rPr>
          <w:sz w:val="20"/>
          <w:szCs w:val="20"/>
          <w:color w:val="auto"/>
        </w:rPr>
      </w:pPr>
    </w:p>
    <w:p>
      <w:pPr>
        <w:ind w:left="780" w:right="48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20% or more of our common shares; or</w:t>
      </w:r>
    </w:p>
    <w:p>
      <w:pPr>
        <w:spacing w:after="0" w:line="50"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20% or more of our common shares.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general, the rights will expire on the earliest of</w:t>
      </w:r>
    </w:p>
    <w:p>
      <w:pPr>
        <w:spacing w:after="0" w:line="90" w:lineRule="exact"/>
        <w:rPr>
          <w:sz w:val="20"/>
          <w:szCs w:val="20"/>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9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7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11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16"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 relating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affecting an acquisition or a potential acquisition of control is not subject under Maryland law to a higher duty or greater scrutiny than is applied to any other act of a trustee.</w:t>
      </w:r>
    </w:p>
    <w:p>
      <w:pPr>
        <w:spacing w:after="0" w:line="14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five or more than 10. Under Maryland law and our declaration of trust, trustees, except for any trustees that may be elected by holders of preferred shares, are elected in three classes for staggered, three-year terms.</w:t>
      </w:r>
    </w:p>
    <w:p>
      <w:pPr>
        <w:spacing w:after="0" w:line="14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51" w:lineRule="exact"/>
        <w:rPr>
          <w:sz w:val="20"/>
          <w:szCs w:val="20"/>
          <w:color w:val="auto"/>
        </w:rPr>
      </w:pPr>
    </w:p>
    <w:p>
      <w:pPr>
        <w:ind w:left="780" w:right="220" w:hanging="326"/>
        <w:spacing w:after="0" w:line="268" w:lineRule="auto"/>
        <w:tabs>
          <w:tab w:leader="none" w:pos="7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60" w:hanging="326"/>
        <w:spacing w:after="0" w:line="268" w:lineRule="auto"/>
        <w:tabs>
          <w:tab w:leader="none" w:pos="7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b w:val="1"/>
          <w:bCs w:val="1"/>
          <w:i w:val="1"/>
          <w:iCs w:val="1"/>
          <w:color w:val="auto"/>
        </w:rPr>
        <w:t xml:space="preserve">Vacancies on the Board of Trustees. </w:t>
      </w:r>
      <w:r>
        <w:rPr>
          <w:rFonts w:ascii="Arial" w:cs="Arial" w:eastAsia="Arial" w:hAnsi="Arial"/>
          <w:sz w:val="18"/>
          <w:szCs w:val="18"/>
          <w:color w:val="auto"/>
        </w:rPr>
        <w:t>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43"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holders of the Series B preferred shares have the right to elect two additional trustees to the Board of Trustees under the circumstances described above under “— Preferred Shares — Voting Rights.”</w:t>
      </w:r>
    </w:p>
    <w:p>
      <w:pPr>
        <w:spacing w:after="0" w:line="132"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Meetings of Shareholders. </w:t>
      </w:r>
      <w:r>
        <w:rPr>
          <w:rFonts w:ascii="Arial" w:cs="Arial" w:eastAsia="Arial" w:hAnsi="Arial"/>
          <w:sz w:val="18"/>
          <w:szCs w:val="18"/>
          <w:color w:val="auto"/>
        </w:rPr>
        <w:t>Our bylaws provide for an annual meeting of shareholders, to be held in May after delivery of the annual report to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40" w:lineRule="exact"/>
        <w:rPr>
          <w:sz w:val="20"/>
          <w:szCs w:val="20"/>
          <w:color w:val="auto"/>
        </w:rPr>
      </w:pPr>
    </w:p>
    <w:p>
      <w:pPr>
        <w:ind w:right="40" w:firstLine="456"/>
        <w:spacing w:after="0" w:line="243" w:lineRule="auto"/>
        <w:rPr>
          <w:sz w:val="20"/>
          <w:szCs w:val="20"/>
          <w:color w:val="auto"/>
        </w:rPr>
      </w:pPr>
      <w:r>
        <w:rPr>
          <w:rFonts w:ascii="Arial" w:cs="Arial" w:eastAsia="Arial" w:hAnsi="Arial"/>
          <w:sz w:val="18"/>
          <w:szCs w:val="18"/>
          <w:b w:val="1"/>
          <w:bCs w:val="1"/>
          <w:i w:val="1"/>
          <w:iCs w:val="1"/>
          <w:color w:val="auto"/>
        </w:rPr>
        <w:t xml:space="preserve">Advance Notice for Shareholder Nominations and Shareholder New Business Proposals. </w:t>
      </w:r>
      <w:r>
        <w:rPr>
          <w:rFonts w:ascii="Arial" w:cs="Arial" w:eastAsia="Arial" w:hAnsi="Arial"/>
          <w:sz w:val="18"/>
          <w:szCs w:val="18"/>
          <w:color w:val="auto"/>
        </w:rPr>
        <w:t>Our bylaws require advance written notice for shareholders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55" w:lineRule="exact"/>
        <w:rPr>
          <w:sz w:val="20"/>
          <w:szCs w:val="20"/>
          <w:color w:val="auto"/>
        </w:rPr>
      </w:pPr>
    </w:p>
    <w:p>
      <w:pPr>
        <w:ind w:right="20" w:firstLine="456"/>
        <w:spacing w:after="0" w:line="239"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56"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FEDERAL INCOME TAX CONSEQUENCES</w:t>
      </w:r>
    </w:p>
    <w:p>
      <w:pPr>
        <w:spacing w:after="0" w:line="1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following sections summarize the material federal income tax issues that you may consider relevant. Because this section is a summary, it does not address all of the tax issues that may be important to you. For example, this discussion addresses only shares held as capital assets.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dealers or brokers in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non-U.S. individuals and foreign corporations (except to the extent discussed in “— Taxation of Non-U.S. Shareholders” below), and shareholders that hold their shares as part of a hedge, appreciated financial position, straddle or conversion transaction.</w:t>
      </w:r>
    </w:p>
    <w:p>
      <w:pPr>
        <w:spacing w:after="0" w:line="132"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85"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the opinion of our tax counsel, Pillsbury Winthrop Shaw Pittman LLP, (i) we qualified as a REIT under Sections 856 through 859 of the Code with respect to our taxable years ended through December 31, 2005;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For a discussion of the tax treatment of us and our shareholders if we fail to qualify as a REIT, see “— Requirements for REIT Qualification — Failure to Qualify.”</w:t>
      </w:r>
    </w:p>
    <w:p>
      <w:pPr>
        <w:spacing w:after="0" w:line="127"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corporation. However, we will be subject to federal tax in the following circumstances:</w:t>
      </w:r>
    </w:p>
    <w:p>
      <w:pPr>
        <w:spacing w:after="0" w:line="59" w:lineRule="exact"/>
        <w:rPr>
          <w:sz w:val="20"/>
          <w:szCs w:val="20"/>
          <w:color w:val="auto"/>
        </w:rPr>
      </w:pPr>
    </w:p>
    <w:p>
      <w:pPr>
        <w:ind w:left="780" w:right="4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113" w:lineRule="exact"/>
        <w:rPr>
          <w:rFonts w:ascii="Arial" w:cs="Arial" w:eastAsia="Arial" w:hAnsi="Arial"/>
          <w:sz w:val="16"/>
          <w:szCs w:val="16"/>
          <w:color w:val="auto"/>
        </w:rPr>
      </w:pPr>
    </w:p>
    <w:p>
      <w:pPr>
        <w:ind w:left="780" w:right="180" w:hanging="326"/>
        <w:spacing w:after="0" w:line="332" w:lineRule="auto"/>
        <w:tabs>
          <w:tab w:leader="none" w:pos="7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4" w:lineRule="exact"/>
        <w:rPr>
          <w:rFonts w:ascii="Arial" w:cs="Arial" w:eastAsia="Arial" w:hAnsi="Arial"/>
          <w:sz w:val="16"/>
          <w:szCs w:val="16"/>
          <w:color w:val="auto"/>
        </w:rPr>
      </w:pPr>
    </w:p>
    <w:p>
      <w:pPr>
        <w:ind w:left="780" w:right="160" w:hanging="326"/>
        <w:spacing w:after="0" w:line="268" w:lineRule="auto"/>
        <w:tabs>
          <w:tab w:leader="none" w:pos="7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780" w:right="1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63" w:lineRule="exact"/>
        <w:rPr>
          <w:rFonts w:ascii="Arial" w:cs="Arial" w:eastAsia="Arial" w:hAnsi="Arial"/>
          <w:sz w:val="16"/>
          <w:szCs w:val="16"/>
          <w:color w:val="auto"/>
        </w:rPr>
      </w:pPr>
    </w:p>
    <w:p>
      <w:pPr>
        <w:ind w:left="780" w:hanging="326"/>
        <w:spacing w:after="0" w:line="256"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62" w:lineRule="exact"/>
        <w:rPr>
          <w:rFonts w:ascii="Arial" w:cs="Arial" w:eastAsia="Arial" w:hAnsi="Arial"/>
          <w:sz w:val="18"/>
          <w:szCs w:val="18"/>
          <w:color w:val="auto"/>
        </w:rPr>
      </w:pPr>
    </w:p>
    <w:p>
      <w:pPr>
        <w:jc w:val="both"/>
        <w:ind w:left="780" w:right="16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59"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90" w:lineRule="exact"/>
        <w:rPr>
          <w:rFonts w:ascii="Arial" w:cs="Arial" w:eastAsia="Arial" w:hAnsi="Arial"/>
          <w:sz w:val="18"/>
          <w:szCs w:val="18"/>
          <w:color w:val="auto"/>
        </w:rPr>
      </w:pPr>
    </w:p>
    <w:p>
      <w:pPr>
        <w:ind w:left="780" w:right="160" w:hanging="326"/>
        <w:spacing w:after="0" w:line="294" w:lineRule="auto"/>
        <w:tabs>
          <w:tab w:leader="none" w:pos="7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50" w:lineRule="exact"/>
        <w:rPr>
          <w:rFonts w:ascii="Arial" w:cs="Arial" w:eastAsia="Arial" w:hAnsi="Arial"/>
          <w:sz w:val="18"/>
          <w:szCs w:val="18"/>
          <w:color w:val="auto"/>
        </w:rPr>
      </w:pPr>
    </w:p>
    <w:p>
      <w:pPr>
        <w:ind w:left="460" w:right="68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50"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U.S. Department of Treasury (“Treasury”);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1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4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our qualified REIT subsidiaries are not subject to federal corporate income taxation, though they may be subject to state and local taxation.</w:t>
      </w:r>
    </w:p>
    <w:p>
      <w:pPr>
        <w:spacing w:after="0" w:line="120" w:lineRule="exact"/>
        <w:rPr>
          <w:sz w:val="20"/>
          <w:szCs w:val="20"/>
          <w:color w:val="auto"/>
        </w:rPr>
      </w:pPr>
    </w:p>
    <w:p>
      <w:pPr>
        <w:jc w:val="both"/>
        <w:ind w:right="220" w:firstLine="456"/>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liabilities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Income Tests. </w:t>
      </w:r>
      <w:r>
        <w:rPr>
          <w:rFonts w:ascii="Arial" w:cs="Arial" w:eastAsia="Arial" w:hAnsi="Arial"/>
          <w:sz w:val="18"/>
          <w:szCs w:val="18"/>
          <w:color w:val="auto"/>
        </w:rPr>
        <w:t>We must satisfy two gross income tests annually to maintain our qualification as a REIT:</w:t>
      </w:r>
    </w:p>
    <w:p>
      <w:pPr>
        <w:spacing w:after="0" w:line="90" w:lineRule="exact"/>
        <w:rPr>
          <w:sz w:val="20"/>
          <w:szCs w:val="20"/>
          <w:color w:val="auto"/>
        </w:rPr>
      </w:pPr>
    </w:p>
    <w:p>
      <w:pPr>
        <w:ind w:left="780" w:right="60" w:hanging="326"/>
        <w:spacing w:after="0" w:line="255" w:lineRule="auto"/>
        <w:tabs>
          <w:tab w:leader="none" w:pos="7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61" w:lineRule="exact"/>
        <w:rPr>
          <w:rFonts w:ascii="Arial" w:cs="Arial" w:eastAsia="Arial" w:hAnsi="Arial"/>
          <w:sz w:val="18"/>
          <w:szCs w:val="18"/>
          <w:color w:val="auto"/>
        </w:rPr>
      </w:pPr>
    </w:p>
    <w:p>
      <w:pPr>
        <w:ind w:left="780" w:right="200" w:hanging="326"/>
        <w:spacing w:after="0" w:line="306" w:lineRule="auto"/>
        <w:tabs>
          <w:tab w:leader="none" w:pos="780" w:val="left"/>
        </w:tabs>
        <w:numPr>
          <w:ilvl w:val="0"/>
          <w:numId w:val="70"/>
        </w:numPr>
        <w:rPr>
          <w:rFonts w:ascii="Arial" w:cs="Arial" w:eastAsia="Arial" w:hAnsi="Arial"/>
          <w:sz w:val="16"/>
          <w:szCs w:val="16"/>
          <w:color w:val="auto"/>
        </w:rPr>
      </w:pPr>
      <w:r>
        <w:rPr>
          <w:rFonts w:ascii="Arial" w:cs="Arial" w:eastAsia="Arial" w:hAnsi="Arial"/>
          <w:sz w:val="16"/>
          <w:szCs w:val="16"/>
          <w:color w:val="auto"/>
        </w:rPr>
        <w:t>At least 95% of our gross income (excluding gross income from prohibited transactions and certain real estate liability hedges)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Rental Income. </w:t>
      </w:r>
      <w:r>
        <w:rPr>
          <w:rFonts w:ascii="Arial" w:cs="Arial" w:eastAsia="Arial" w:hAnsi="Arial"/>
          <w:sz w:val="18"/>
          <w:szCs w:val="18"/>
          <w:color w:val="auto"/>
        </w:rPr>
        <w:t>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59" w:lineRule="exact"/>
        <w:rPr>
          <w:sz w:val="20"/>
          <w:szCs w:val="20"/>
          <w:color w:val="auto"/>
        </w:rPr>
      </w:pPr>
    </w:p>
    <w:p>
      <w:pPr>
        <w:ind w:left="780" w:right="100" w:hanging="326"/>
        <w:spacing w:after="0" w:line="306"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 (except where we have determined that the rent received will not jeopardize our status as a REIT);</w:t>
      </w:r>
    </w:p>
    <w:p>
      <w:pPr>
        <w:spacing w:after="0" w:line="25" w:lineRule="exact"/>
        <w:rPr>
          <w:rFonts w:ascii="Arial" w:cs="Arial" w:eastAsia="Arial" w:hAnsi="Arial"/>
          <w:sz w:val="16"/>
          <w:szCs w:val="16"/>
          <w:color w:val="auto"/>
        </w:rPr>
      </w:pPr>
    </w:p>
    <w:p>
      <w:pPr>
        <w:ind w:left="780" w:hanging="326"/>
        <w:spacing w:after="0" w:line="287"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41" w:lineRule="exact"/>
        <w:rPr>
          <w:rFonts w:ascii="Arial" w:cs="Arial" w:eastAsia="Arial" w:hAnsi="Arial"/>
          <w:sz w:val="16"/>
          <w:szCs w:val="16"/>
          <w:color w:val="auto"/>
        </w:rPr>
      </w:pPr>
    </w:p>
    <w:p>
      <w:pPr>
        <w:ind w:left="780" w:right="40" w:hanging="326"/>
        <w:spacing w:after="0" w:line="254" w:lineRule="auto"/>
        <w:tabs>
          <w:tab w:leader="none" w:pos="7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certain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63" w:lineRule="exact"/>
        <w:rPr>
          <w:rFonts w:ascii="Arial" w:cs="Arial" w:eastAsia="Arial" w:hAnsi="Arial"/>
          <w:sz w:val="18"/>
          <w:szCs w:val="18"/>
          <w:color w:val="auto"/>
        </w:rPr>
      </w:pPr>
    </w:p>
    <w:p>
      <w:pPr>
        <w:ind w:left="780" w:right="240" w:hanging="326"/>
        <w:spacing w:after="0" w:line="298"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 and</w:t>
      </w:r>
    </w:p>
    <w:p>
      <w:pPr>
        <w:spacing w:after="0" w:line="31" w:lineRule="exact"/>
        <w:rPr>
          <w:rFonts w:ascii="Arial" w:cs="Arial" w:eastAsia="Arial" w:hAnsi="Arial"/>
          <w:sz w:val="16"/>
          <w:szCs w:val="16"/>
          <w:color w:val="auto"/>
        </w:rPr>
      </w:pPr>
    </w:p>
    <w:p>
      <w:pPr>
        <w:ind w:left="780" w:right="20" w:hanging="326"/>
        <w:spacing w:after="0" w:line="290" w:lineRule="auto"/>
        <w:tabs>
          <w:tab w:leader="none" w:pos="7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Based on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an ongoing basis, we will use our best efforts not to:</w:t>
      </w:r>
    </w:p>
    <w:p>
      <w:pPr>
        <w:spacing w:after="0" w:line="90" w:lineRule="exact"/>
        <w:rPr>
          <w:sz w:val="20"/>
          <w:szCs w:val="20"/>
          <w:color w:val="auto"/>
        </w:rPr>
      </w:pPr>
    </w:p>
    <w:p>
      <w:pPr>
        <w:ind w:left="78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50" w:lineRule="exact"/>
        <w:rPr>
          <w:rFonts w:ascii="Arial" w:cs="Arial" w:eastAsia="Arial" w:hAnsi="Arial"/>
          <w:sz w:val="18"/>
          <w:szCs w:val="18"/>
          <w:color w:val="auto"/>
        </w:rPr>
      </w:pPr>
    </w:p>
    <w:p>
      <w:pPr>
        <w:ind w:left="780" w:right="38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59"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50" w:lineRule="exact"/>
        <w:rPr>
          <w:rFonts w:ascii="Arial" w:cs="Arial" w:eastAsia="Arial" w:hAnsi="Arial"/>
          <w:sz w:val="18"/>
          <w:szCs w:val="18"/>
          <w:color w:val="auto"/>
        </w:rPr>
      </w:pPr>
    </w:p>
    <w:p>
      <w:pPr>
        <w:jc w:val="both"/>
        <w:ind w:left="780" w:right="40" w:hanging="326"/>
        <w:spacing w:after="0" w:line="259" w:lineRule="auto"/>
        <w:tabs>
          <w:tab w:leader="none" w:pos="7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71"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Tax on Income From Property Acquired in Foreclosure. </w:t>
      </w:r>
      <w:r>
        <w:rPr>
          <w:rFonts w:ascii="Arial" w:cs="Arial" w:eastAsia="Arial" w:hAnsi="Arial"/>
          <w:sz w:val="16"/>
          <w:szCs w:val="16"/>
          <w:color w:val="auto"/>
        </w:rPr>
        <w:t>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26" w:lineRule="exact"/>
        <w:rPr>
          <w:sz w:val="20"/>
          <w:szCs w:val="20"/>
          <w:color w:val="auto"/>
        </w:rPr>
      </w:pPr>
    </w:p>
    <w:p>
      <w:pPr>
        <w:ind w:left="780" w:right="20" w:hanging="326"/>
        <w:spacing w:after="0" w:line="332" w:lineRule="auto"/>
        <w:tabs>
          <w:tab w:leader="none" w:pos="7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4" w:lineRule="exact"/>
        <w:rPr>
          <w:rFonts w:ascii="Arial" w:cs="Arial" w:eastAsia="Arial" w:hAnsi="Arial"/>
          <w:sz w:val="16"/>
          <w:szCs w:val="16"/>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71" w:lineRule="exact"/>
        <w:rPr>
          <w:sz w:val="20"/>
          <w:szCs w:val="20"/>
          <w:color w:val="auto"/>
        </w:rPr>
      </w:pPr>
    </w:p>
    <w:p>
      <w:pPr>
        <w:jc w:val="both"/>
        <w:ind w:right="40" w:firstLine="456"/>
        <w:spacing w:after="0" w:line="357" w:lineRule="auto"/>
        <w:rPr>
          <w:sz w:val="20"/>
          <w:szCs w:val="20"/>
          <w:color w:val="auto"/>
        </w:rPr>
      </w:pPr>
      <w:r>
        <w:rPr>
          <w:rFonts w:ascii="Arial" w:cs="Arial" w:eastAsia="Arial" w:hAnsi="Arial"/>
          <w:sz w:val="15"/>
          <w:szCs w:val="15"/>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ind w:left="780" w:right="32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50" w:lineRule="exact"/>
        <w:rPr>
          <w:rFonts w:ascii="Arial" w:cs="Arial" w:eastAsia="Arial" w:hAnsi="Arial"/>
          <w:sz w:val="18"/>
          <w:szCs w:val="18"/>
          <w:color w:val="auto"/>
        </w:rPr>
      </w:pPr>
    </w:p>
    <w:p>
      <w:pPr>
        <w:ind w:left="780" w:right="220" w:hanging="326"/>
        <w:spacing w:after="0" w:line="259"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59" w:lineRule="exact"/>
        <w:rPr>
          <w:rFonts w:ascii="Arial" w:cs="Arial" w:eastAsia="Arial" w:hAnsi="Arial"/>
          <w:sz w:val="18"/>
          <w:szCs w:val="18"/>
          <w:color w:val="auto"/>
        </w:rPr>
      </w:pPr>
    </w:p>
    <w:p>
      <w:pPr>
        <w:ind w:left="780" w:right="100" w:hanging="326"/>
        <w:spacing w:after="0" w:line="268" w:lineRule="auto"/>
        <w:tabs>
          <w:tab w:leader="none" w:pos="7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40" w:hanging="326"/>
        <w:spacing w:after="0" w:line="370" w:lineRule="auto"/>
        <w:tabs>
          <w:tab w:leader="none" w:pos="780" w:val="left"/>
        </w:tabs>
        <w:numPr>
          <w:ilvl w:val="0"/>
          <w:numId w:val="75"/>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6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b w:val="1"/>
          <w:bCs w:val="1"/>
          <w:i w:val="1"/>
          <w:iCs w:val="1"/>
          <w:color w:val="auto"/>
        </w:rPr>
        <w:t xml:space="preserve">Tax on Prohibited Transactions. </w:t>
      </w:r>
      <w:r>
        <w:rPr>
          <w:rFonts w:ascii="Arial" w:cs="Arial" w:eastAsia="Arial" w:hAnsi="Arial"/>
          <w:sz w:val="16"/>
          <w:szCs w:val="16"/>
          <w:color w:val="auto"/>
        </w:rPr>
        <w:t>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The prohibited transaction rules do not apply to property held by a taxable subsidiary of a REIT. Not taking into account properties held by our taxable REIT subsidiaries, we believe that none of the assets we are treated as holding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 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Asset Tests. </w:t>
      </w:r>
      <w:r>
        <w:rPr>
          <w:rFonts w:ascii="Arial" w:cs="Arial" w:eastAsia="Arial" w:hAnsi="Arial"/>
          <w:sz w:val="16"/>
          <w:szCs w:val="16"/>
          <w:color w:val="auto"/>
        </w:rPr>
        <w:t>To maintain our qualification as a REIT, we also must satisfy the following asset tests at the close of each quarter of each taxable year:</w:t>
      </w:r>
    </w:p>
    <w:p>
      <w:pPr>
        <w:spacing w:after="0" w:line="113" w:lineRule="exact"/>
        <w:rPr>
          <w:sz w:val="20"/>
          <w:szCs w:val="20"/>
          <w:color w:val="auto"/>
        </w:rPr>
      </w:pPr>
    </w:p>
    <w:p>
      <w:pPr>
        <w:ind w:left="780" w:right="440" w:hanging="326"/>
        <w:spacing w:after="0" w:line="268"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50"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50"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59"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50"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60" w:firstLine="5"/>
        <w:spacing w:after="0" w:line="253" w:lineRule="auto"/>
        <w:tabs>
          <w:tab w:leader="none" w:pos="1078" w:val="left"/>
        </w:tabs>
        <w:numPr>
          <w:ilvl w:val="0"/>
          <w:numId w:val="77"/>
        </w:numPr>
        <w:rPr>
          <w:rFonts w:ascii="Arial" w:cs="Arial" w:eastAsia="Arial" w:hAnsi="Arial"/>
          <w:sz w:val="18"/>
          <w:szCs w:val="18"/>
          <w:color w:val="auto"/>
        </w:rPr>
      </w:pPr>
      <w:r>
        <w:rPr>
          <w:rFonts w:ascii="Arial" w:cs="Arial" w:eastAsia="Arial" w:hAnsi="Arial"/>
          <w:sz w:val="18"/>
          <w:szCs w:val="18"/>
          <w:color w:val="auto"/>
        </w:rPr>
        <w:t>we generally may not own more than 10% of the voting power or value of any one issuer’s 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7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43" w:lineRule="exact"/>
        <w:rPr>
          <w:sz w:val="20"/>
          <w:szCs w:val="20"/>
          <w:color w:val="auto"/>
        </w:rPr>
      </w:pPr>
    </w:p>
    <w:p>
      <w:pPr>
        <w:ind w:right="60" w:firstLine="456"/>
        <w:spacing w:after="0" w:line="303"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nevertheless 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firstLine="8"/>
        <w:spacing w:after="0" w:line="288" w:lineRule="auto"/>
        <w:tabs>
          <w:tab w:leader="none" w:pos="258"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assest tests within 6 months following the quarter in which it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23"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43"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following taxable year and pay the distribution on or before the first regular dividend payment date after such declaration.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56" w:lineRule="auto"/>
        <w:tabs>
          <w:tab w:leader="none" w:pos="24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4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2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to qualify as a REIT. In addition, to avoid a monetary penalty, we must request on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annual basis certain information from our shareholders designed to disclose the actual ownership of our outstanding shares. We have complied, and we intend to continue to comply, with such requirements.</w:t>
      </w:r>
    </w:p>
    <w:p>
      <w:pPr>
        <w:spacing w:after="0" w:line="140"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In fact, we would not be required to distribute any amounts to shareholders in such year. In such event, to the extent of our earnings and profits, all distributions to shareholders would be taxable as ordinary income. Such distributions would, however, be “qualified dividend income,” which is taxable at long-term capital gain rates for individual shareholders. Furthermore,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used herein, the term “taxable U.S. shareholder” means a taxable holder of common or preferred shares that for U.S. federal income tax purposes is</w:t>
      </w:r>
    </w:p>
    <w:p>
      <w:pPr>
        <w:spacing w:after="0" w:line="113" w:lineRule="exact"/>
        <w:rPr>
          <w:sz w:val="20"/>
          <w:szCs w:val="20"/>
          <w:color w:val="auto"/>
        </w:rPr>
      </w:pPr>
    </w:p>
    <w:p>
      <w:pPr>
        <w:ind w:left="780" w:hanging="326"/>
        <w:spacing w:after="0"/>
        <w:tabs>
          <w:tab w:leader="none" w:pos="7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corporation, partnership, or other entity created or organized in or under the laws of the United States, any of its states or the District of Columbia;</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90" w:lineRule="exact"/>
        <w:rPr>
          <w:rFonts w:ascii="Arial" w:cs="Arial" w:eastAsia="Arial" w:hAnsi="Arial"/>
          <w:sz w:val="18"/>
          <w:szCs w:val="18"/>
          <w:color w:val="auto"/>
        </w:rPr>
      </w:pPr>
    </w:p>
    <w:p>
      <w:pPr>
        <w:ind w:left="780" w:right="160" w:hanging="326"/>
        <w:spacing w:after="0" w:line="298" w:lineRule="auto"/>
        <w:tabs>
          <w:tab w:leader="none" w:pos="7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taxable U.S. shareholders.</w:t>
      </w:r>
    </w:p>
    <w:p>
      <w:pPr>
        <w:spacing w:after="0" w:line="11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If a partnership, including an entity that is treated as a partnership for U.S. federal income tax purposes, is a beneficial owner of our shares, the treatment of a partner in the partnership will generally depend on the status of the partner and the activities of the partnership.</w:t>
      </w:r>
    </w:p>
    <w:p>
      <w:pPr>
        <w:spacing w:after="0" w:line="132"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For U.S. federal income tax purposes, holders of depositary share receipts will be treated as if they held the equivalent fraction of the underlying preferred shares. Accordingly, the discussion below with respect to the consequences of holding our preferred shares applies equally to holders of our depositary receipts.</w:t>
      </w:r>
    </w:p>
    <w:p>
      <w:pPr>
        <w:spacing w:after="0" w:line="6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b w:val="1"/>
          <w:bCs w:val="1"/>
          <w:i w:val="1"/>
          <w:iCs w:val="1"/>
          <w:color w:val="auto"/>
        </w:rPr>
        <w:t xml:space="preserve">Dividends and Other Taxable U.S. Shareholder Distributions. </w:t>
      </w:r>
      <w:r>
        <w:rPr>
          <w:rFonts w:ascii="Arial" w:cs="Arial" w:eastAsia="Arial" w:hAnsi="Arial"/>
          <w:sz w:val="16"/>
          <w:szCs w:val="16"/>
          <w:color w:val="auto"/>
        </w:rPr>
        <w:t>As long as we qualify as a REIT, a taxable U.S. shareholder must take into account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distributions on our common and preferred shares out of our current or accumulated earnings and profits (and that we do not designate as capital gain dividends or retained long-term capital gain) as ordinary income. Such distributions will not qualify for the dividends received deduction generally available to corporations.</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determining the extent to which a distribution constitutes a dividend for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18"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shares.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9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4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A taxable U.S. shareholder will not incur tax on a distribution to the extent it exceeds our current and accumulated earnings and profits if such distribution does not exceed the adjusted basis of the taxable U.S. shareholder’s common or preferred shares. Instead, such distribution in excess of earnings and profits will reduce the adjusted basis of such common or preferred shares. To the extent a distribution exceeds both our current and accumulated earnings and profits and the taxable U.S. shareholder’s adjusted basis in its common or preferred shares, the taxable U.S. shareholder will recognize long-term capital gain (or short-term capital gain if the shares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ordinary income or capital gain dividends.</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Taxation of Taxable U.S. Shareholders on the Disposition of Our Shares. </w:t>
      </w:r>
      <w:r>
        <w:rPr>
          <w:rFonts w:ascii="Arial" w:cs="Arial" w:eastAsia="Arial" w:hAnsi="Arial"/>
          <w:sz w:val="16"/>
          <w:szCs w:val="16"/>
          <w:color w:val="auto"/>
        </w:rPr>
        <w:t>In general, a taxable U.S. shareholder who is not a dealer in securities must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 any gain or loss realized upon a taxable disposition of the common or preferred shares as long-term capital gain or loss if the taxable U.S. shareholder has held its shares for more than one year and otherwise as short-term capital gain or loss. However, a taxable U.S. shareholder must treat any loss upon a sale or exchange of common or preferred shares held by such shareholder for six months or less (after applying certain holding period rules) as a long-term capital loss to the extent of capital gain dividends and other distributions from us that such taxable U.S. shareholder treats as long-term capital gain. All or a portion of any loss a taxable U.S. shareholder realizes upon a taxable disposition of the common or preferred shares may be disallowed if the taxable U.S. shareholder purchases substantially identical shares within the 61-day period beginning 30 days before and ending 30 days after the disposition.</w:t>
      </w:r>
    </w:p>
    <w:p>
      <w:pPr>
        <w:spacing w:after="0" w:line="118"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on ordinary income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 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The tax rate differential between capital gain and ordinary income for non-corporate taxpayers is significant.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generally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2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of Preferred Shares for Cash. </w:t>
      </w:r>
      <w:r>
        <w:rPr>
          <w:rFonts w:ascii="Arial" w:cs="Arial" w:eastAsia="Arial" w:hAnsi="Arial"/>
          <w:sz w:val="16"/>
          <w:szCs w:val="16"/>
          <w:color w:val="auto"/>
        </w:rPr>
        <w:t>The treatment accorded to any redemption by us for cash (as distinguished from a sale, exchange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disposition) of preferred shares can only be determined on the basis of particular facts as to each holder at the time of redemption. As stated above, in general a taxable U.S. shareholder of preferred shares will recognize capital gain or loss measured by the difference between the amount received upon the redemption and such holder’s adjusted tax basis in the preferred shares redeemed (provided the preferred shares are held as a capital asset) if such redemption (i) results in a “complete termination” of the holder’s interest in all classes of our shares under Section 302(b)(3) of the Code, (ii) is “substantially disproportionate” with respect to the holder’s interest in our shares under Section 302(b)(2) of the Code (which will not be the case if only preferred shares are redeemed, since they generally do not have voting rights), or (iii) is “not essentially equivalent to a dividend” with respect to the holder of preferred shares under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Section 302(b)(1) of the Code. In applying these tests, there must be taken into account not only the preferred shares owned by the taxable U.S. shareholder, but also such holder’s ownership of our common shares and any other options (including share purchase rights) to acquire any of the foregoing. The holder of preferred shares also must take into account any such securities (including options) which are considered to be owned by such holder by reason of the constructive ownership rules set forth in Sections 318 and 302(c) of the Code.</w:t>
      </w:r>
    </w:p>
    <w:p>
      <w:pPr>
        <w:spacing w:after="0" w:line="143"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 particular taxable U.S. shareholder of preferred shares owns (actually or constructively) none of our common shares or an insubstantial percentage of our outstanding common shares, then based upon current law, it is probable that the redemption of preferred shares from such a holder would be considered “not essentially equivalent to a dividend.” However, whether a dividend is “not essentially equivalent to a dividend” depends on all of the facts and circumstances, and a taxable U.S. shareholder of preferred shares intending to rely on any of these tests at the time of redemption should consult the holder’s own tax advisor to determine their application to the holder’s particular situation. If the redemption does not meet any of the tests under Section 302 of the Code, then the redemption proceeds received from the preferred shares will be treated as a distribution on the preferred shares. If the redemption is taxed as a dividend, the taxable U.S. shareholder’s adjusted tax basis in the preferred shares will be transferred to any other shares held by the holder. If the holder of preferred shares owns none of our other shares, under certain circumstances, such basis may be transferred to a related person, or it may be lost entirely.</w:t>
      </w:r>
    </w:p>
    <w:p>
      <w:pPr>
        <w:spacing w:after="0" w:line="11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Proposed Treasury Regulations would, if adopted, alter the method for recovering a taxable U.S. shareholder’s adjusted tax basis in any of our shares redeemed in a dividend equivalent redemption. Under the Proposed Treasury Regulations, a holder would be treated as realizing a capital loss on the date of the dividend equivalent redemption equal to the adjusted tax basis of the shares redeemed, subject to adjustments. The recognition of such loss would generally be deferred until the occurrence of specified events, such as, for example, the holder’s ceasing to actually or constructively own any shares. There can be no assurance that the Proposed Treasury Regulations will be adopted, or that they will be adopted in their current form.</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b w:val="1"/>
          <w:bCs w:val="1"/>
          <w:i w:val="1"/>
          <w:iCs w:val="1"/>
          <w:color w:val="auto"/>
        </w:rPr>
        <w:t xml:space="preserve">Redemption or Conversion of Preferred Shares to Common Shares. </w:t>
      </w:r>
      <w:r>
        <w:rPr>
          <w:rFonts w:ascii="Arial" w:cs="Arial" w:eastAsia="Arial" w:hAnsi="Arial"/>
          <w:sz w:val="16"/>
          <w:szCs w:val="16"/>
          <w:color w:val="auto"/>
        </w:rPr>
        <w:t>Assuming that preferred shares will not be redeemed or converted at a time when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are distributions in arrears, in general, no gain or loss will be recognized for federal income tax purposes upon the redemption or conversion of our preferred shares at the option of the holder solely into common shares. The basis that a taxable U.S. shareholder will have for tax purposes in the common shares received will be equal to the adjusted basis the holder had in the preferred shares so redeemed or converted and, provided that the preferred shares were held as a capital asset, the holding period for the common shares received will include the holding period for the preferred shares redeemed or converted. A holder, however, will generally recognize gain or loss on the receipt of cash in lieu of a fractional common share in an amount equal to the difference between the amount of cash received and the holder’s adjusted basis in such fractional share.</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If a redemption or conversion occurs when there is a dividend arrearage on the preferred shares and the fair market value of the common shares exceeds the issue price of the preferred shares, a portion of the common shares received might be treated as a dividend distribution taxable as ordinary income.</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i w:val="1"/>
          <w:iCs w:val="1"/>
          <w:color w:val="auto"/>
        </w:rPr>
        <w:t xml:space="preserve">Adjustments to Conversion Price. </w:t>
      </w:r>
      <w:r>
        <w:rPr>
          <w:rFonts w:ascii="Arial" w:cs="Arial" w:eastAsia="Arial" w:hAnsi="Arial"/>
          <w:sz w:val="16"/>
          <w:szCs w:val="16"/>
          <w:color w:val="auto"/>
        </w:rPr>
        <w:t>Under Section 305 of the Code, holders of preferred shares may be deemed to have received a constructive distribution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of shares that is taxable as a dividend where the conversion ratio is adjusted to reflect a cash or property distribution with respect to the common shares into which it is convertible. An adjustment to the conversion price made pursuant to a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reasonable adjustment formula that has the effect of preventing dilution of the interest of the holders, however, will generally not be considered to result in a constructive distribution of shares. Certain of the possible adjustments provided in the preferred shares may not qualify as being pursuant to a </w:t>
      </w:r>
      <w:r>
        <w:rPr>
          <w:rFonts w:ascii="Arial" w:cs="Arial" w:eastAsia="Arial" w:hAnsi="Arial"/>
          <w:sz w:val="16"/>
          <w:szCs w:val="16"/>
          <w:i w:val="1"/>
          <w:iCs w:val="1"/>
          <w:color w:val="auto"/>
        </w:rPr>
        <w:t>bona fide</w:t>
      </w:r>
      <w:r>
        <w:rPr>
          <w:rFonts w:ascii="Arial" w:cs="Arial" w:eastAsia="Arial" w:hAnsi="Arial"/>
          <w:sz w:val="16"/>
          <w:szCs w:val="16"/>
          <w:color w:val="auto"/>
        </w:rPr>
        <w:t>, reasonable adjustment formula. If a nonqualifying adjustment were made, the holders of preferred shares might be deemed to have received a taxable stock dividend.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2010.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35" w:lineRule="exact"/>
        <w:rPr>
          <w:sz w:val="20"/>
          <w:szCs w:val="20"/>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90" w:lineRule="exact"/>
        <w:rPr>
          <w:rFonts w:ascii="Arial" w:cs="Arial" w:eastAsia="Arial" w:hAnsi="Arial"/>
          <w:sz w:val="18"/>
          <w:szCs w:val="18"/>
          <w:color w:val="auto"/>
        </w:rPr>
      </w:pPr>
    </w:p>
    <w:p>
      <w:pPr>
        <w:ind w:left="780" w:right="20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90"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3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2011, and qualified dividend income will no longer be taxed at a preferential rate compared to ordinary income.</w:t>
      </w:r>
    </w:p>
    <w:p>
      <w:pPr>
        <w:spacing w:after="0" w:line="13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b w:val="1"/>
          <w:bCs w:val="1"/>
          <w:i w:val="1"/>
          <w:iCs w:val="1"/>
          <w:color w:val="auto"/>
        </w:rPr>
        <w:t xml:space="preserve">Information Reporting and Backup Withholding. </w:t>
      </w:r>
      <w:r>
        <w:rPr>
          <w:rFonts w:ascii="Arial" w:cs="Arial" w:eastAsia="Arial" w:hAnsi="Arial"/>
          <w:sz w:val="16"/>
          <w:szCs w:val="16"/>
          <w:color w:val="auto"/>
        </w:rPr>
        <w:t>We will report to our shareholders and to the IRS the amount of dividends we pay during each calendar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and 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 amount paid as backup withholding will be creditable against the U.S. shareholder’s income tax liability. In addition, we may be required to withhold a portion of capital gain distributions to any shareholders who fail to certify their non-foreign status to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47" w:lineRule="exact"/>
        <w:rPr>
          <w:sz w:val="20"/>
          <w:szCs w:val="20"/>
          <w:color w:val="auto"/>
        </w:rPr>
      </w:pPr>
    </w:p>
    <w:p>
      <w:pPr>
        <w:ind w:left="780" w:hanging="326"/>
        <w:spacing w:after="0"/>
        <w:tabs>
          <w:tab w:leader="none" w:pos="7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20" w:hanging="326"/>
        <w:spacing w:after="0" w:line="268" w:lineRule="auto"/>
        <w:tabs>
          <w:tab w:leader="none" w:pos="7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50" w:lineRule="exact"/>
        <w:rPr>
          <w:rFonts w:ascii="Arial" w:cs="Arial" w:eastAsia="Arial" w:hAnsi="Arial"/>
          <w:sz w:val="18"/>
          <w:szCs w:val="18"/>
          <w:color w:val="auto"/>
        </w:rPr>
      </w:pPr>
    </w:p>
    <w:p>
      <w:pPr>
        <w:ind w:left="780" w:right="640" w:hanging="326"/>
        <w:spacing w:after="0" w:line="332" w:lineRule="auto"/>
        <w:tabs>
          <w:tab w:leader="none" w:pos="7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rules governing U.S. federal income taxation of non-U.S. shareholders are complex. This section is only a summary of such rules. We urge non-U.S. shareholders to consult their own tax advisors to determine the impact of federal, state, and local income tax laws on ownership of common or preferred shares, including any reporting requirements. As used herein, the term “non-U.S. shareholder” means any taxable beneficial owner of our shares (other than a partnership or entity that is treated as a partnership for U.S. federal income tax purposes) that is not a taxable U.S. shareholder.</w:t>
      </w:r>
    </w:p>
    <w:p>
      <w:pPr>
        <w:spacing w:after="0" w:line="113"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 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(or beneficial owner in the case of shares owned through a pass-through entity that is not acting as a withholding foreign partnership or trust) provides IRS Form W-8BEN to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 if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distribution does not exceed the adjusted basis of its common or preferred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or preferred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b w:val="1"/>
          <w:bCs w:val="1"/>
          <w:i w:val="1"/>
          <w:iCs w:val="1"/>
          <w:color w:val="auto"/>
        </w:rPr>
        <w:t>Capital Gain Dividends</w:t>
      </w:r>
      <w:r>
        <w:rPr>
          <w:rFonts w:ascii="Arial" w:cs="Arial" w:eastAsia="Arial" w:hAnsi="Arial"/>
          <w:sz w:val="18"/>
          <w:szCs w:val="18"/>
          <w:color w:val="auto"/>
        </w:rPr>
        <w:t>. Provided that a particular class of our shares is “regularly traded” on an established securities market in the United States,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non-U.S. shareholder does not own more than 5% of the shares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such class at any time during the one-year period preceding the distribution, then amounts distributed with respect to those shares that are designated as capital gains from our sale or exchange of “U.S. real property interests” (defined below) are treated as an ordinary dividend taxable as described above under “— Ordinary Dividends.”</w:t>
      </w:r>
    </w:p>
    <w:p>
      <w:pPr>
        <w:spacing w:after="0" w:line="14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If the foregoing exceptions do not apply, for example because the non-U.S. shareholder owns more than 5% of our shares, the non-U.S. shareholder incurs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24"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40"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or preferred shares as long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are a “domestically controlled REIT.” A “domestically controlled REIT” is a REIT in which at all times during a specified testing period non-U.S. persons held, directly or indirectly, less than 50% in value of our shares. We anticipate that we will continue to be a “domestically controlled REIT.” In addition, a non-U.S. shareholder that owns, actually or constructively, 5% or less of a class of our of outstanding shares at all times during a specified testing period will not incur tax under FIRPTA on a sale of such shares if the shares are “regularly traded” on an established securities market. If neither of these exceptions were to apply, the gain on the sale of the common or preferred shares would be taxed under FIRPTA, in which case a non-U.S. shareholder would be taxed in the same manner as taxable U.S. shareholders with respect to such gain (subject to applicable alternative minimum tax and a special alternative minimum tax in the case of nonresident alien individuals), and the purchaser of the shares would be required to withhold and remit to the IRS 10% of the purchase price.</w:t>
      </w:r>
    </w:p>
    <w:p>
      <w:pPr>
        <w:spacing w:after="0" w:line="118"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4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Backup withholding and additional information reporting will generally not apply to distributions to a non-U.S. shareholder provided that the non-U.S. shareholder certifies under penalty of perjury that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shareholder is a non-U.S. shareholder, or otherwise establishes an exemption. As a general matter, backup withholding and information reporting will not apply to a payment of the proceeds of a sale of common or preferred shares effected at a foreign office of a foreign broker. Information reporting (but not backup withholding) will apply, however, to a payment of the proceeds of a sale of common or preferred shares by a foreign office of a broker that:</w:t>
      </w:r>
    </w:p>
    <w:p>
      <w:pPr>
        <w:spacing w:after="0" w:line="26" w:lineRule="exact"/>
        <w:rPr>
          <w:sz w:val="20"/>
          <w:szCs w:val="20"/>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is a “controlled foreign corporation” (a foreign corporation controlled by certain U.S. shareholders) for U.S. tax purposes; or</w:t>
      </w:r>
    </w:p>
    <w:p>
      <w:pPr>
        <w:spacing w:after="0" w:line="90" w:lineRule="exact"/>
        <w:rPr>
          <w:rFonts w:ascii="Arial" w:cs="Arial" w:eastAsia="Arial" w:hAnsi="Arial"/>
          <w:sz w:val="18"/>
          <w:szCs w:val="18"/>
          <w:color w:val="auto"/>
        </w:rPr>
      </w:pPr>
    </w:p>
    <w:p>
      <w:pPr>
        <w:ind w:left="780" w:hanging="326"/>
        <w:spacing w:after="0" w:line="268" w:lineRule="auto"/>
        <w:tabs>
          <w:tab w:leader="none" w:pos="7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 are held by U.S. persons or if it is engaged in the conduct of a trade or business in the U.S.,</w:t>
      </w:r>
    </w:p>
    <w:p>
      <w:pPr>
        <w:spacing w:after="0" w:line="132"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or preferred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96"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90" w:lineRule="exact"/>
        <w:rPr>
          <w:sz w:val="20"/>
          <w:szCs w:val="20"/>
          <w:color w:val="auto"/>
        </w:rPr>
      </w:pPr>
    </w:p>
    <w:p>
      <w:pPr>
        <w:ind w:left="780" w:right="460" w:hanging="326"/>
        <w:spacing w:after="0" w:line="268" w:lineRule="auto"/>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18"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 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118"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and the Series B preferred shares, each of which are quoted on The New York Stock Exchange). No assurance can be given as to the liquidity of the trading market for any such securities.</w:t>
      </w:r>
    </w:p>
    <w:p>
      <w:pPr>
        <w:spacing w:after="0" w:line="140" w:lineRule="exact"/>
        <w:rPr>
          <w:sz w:val="20"/>
          <w:szCs w:val="20"/>
          <w:color w:val="auto"/>
        </w:rPr>
      </w:pPr>
    </w:p>
    <w:p>
      <w:pPr>
        <w:ind w:right="120" w:firstLine="456"/>
        <w:spacing w:after="0" w:line="286"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validity of the offered securities and the accuracy of the discussion under “Federal Income Tax Considerations” will be passed upon for us by Pillsbury Winthrop Shaw Pittman LLP, Washington D.C. If any portion of the offered securities is distributed in an underwritten offering or through agents, certain legal matters may be passed upon for any agents or underwriters by counsel for such agents or underwriters identified in the applicable prospectus supplement.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Pursuant to the Securities Act of 1933 and the rules promulgated thereunder, we are required to, and have incorporated into this registration statement our Annual Report on Form 10-K for the year ended December 31, 2005. Grant Thornton LLP, independent registered public accounting firm, have audited our consolidated financial statements and schedules and management’s assessment of the effectiveness of internal control over financial reporting included in our Annual Report on Form 10-K for the year ended December 31, 2005, as set forth in their reports, which are incorporated by reference in this prospectus and elsewhere in the registration statement. Our financial statements and schedules and management’s assessment of the effectiveness of internal control over financial reporting contained in the 2005 Form 10-K are incorporated by reference in reliance on Grant Thornton LLP’s report, given on their authority as experts in accounting and auditing.</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77"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 xml:space="preserve">We file annual, quarterly and special reports, proxy statements and other information with the SEC. Our SEC filings are available to the public at the SEC’s website at </w:t>
      </w:r>
      <w:r>
        <w:rPr>
          <w:rFonts w:ascii="Arial" w:cs="Arial" w:eastAsia="Arial" w:hAnsi="Arial"/>
          <w:sz w:val="15"/>
          <w:szCs w:val="15"/>
          <w:i w:val="1"/>
          <w:iCs w:val="1"/>
          <w:color w:val="auto"/>
        </w:rPr>
        <w:t>www.sec.gov</w:t>
      </w:r>
      <w:r>
        <w:rPr>
          <w:rFonts w:ascii="Arial" w:cs="Arial" w:eastAsia="Arial" w:hAnsi="Arial"/>
          <w:sz w:val="15"/>
          <w:szCs w:val="15"/>
          <w:color w:val="auto"/>
        </w:rPr>
        <w:t>. You may also read and copy any document we file at the SEC’s Public Reference Room at 100 F Street, N.E., Washington, D.C. 20549.</w:t>
      </w:r>
    </w:p>
    <w:p>
      <w:pPr>
        <w:spacing w:after="0" w:line="6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37" w:lineRule="exact"/>
        <w:rPr>
          <w:sz w:val="20"/>
          <w:szCs w:val="20"/>
          <w:color w:val="auto"/>
        </w:rPr>
      </w:pPr>
    </w:p>
    <w:p>
      <w:pPr>
        <w:ind w:left="5620" w:right="5000" w:hanging="5166"/>
        <w:spacing w:after="0" w:line="525" w:lineRule="auto"/>
        <w:tabs>
          <w:tab w:leader="none" w:pos="772" w:val="left"/>
        </w:tabs>
        <w:numPr>
          <w:ilvl w:val="0"/>
          <w:numId w:val="87"/>
        </w:numPr>
        <w:rPr>
          <w:rFonts w:ascii="Arial" w:cs="Arial" w:eastAsia="Arial" w:hAnsi="Arial"/>
          <w:sz w:val="16"/>
          <w:szCs w:val="16"/>
          <w:color w:val="auto"/>
        </w:rPr>
      </w:pPr>
      <w:r>
        <w:rPr>
          <w:rFonts w:ascii="Arial" w:cs="Arial" w:eastAsia="Arial" w:hAnsi="Arial"/>
          <w:sz w:val="16"/>
          <w:szCs w:val="16"/>
          <w:color w:val="auto"/>
        </w:rPr>
        <w:t>Our Annual Report on Form 10-K for the fiscal year ended December 31, 2005; 46</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23,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February 28,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10, 2006;</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 and</w:t>
      </w:r>
    </w:p>
    <w:p>
      <w:pPr>
        <w:spacing w:after="0" w:line="9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Description of our Common Share Purchase Rights included in the Registration Statement on Form 8-A/A, filed March 11, 1999, and in the First Amendment to Amended and Restated Rights Agreement, dated as of November 2003 and filed as an exhibit to the Annual Report on Form 10-K for the year ended December 31, 2003, between us and American Stock Transfer &amp; Trust Company.</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direct your request to:</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(301) 998-8100 or (301) 658-8980</w:t>
      </w:r>
    </w:p>
    <w:p>
      <w:pPr>
        <w:spacing w:after="0" w:line="165"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7">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32406B"/>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114300</wp:posOffset>
            </wp:positionV>
            <wp:extent cx="2143760" cy="814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120"/>
        <w:spacing w:after="0"/>
        <w:rPr>
          <w:sz w:val="20"/>
          <w:szCs w:val="20"/>
          <w:color w:val="auto"/>
        </w:rPr>
      </w:pPr>
      <w:r>
        <w:rPr>
          <w:rFonts w:ascii="Arial" w:cs="Arial" w:eastAsia="Arial" w:hAnsi="Arial"/>
          <w:sz w:val="19"/>
          <w:szCs w:val="19"/>
          <w:b w:val="1"/>
          <w:bCs w:val="1"/>
          <w:color w:val="32406B"/>
        </w:rPr>
        <w:t>$55,000,000 6.00% Notes due 2012</w:t>
      </w:r>
    </w:p>
    <w:p>
      <w:pPr>
        <w:spacing w:after="0" w:line="49" w:lineRule="exact"/>
        <w:rPr>
          <w:sz w:val="20"/>
          <w:szCs w:val="20"/>
          <w:color w:val="auto"/>
        </w:rPr>
      </w:pPr>
    </w:p>
    <w:p>
      <w:pPr>
        <w:ind w:left="4120"/>
        <w:spacing w:after="0"/>
        <w:rPr>
          <w:sz w:val="20"/>
          <w:szCs w:val="20"/>
          <w:color w:val="auto"/>
        </w:rPr>
      </w:pPr>
      <w:r>
        <w:rPr>
          <w:rFonts w:ascii="Arial" w:cs="Arial" w:eastAsia="Arial" w:hAnsi="Arial"/>
          <w:sz w:val="19"/>
          <w:szCs w:val="19"/>
          <w:b w:val="1"/>
          <w:bCs w:val="1"/>
          <w:color w:val="32406B"/>
        </w:rPr>
        <w:t>$70,000,000 6.20% Notes due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215265</wp:posOffset>
            </wp:positionV>
            <wp:extent cx="153479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PROSPECTUS SUPPLEMENT</w:t>
      </w:r>
    </w:p>
    <w:p>
      <w:pPr>
        <w:spacing w:after="0" w:line="171" w:lineRule="exact"/>
        <w:rPr>
          <w:sz w:val="20"/>
          <w:szCs w:val="20"/>
          <w:color w:val="auto"/>
        </w:rPr>
      </w:pPr>
    </w:p>
    <w:p>
      <w:pPr>
        <w:jc w:val="center"/>
        <w:ind w:right="-1220"/>
        <w:spacing w:after="0"/>
        <w:rPr>
          <w:sz w:val="20"/>
          <w:szCs w:val="20"/>
          <w:color w:val="auto"/>
        </w:rPr>
      </w:pPr>
      <w:r>
        <w:rPr>
          <w:rFonts w:ascii="Arial" w:cs="Arial" w:eastAsia="Arial" w:hAnsi="Arial"/>
          <w:sz w:val="18"/>
          <w:szCs w:val="18"/>
          <w:b w:val="1"/>
          <w:bCs w:val="1"/>
          <w:color w:val="32406B"/>
        </w:rPr>
        <w:t>September 25,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263525</wp:posOffset>
            </wp:positionV>
            <wp:extent cx="15347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Wachovia Securities</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29"/>
          <w:szCs w:val="29"/>
          <w:b w:val="1"/>
          <w:bCs w:val="1"/>
          <w:color w:val="32406B"/>
        </w:rPr>
        <w:t>Bear, Stearns &amp; Co. Inc.</w:t>
      </w:r>
    </w:p>
    <w:p>
      <w:pPr>
        <w:spacing w:after="0" w:line="193"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Citigroup</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Merrill Lynch &amp; Co.</w:t>
      </w:r>
    </w:p>
    <w:p>
      <w:pPr>
        <w:spacing w:after="0" w:line="159" w:lineRule="exact"/>
        <w:rPr>
          <w:sz w:val="20"/>
          <w:szCs w:val="20"/>
          <w:color w:val="auto"/>
        </w:rPr>
      </w:pPr>
    </w:p>
    <w:p>
      <w:pPr>
        <w:jc w:val="center"/>
        <w:ind w:right="-1220"/>
        <w:spacing w:after="0"/>
        <w:rPr>
          <w:sz w:val="20"/>
          <w:szCs w:val="20"/>
          <w:color w:val="auto"/>
        </w:rPr>
      </w:pPr>
      <w:r>
        <w:rPr>
          <w:rFonts w:ascii="Arial" w:cs="Arial" w:eastAsia="Arial" w:hAnsi="Arial"/>
          <w:sz w:val="32"/>
          <w:szCs w:val="32"/>
          <w:b w:val="1"/>
          <w:bCs w:val="1"/>
          <w:color w:val="32406B"/>
        </w:rPr>
        <w:t>RBC Capital Markets</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1)"/>
      <w:numFmt w:val="decimal"/>
      <w:start w:val="1"/>
    </w:lvl>
  </w:abstractNum>
  <w:abstractNum w:abstractNumId="2">
    <w:nsid w:val="7A6D8D3C"/>
    <w:multiLevelType w:val="hybridMultilevel"/>
    <w:lvl w:ilvl="0">
      <w:lvlJc w:val="left"/>
      <w:lvlText w:val="•"/>
      <w:numFmt w:val="bullet"/>
      <w:start w:val="1"/>
    </w:lvl>
    <w:lvl w:ilvl="1">
      <w:lvlJc w:val="left"/>
      <w:lvlText w:val="•"/>
      <w:numFmt w:val="bullet"/>
      <w:start w:val="1"/>
    </w:lvl>
  </w:abstractNum>
  <w:abstractNum w:abstractNumId="3">
    <w:nsid w:val="4B588F54"/>
    <w:multiLevelType w:val="hybridMultilevel"/>
    <w:lvl w:ilvl="0">
      <w:lvlJc w:val="left"/>
      <w:lvlText w:val="(%1)"/>
      <w:numFmt w:val="decimal"/>
      <w:start w:val="2"/>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
      <w:numFmt w:val="bullet"/>
      <w:start w:val="1"/>
    </w:lvl>
  </w:abstractNum>
  <w:abstractNum w:abstractNumId="14">
    <w:nsid w:val="79A1DEAA"/>
    <w:multiLevelType w:val="hybridMultilevel"/>
    <w:lvl w:ilvl="0">
      <w:lvlJc w:val="left"/>
      <w:lvlText w:val="•"/>
      <w:numFmt w:val="bullet"/>
      <w:start w:val="1"/>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
      <w:numFmt w:val="bullet"/>
      <w:start w:val="1"/>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
      <w:numFmt w:val="bullet"/>
      <w:start w:val="1"/>
    </w:lvl>
  </w:abstractNum>
  <w:abstractNum w:abstractNumId="20">
    <w:nsid w:val="4F4EF005"/>
    <w:multiLevelType w:val="hybridMultilevel"/>
    <w:lvl w:ilvl="0">
      <w:lvlJc w:val="left"/>
      <w:lvlText w:val="•"/>
      <w:numFmt w:val="bullet"/>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lvl w:ilvl="1">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lvl w:ilvl="1">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
      <w:numFmt w:val="bullet"/>
      <w:start w:val="1"/>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lvl w:ilvl="1">
      <w:lvlJc w:val="left"/>
      <w:lvlText w:val="(%2)"/>
      <w:numFmt w:val="lowerLetter"/>
      <w:start w:val="1"/>
    </w:lvl>
  </w:abstractNum>
  <w:abstractNum w:abstractNumId="31">
    <w:nsid w:val="741226BB"/>
    <w:multiLevelType w:val="hybridMultilevel"/>
    <w:lvl w:ilvl="0">
      <w:lvlJc w:val="left"/>
      <w:lvlText w:val="%1"/>
      <w:numFmt w:val="decimal"/>
      <w:start w:val="1"/>
    </w:lvl>
    <w:lvl w:ilvl="1">
      <w:lvlJc w:val="left"/>
      <w:lvlText w:val="(%2)"/>
      <w:numFmt w:val="lowerLetter"/>
      <w:start w:val="2"/>
    </w:lvl>
  </w:abstractNum>
  <w:abstractNum w:abstractNumId="32">
    <w:nsid w:val="D34B6A8"/>
    <w:multiLevelType w:val="hybridMultilevel"/>
    <w:lvl w:ilvl="0">
      <w:lvlJc w:val="left"/>
      <w:lvlText w:val="%1."/>
      <w:numFmt w:val="decimal"/>
      <w:start w:val="5"/>
    </w:lvl>
    <w:lvl w:ilvl="1">
      <w:lvlJc w:val="left"/>
      <w:lvlText w:val="(%2)"/>
      <w:numFmt w:val="lowerLetter"/>
      <w:start w:val="1"/>
    </w:lvl>
  </w:abstractNum>
  <w:abstractNum w:abstractNumId="33">
    <w:nsid w:val="10233C99"/>
    <w:multiLevelType w:val="hybridMultilevel"/>
    <w:lvl w:ilvl="0">
      <w:lvlJc w:val="left"/>
      <w:lvlText w:val="%1."/>
      <w:numFmt w:val="decimal"/>
      <w:start w:val="7"/>
    </w:lvl>
    <w:lvl w:ilvl="1">
      <w:lvlJc w:val="left"/>
      <w:lvlText w:val="(%2)"/>
      <w:numFmt w:val="lowerLetter"/>
      <w:start w:val="1"/>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
      <w:numFmt w:val="bullet"/>
      <w:start w:val="1"/>
    </w:lvl>
    <w:lvl w:ilvl="1">
      <w:lvlJc w:val="left"/>
      <w:lvlText w:val="•"/>
      <w:numFmt w:val="bullet"/>
      <w:start w:val="1"/>
    </w:lvl>
  </w:abstractNum>
  <w:abstractNum w:abstractNumId="36">
    <w:nsid w:val="7E0C57B1"/>
    <w:multiLevelType w:val="hybridMultilevel"/>
    <w:lvl w:ilvl="0">
      <w:lvlJc w:val="left"/>
      <w:lvlText w:val="•"/>
      <w:numFmt w:val="bullet"/>
      <w:start w:val="1"/>
    </w:lvl>
  </w:abstractNum>
  <w:abstractNum w:abstractNumId="37">
    <w:nsid w:val="77AE35EB"/>
    <w:multiLevelType w:val="hybridMultilevel"/>
    <w:lvl w:ilvl="0">
      <w:lvlJc w:val="left"/>
      <w:lvlText w:val="•"/>
      <w:numFmt w:val="bullet"/>
      <w:start w:val="1"/>
    </w:lvl>
  </w:abstractNum>
  <w:abstractNum w:abstractNumId="38">
    <w:nsid w:val="579BE4F1"/>
    <w:multiLevelType w:val="hybridMultilevel"/>
    <w:lvl w:ilvl="0">
      <w:lvlJc w:val="left"/>
      <w:lvlText w:val="•"/>
      <w:numFmt w:val="bullet"/>
      <w:start w:val="1"/>
    </w:lvl>
  </w:abstractNum>
  <w:abstractNum w:abstractNumId="39">
    <w:nsid w:val="310C50B3"/>
    <w:multiLevelType w:val="hybridMultilevel"/>
    <w:lvl w:ilvl="0">
      <w:lvlJc w:val="left"/>
      <w:lvlText w:val="•"/>
      <w:numFmt w:val="bullet"/>
      <w:start w:val="1"/>
    </w:lvl>
  </w:abstractNum>
  <w:abstractNum w:abstractNumId="40">
    <w:nsid w:val="5FF87E05"/>
    <w:multiLevelType w:val="hybridMultilevel"/>
    <w:lvl w:ilvl="0">
      <w:lvlJc w:val="left"/>
      <w:lvlText w:val="•"/>
      <w:numFmt w:val="bullet"/>
      <w:start w:val="1"/>
    </w:lvl>
  </w:abstractNum>
  <w:abstractNum w:abstractNumId="41">
    <w:nsid w:val="2F305DEF"/>
    <w:multiLevelType w:val="hybridMultilevel"/>
    <w:lvl w:ilvl="0">
      <w:lvlJc w:val="left"/>
      <w:lvlText w:val="•"/>
      <w:numFmt w:val="bullet"/>
      <w:start w:val="1"/>
    </w:lvl>
  </w:abstractNum>
  <w:abstractNum w:abstractNumId="42">
    <w:nsid w:val="25A70BF7"/>
    <w:multiLevelType w:val="hybridMultilevel"/>
    <w:lvl w:ilvl="0">
      <w:lvlJc w:val="left"/>
      <w:lvlText w:val="•"/>
      <w:numFmt w:val="bullet"/>
      <w:start w:val="1"/>
    </w:lvl>
  </w:abstractNum>
  <w:abstractNum w:abstractNumId="43">
    <w:nsid w:val="1DBABF00"/>
    <w:multiLevelType w:val="hybridMultilevel"/>
    <w:lvl w:ilvl="0">
      <w:lvlJc w:val="left"/>
      <w:lvlText w:val="•"/>
      <w:numFmt w:val="bullet"/>
      <w:start w:val="1"/>
    </w:lvl>
  </w:abstractNum>
  <w:abstractNum w:abstractNumId="44">
    <w:nsid w:val="4AD084E9"/>
    <w:multiLevelType w:val="hybridMultilevel"/>
    <w:lvl w:ilvl="0">
      <w:lvlJc w:val="left"/>
      <w:lvlText w:val="•"/>
      <w:numFmt w:val="bullet"/>
      <w:start w:val="1"/>
    </w:lvl>
  </w:abstractNum>
  <w:abstractNum w:abstractNumId="45">
    <w:nsid w:val="1F48EAA1"/>
    <w:multiLevelType w:val="hybridMultilevel"/>
    <w:lvl w:ilvl="0">
      <w:lvlJc w:val="left"/>
      <w:lvlText w:val="•"/>
      <w:numFmt w:val="bullet"/>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
      <w:numFmt w:val="bullet"/>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
      <w:numFmt w:val="bullet"/>
      <w:start w:val="1"/>
    </w:lvl>
  </w:abstractNum>
  <w:abstractNum w:abstractNumId="56">
    <w:nsid w:val="168E121F"/>
    <w:multiLevelType w:val="hybridMultilevel"/>
    <w:lvl w:ilvl="0">
      <w:lvlJc w:val="left"/>
      <w:lvlText w:val="•"/>
      <w:numFmt w:val="bullet"/>
      <w:start w:val="1"/>
    </w:lvl>
    <w:lvl w:ilvl="1">
      <w:lvlJc w:val="left"/>
      <w:lvlText w:val="•"/>
      <w:numFmt w:val="bullet"/>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
      <w:numFmt w:val="bullet"/>
      <w:start w:val="1"/>
    </w:lvl>
  </w:abstractNum>
  <w:abstractNum w:abstractNumId="60">
    <w:nsid w:val="540A471C"/>
    <w:multiLevelType w:val="hybridMultilevel"/>
    <w:lvl w:ilvl="0">
      <w:lvlJc w:val="left"/>
      <w:lvlText w:val="•"/>
      <w:numFmt w:val="bullet"/>
      <w:start w:val="1"/>
    </w:lvl>
  </w:abstractNum>
  <w:abstractNum w:abstractNumId="61">
    <w:nsid w:val="7BD3EE7B"/>
    <w:multiLevelType w:val="hybridMultilevel"/>
    <w:lvl w:ilvl="0">
      <w:lvlJc w:val="left"/>
      <w:lvlText w:val="•"/>
      <w:numFmt w:val="bullet"/>
      <w:start w:val="1"/>
    </w:lvl>
  </w:abstractNum>
  <w:abstractNum w:abstractNumId="62">
    <w:nsid w:val="51D9C564"/>
    <w:multiLevelType w:val="hybridMultilevel"/>
    <w:lvl w:ilvl="0">
      <w:lvlJc w:val="left"/>
      <w:lvlText w:val="•"/>
      <w:numFmt w:val="bullet"/>
      <w:start w:val="1"/>
    </w:lvl>
  </w:abstractNum>
  <w:abstractNum w:abstractNumId="63">
    <w:nsid w:val="613EFDC5"/>
    <w:multiLevelType w:val="hybridMultilevel"/>
    <w:lvl w:ilvl="0">
      <w:lvlJc w:val="left"/>
      <w:lvlText w:val="•"/>
      <w:numFmt w:val="bullet"/>
      <w:start w:val="1"/>
    </w:lvl>
  </w:abstractNum>
  <w:abstractNum w:abstractNumId="64">
    <w:nsid w:val="BF72B14"/>
    <w:multiLevelType w:val="hybridMultilevel"/>
    <w:lvl w:ilvl="0">
      <w:lvlJc w:val="left"/>
      <w:lvlText w:val="•"/>
      <w:numFmt w:val="bullet"/>
      <w:start w:val="1"/>
    </w:lvl>
  </w:abstractNum>
  <w:abstractNum w:abstractNumId="65">
    <w:nsid w:val="11447B73"/>
    <w:multiLevelType w:val="hybridMultilevel"/>
    <w:lvl w:ilvl="0">
      <w:lvlJc w:val="left"/>
      <w:lvlText w:val="•"/>
      <w:numFmt w:val="bullet"/>
      <w:start w:val="1"/>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1."/>
      <w:numFmt w:val="decimal"/>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
      <w:numFmt w:val="bullet"/>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lvl w:ilvl="1">
      <w:lvlJc w:val="left"/>
      <w:lvlText w:val="•"/>
      <w:numFmt w:val="bullet"/>
      <w:start w:val="1"/>
    </w:lvl>
  </w:abstractNum>
  <w:abstractNum w:abstractNumId="76">
    <w:nsid w:val="7FFFCA11"/>
    <w:multiLevelType w:val="hybridMultilevel"/>
    <w:lvl w:ilvl="0">
      <w:lvlJc w:val="left"/>
      <w:lvlText w:val="(%1)"/>
      <w:numFmt w:val="upperLetter"/>
      <w:start w:val="2"/>
    </w:lvl>
  </w:abstractNum>
  <w:abstractNum w:abstractNumId="77">
    <w:nsid w:val="1A27709E"/>
    <w:multiLevelType w:val="hybridMultilevel"/>
    <w:lvl w:ilvl="0">
      <w:lvlJc w:val="left"/>
      <w:lvlText w:val="(%1)"/>
      <w:numFmt w:val="lowerRoman"/>
      <w:start w:val="2"/>
    </w:lvl>
  </w:abstractNum>
  <w:abstractNum w:abstractNumId="78">
    <w:nsid w:val="71EA1109"/>
    <w:multiLevelType w:val="hybridMultilevel"/>
    <w:lvl w:ilvl="0">
      <w:lvlJc w:val="left"/>
      <w:lvlText w:val="(%1)"/>
      <w:numFmt w:val="decimal"/>
      <w:start w:val="3"/>
    </w:lvl>
  </w:abstractNum>
  <w:abstractNum w:abstractNumId="79">
    <w:nsid w:val="100F59DC"/>
    <w:multiLevelType w:val="hybridMultilevel"/>
    <w:lvl w:ilvl="0">
      <w:lvlJc w:val="left"/>
      <w:lvlText w:val="•"/>
      <w:numFmt w:val="bullet"/>
      <w:start w:val="1"/>
    </w:lvl>
  </w:abstractNum>
  <w:abstractNum w:abstractNumId="80">
    <w:nsid w:val="7FB7E0AA"/>
    <w:multiLevelType w:val="hybridMultilevel"/>
    <w:lvl w:ilvl="0">
      <w:lvlJc w:val="left"/>
      <w:lvlText w:val="•"/>
      <w:numFmt w:val="bullet"/>
      <w:start w:val="1"/>
    </w:lvl>
  </w:abstractNum>
  <w:abstractNum w:abstractNumId="81">
    <w:nsid w:val="6EB5BD4"/>
    <w:multiLevelType w:val="hybridMultilevel"/>
    <w:lvl w:ilvl="0">
      <w:lvlJc w:val="left"/>
      <w:lvlText w:val="•"/>
      <w:numFmt w:val="bullet"/>
      <w:start w:val="1"/>
    </w:lvl>
  </w:abstractNum>
  <w:abstractNum w:abstractNumId="82">
    <w:nsid w:val="6F6DD9AC"/>
    <w:multiLevelType w:val="hybridMultilevel"/>
    <w:lvl w:ilvl="0">
      <w:lvlJc w:val="left"/>
      <w:lvlText w:val="•"/>
      <w:numFmt w:val="bullet"/>
      <w:start w:val="1"/>
    </w:lvl>
  </w:abstractNum>
  <w:abstractNum w:abstractNumId="83">
    <w:nsid w:val="94211F2"/>
    <w:multiLevelType w:val="hybridMultilevel"/>
    <w:lvl w:ilvl="0">
      <w:lvlJc w:val="left"/>
      <w:lvlText w:val="•"/>
      <w:numFmt w:val="bullet"/>
      <w:start w:val="1"/>
    </w:lvl>
  </w:abstractNum>
  <w:abstractNum w:abstractNumId="84">
    <w:nsid w:val="885E1B"/>
    <w:multiLevelType w:val="hybridMultilevel"/>
    <w:lvl w:ilvl="0">
      <w:lvlJc w:val="left"/>
      <w:lvlText w:val="•"/>
      <w:numFmt w:val="bullet"/>
      <w:start w:val="1"/>
    </w:lvl>
  </w:abstractNum>
  <w:abstractNum w:abstractNumId="85">
    <w:nsid w:val="76272110"/>
    <w:multiLevelType w:val="hybridMultilevel"/>
    <w:lvl w:ilvl="0">
      <w:lvlJc w:val="left"/>
      <w:lvlText w:val="•"/>
      <w:numFmt w:val="bullet"/>
      <w:start w:val="1"/>
    </w:lvl>
  </w:abstractNum>
  <w:abstractNum w:abstractNumId="86">
    <w:nsid w:val="4C04A8AF"/>
    <w:multiLevelType w:val="hybridMultilevel"/>
    <w:lvl w:ilvl="0">
      <w:lvlJc w:val="left"/>
      <w:lvlText w:val="•"/>
      <w:numFmt w:val="bullet"/>
      <w:start w:val="1"/>
    </w:lvl>
  </w:abstractNum>
  <w:abstractNum w:abstractNumId="87">
    <w:nsid w:val="1716703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2019-12-13T00:50:54Z</dcterms:created>
  <dcterms:modified xsi:type="dcterms:W3CDTF">2019-12-13T00:50:54Z</dcterms:modified>
</cp:coreProperties>
</file>