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Date of Report (Date of earliest event reported) February 10, 2020</w:t>
      </w:r>
    </w:p>
    <w:p>
      <w:pPr>
        <w:spacing w:after="0" w:line="200" w:lineRule="exact"/>
        <w:rPr>
          <w:sz w:val="24"/>
          <w:szCs w:val="24"/>
          <w:color w:val="auto"/>
        </w:rPr>
      </w:pPr>
    </w:p>
    <w:p>
      <w:pPr>
        <w:spacing w:after="0" w:line="36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200" w:type="dxa"/>
        <w:tblCellMar>
          <w:top w:w="0" w:type="dxa"/>
          <w:left w:w="0" w:type="dxa"/>
          <w:bottom w:w="0" w:type="dxa"/>
          <w:right w:w="0" w:type="dxa"/>
        </w:tblCellMar>
      </w:tblPr>
      <w:tr>
        <w:trPr>
          <w:trHeight w:val="234"/>
        </w:trPr>
        <w:tc>
          <w:tcPr>
            <w:tcW w:w="4000" w:type="dxa"/>
            <w:vAlign w:val="bottom"/>
            <w:gridSpan w:val="3"/>
          </w:tcPr>
          <w:p>
            <w:pPr>
              <w:jc w:val="center"/>
              <w:ind w:right="643"/>
              <w:spacing w:after="0"/>
              <w:rPr>
                <w:sz w:val="20"/>
                <w:szCs w:val="20"/>
                <w:color w:val="auto"/>
              </w:rPr>
            </w:pPr>
            <w:r>
              <w:rPr>
                <w:rFonts w:ascii="Arial" w:cs="Arial" w:eastAsia="Arial" w:hAnsi="Arial"/>
                <w:sz w:val="18"/>
                <w:szCs w:val="18"/>
                <w:b w:val="1"/>
                <w:bCs w:val="1"/>
                <w:color w:val="auto"/>
                <w:w w:val="96"/>
              </w:rPr>
              <w:t>Maryland</w:t>
            </w:r>
          </w:p>
        </w:tc>
        <w:tc>
          <w:tcPr>
            <w:tcW w:w="9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600" w:type="dxa"/>
            <w:vAlign w:val="bottom"/>
          </w:tcPr>
          <w:p>
            <w:pPr>
              <w:spacing w:after="0"/>
              <w:rPr>
                <w:sz w:val="20"/>
                <w:szCs w:val="20"/>
                <w:color w:val="auto"/>
              </w:rPr>
            </w:pPr>
          </w:p>
        </w:tc>
        <w:tc>
          <w:tcPr>
            <w:tcW w:w="3820" w:type="dxa"/>
            <w:vAlign w:val="bottom"/>
            <w:gridSpan w:val="2"/>
          </w:tcPr>
          <w:p>
            <w:pPr>
              <w:jc w:val="center"/>
              <w:ind w:left="1413"/>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4000" w:type="dxa"/>
            <w:vAlign w:val="bottom"/>
            <w:gridSpan w:val="3"/>
          </w:tcPr>
          <w:p>
            <w:pPr>
              <w:jc w:val="center"/>
              <w:ind w:right="643"/>
              <w:spacing w:after="0"/>
              <w:rPr>
                <w:sz w:val="20"/>
                <w:szCs w:val="20"/>
                <w:color w:val="auto"/>
              </w:rPr>
            </w:pPr>
            <w:r>
              <w:rPr>
                <w:rFonts w:ascii="Arial" w:cs="Arial" w:eastAsia="Arial" w:hAnsi="Arial"/>
                <w:sz w:val="13"/>
                <w:szCs w:val="13"/>
                <w:b w:val="1"/>
                <w:bCs w:val="1"/>
                <w:color w:val="auto"/>
                <w:w w:val="88"/>
              </w:rPr>
              <w:t>(State or other jurisdiction</w:t>
            </w:r>
          </w:p>
        </w:tc>
        <w:tc>
          <w:tcPr>
            <w:tcW w:w="960" w:type="dxa"/>
            <w:vAlign w:val="bottom"/>
          </w:tcPr>
          <w:p>
            <w:pPr>
              <w:spacing w:after="0"/>
              <w:rPr>
                <w:sz w:val="14"/>
                <w:szCs w:val="14"/>
                <w:color w:val="auto"/>
              </w:rPr>
            </w:pPr>
          </w:p>
        </w:tc>
        <w:tc>
          <w:tcPr>
            <w:tcW w:w="172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84"/>
              </w:rPr>
              <w:t>(Commission</w:t>
            </w:r>
          </w:p>
        </w:tc>
        <w:tc>
          <w:tcPr>
            <w:tcW w:w="600" w:type="dxa"/>
            <w:vAlign w:val="bottom"/>
          </w:tcPr>
          <w:p>
            <w:pPr>
              <w:spacing w:after="0"/>
              <w:rPr>
                <w:sz w:val="14"/>
                <w:szCs w:val="14"/>
                <w:color w:val="auto"/>
              </w:rPr>
            </w:pPr>
          </w:p>
        </w:tc>
        <w:tc>
          <w:tcPr>
            <w:tcW w:w="3220" w:type="dxa"/>
            <w:vAlign w:val="bottom"/>
          </w:tcPr>
          <w:p>
            <w:pPr>
              <w:jc w:val="center"/>
              <w:ind w:left="850"/>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000" w:type="dxa"/>
            <w:vAlign w:val="bottom"/>
            <w:gridSpan w:val="3"/>
          </w:tcPr>
          <w:p>
            <w:pPr>
              <w:jc w:val="center"/>
              <w:ind w:right="643"/>
              <w:spacing w:after="0"/>
              <w:rPr>
                <w:sz w:val="20"/>
                <w:szCs w:val="20"/>
                <w:color w:val="auto"/>
              </w:rPr>
            </w:pPr>
            <w:r>
              <w:rPr>
                <w:rFonts w:ascii="Arial" w:cs="Arial" w:eastAsia="Arial" w:hAnsi="Arial"/>
                <w:sz w:val="13"/>
                <w:szCs w:val="13"/>
                <w:b w:val="1"/>
                <w:bCs w:val="1"/>
                <w:color w:val="auto"/>
                <w:w w:val="88"/>
              </w:rPr>
              <w:t>of incorporation)</w:t>
            </w:r>
          </w:p>
        </w:tc>
        <w:tc>
          <w:tcPr>
            <w:tcW w:w="960" w:type="dxa"/>
            <w:vAlign w:val="bottom"/>
          </w:tcPr>
          <w:p>
            <w:pPr>
              <w:spacing w:after="0"/>
              <w:rPr>
                <w:sz w:val="14"/>
                <w:szCs w:val="14"/>
                <w:color w:val="auto"/>
              </w:rPr>
            </w:pPr>
          </w:p>
        </w:tc>
        <w:tc>
          <w:tcPr>
            <w:tcW w:w="172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0"/>
              </w:rPr>
              <w:t>File Number)</w:t>
            </w:r>
          </w:p>
        </w:tc>
        <w:tc>
          <w:tcPr>
            <w:tcW w:w="600" w:type="dxa"/>
            <w:vAlign w:val="bottom"/>
          </w:tcPr>
          <w:p>
            <w:pPr>
              <w:spacing w:after="0"/>
              <w:rPr>
                <w:sz w:val="14"/>
                <w:szCs w:val="14"/>
                <w:color w:val="auto"/>
              </w:rPr>
            </w:pPr>
          </w:p>
        </w:tc>
        <w:tc>
          <w:tcPr>
            <w:tcW w:w="3220" w:type="dxa"/>
            <w:vAlign w:val="bottom"/>
          </w:tcPr>
          <w:p>
            <w:pPr>
              <w:jc w:val="center"/>
              <w:ind w:left="830"/>
              <w:spacing w:after="0"/>
              <w:rPr>
                <w:sz w:val="20"/>
                <w:szCs w:val="20"/>
                <w:color w:val="auto"/>
              </w:rPr>
            </w:pPr>
            <w:r>
              <w:rPr>
                <w:rFonts w:ascii="Arial" w:cs="Arial" w:eastAsia="Arial" w:hAnsi="Arial"/>
                <w:sz w:val="13"/>
                <w:szCs w:val="13"/>
                <w:b w:val="1"/>
                <w:bCs w:val="1"/>
                <w:color w:val="auto"/>
                <w:w w:val="91"/>
              </w:rPr>
              <w:t>Identification No.)</w:t>
            </w:r>
          </w:p>
        </w:tc>
      </w:tr>
      <w:tr>
        <w:trPr>
          <w:trHeight w:val="597"/>
        </w:trPr>
        <w:tc>
          <w:tcPr>
            <w:tcW w:w="1500" w:type="dxa"/>
            <w:vAlign w:val="bottom"/>
          </w:tcPr>
          <w:p>
            <w:pPr>
              <w:spacing w:after="0"/>
              <w:rPr>
                <w:sz w:val="24"/>
                <w:szCs w:val="24"/>
                <w:color w:val="auto"/>
              </w:rPr>
            </w:pPr>
          </w:p>
        </w:tc>
        <w:tc>
          <w:tcPr>
            <w:tcW w:w="250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1626 East Jefferson Street,</w:t>
            </w: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Rockville,</w:t>
            </w:r>
          </w:p>
        </w:tc>
        <w:tc>
          <w:tcPr>
            <w:tcW w:w="1720" w:type="dxa"/>
            <w:vAlign w:val="bottom"/>
            <w:gridSpan w:val="2"/>
          </w:tcPr>
          <w:p>
            <w:pPr>
              <w:ind w:left="260"/>
              <w:spacing w:after="0"/>
              <w:rPr>
                <w:sz w:val="20"/>
                <w:szCs w:val="20"/>
                <w:color w:val="auto"/>
              </w:rPr>
            </w:pPr>
            <w:r>
              <w:rPr>
                <w:rFonts w:ascii="Arial" w:cs="Arial" w:eastAsia="Arial" w:hAnsi="Arial"/>
                <w:sz w:val="18"/>
                <w:szCs w:val="18"/>
                <w:b w:val="1"/>
                <w:bCs w:val="1"/>
                <w:color w:val="auto"/>
              </w:rPr>
              <w:t>Maryland</w:t>
            </w:r>
          </w:p>
        </w:tc>
        <w:tc>
          <w:tcPr>
            <w:tcW w:w="3820" w:type="dxa"/>
            <w:vAlign w:val="bottom"/>
            <w:gridSpan w:val="2"/>
          </w:tcPr>
          <w:p>
            <w:pPr>
              <w:jc w:val="right"/>
              <w:ind w:right="2070"/>
              <w:spacing w:after="0"/>
              <w:rPr>
                <w:sz w:val="20"/>
                <w:szCs w:val="20"/>
                <w:color w:val="auto"/>
              </w:rPr>
            </w:pPr>
            <w:r>
              <w:rPr>
                <w:rFonts w:ascii="Arial" w:cs="Arial" w:eastAsia="Arial" w:hAnsi="Arial"/>
                <w:sz w:val="18"/>
                <w:szCs w:val="18"/>
                <w:b w:val="1"/>
                <w:bCs w:val="1"/>
                <w:color w:val="auto"/>
              </w:rPr>
              <w:t>20852-4041</w:t>
            </w:r>
          </w:p>
        </w:tc>
      </w:tr>
      <w:tr>
        <w:trPr>
          <w:trHeight w:val="281"/>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60" w:type="dxa"/>
            <w:vAlign w:val="bottom"/>
            <w:gridSpan w:val="2"/>
          </w:tcPr>
          <w:p>
            <w:pPr>
              <w:ind w:left="4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20" w:type="dxa"/>
            <w:vAlign w:val="bottom"/>
          </w:tcPr>
          <w:p>
            <w:pPr>
              <w:jc w:val="center"/>
              <w:ind w:right="1870"/>
              <w:spacing w:after="0"/>
              <w:rPr>
                <w:sz w:val="20"/>
                <w:szCs w:val="20"/>
                <w:color w:val="auto"/>
              </w:rPr>
            </w:pPr>
            <w:r>
              <w:rPr>
                <w:rFonts w:ascii="Arial" w:cs="Arial" w:eastAsia="Arial" w:hAnsi="Arial"/>
                <w:sz w:val="13"/>
                <w:szCs w:val="13"/>
                <w:b w:val="1"/>
                <w:bCs w:val="1"/>
                <w:color w:val="auto"/>
                <w:w w:val="93"/>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700" w:type="dxa"/>
            <w:vAlign w:val="bottom"/>
            <w:gridSpan w:val="6"/>
          </w:tcPr>
          <w:p>
            <w:pPr>
              <w:jc w:val="center"/>
              <w:ind w:right="2210"/>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405"/>
        </w:trPr>
        <w:tc>
          <w:tcPr>
            <w:tcW w:w="1500" w:type="dxa"/>
            <w:vAlign w:val="bottom"/>
          </w:tcPr>
          <w:p>
            <w:pPr>
              <w:spacing w:after="0"/>
              <w:rPr>
                <w:sz w:val="24"/>
                <w:szCs w:val="24"/>
                <w:color w:val="auto"/>
              </w:rPr>
            </w:pPr>
          </w:p>
        </w:tc>
        <w:tc>
          <w:tcPr>
            <w:tcW w:w="2500" w:type="dxa"/>
            <w:vAlign w:val="bottom"/>
            <w:gridSpan w:val="2"/>
          </w:tcPr>
          <w:p>
            <w:pPr>
              <w:jc w:val="center"/>
              <w:ind w:right="1123"/>
              <w:spacing w:after="0"/>
              <w:rPr>
                <w:sz w:val="20"/>
                <w:szCs w:val="20"/>
                <w:color w:val="auto"/>
              </w:rPr>
            </w:pPr>
            <w:r>
              <w:rPr>
                <w:rFonts w:ascii="Arial" w:cs="Arial" w:eastAsia="Arial" w:hAnsi="Arial"/>
                <w:sz w:val="16"/>
                <w:szCs w:val="16"/>
                <w:b w:val="1"/>
                <w:bCs w:val="1"/>
                <w:color w:val="auto"/>
                <w:w w:val="91"/>
              </w:rPr>
              <w:t>Title of Each Class</w:t>
            </w:r>
          </w:p>
        </w:tc>
        <w:tc>
          <w:tcPr>
            <w:tcW w:w="960" w:type="dxa"/>
            <w:vAlign w:val="bottom"/>
          </w:tcPr>
          <w:p>
            <w:pPr>
              <w:spacing w:after="0"/>
              <w:rPr>
                <w:sz w:val="24"/>
                <w:szCs w:val="24"/>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Trading Symbol</w:t>
            </w:r>
          </w:p>
        </w:tc>
        <w:tc>
          <w:tcPr>
            <w:tcW w:w="3820" w:type="dxa"/>
            <w:vAlign w:val="bottom"/>
            <w:gridSpan w:val="2"/>
          </w:tcPr>
          <w:p>
            <w:pPr>
              <w:jc w:val="center"/>
              <w:ind w:left="513"/>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91"/>
        </w:trPr>
        <w:tc>
          <w:tcPr>
            <w:tcW w:w="4000" w:type="dxa"/>
            <w:vAlign w:val="bottom"/>
            <w:gridSpan w:val="3"/>
          </w:tcPr>
          <w:p>
            <w:pPr>
              <w:jc w:val="center"/>
              <w:ind w:left="223"/>
              <w:spacing w:after="0"/>
              <w:rPr>
                <w:sz w:val="20"/>
                <w:szCs w:val="20"/>
                <w:color w:val="auto"/>
              </w:rPr>
            </w:pPr>
            <w:r>
              <w:rPr>
                <w:rFonts w:ascii="Arial" w:cs="Arial" w:eastAsia="Arial" w:hAnsi="Arial"/>
                <w:sz w:val="16"/>
                <w:szCs w:val="16"/>
                <w:color w:val="auto"/>
                <w:w w:val="92"/>
              </w:rPr>
              <w:t>Common Shares of Beneficial Interest</w:t>
            </w:r>
          </w:p>
        </w:tc>
        <w:tc>
          <w:tcPr>
            <w:tcW w:w="960" w:type="dxa"/>
            <w:vAlign w:val="bottom"/>
          </w:tcPr>
          <w:p>
            <w:pPr>
              <w:spacing w:after="0"/>
              <w:rPr>
                <w:sz w:val="24"/>
                <w:szCs w:val="24"/>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FRT</w:t>
            </w:r>
          </w:p>
        </w:tc>
        <w:tc>
          <w:tcPr>
            <w:tcW w:w="60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47"/>
        </w:trPr>
        <w:tc>
          <w:tcPr>
            <w:tcW w:w="4960" w:type="dxa"/>
            <w:vAlign w:val="bottom"/>
            <w:gridSpan w:val="4"/>
          </w:tcPr>
          <w:p>
            <w:pPr>
              <w:jc w:val="center"/>
              <w:ind w:right="570"/>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06"/>
        </w:trPr>
        <w:tc>
          <w:tcPr>
            <w:tcW w:w="1500" w:type="dxa"/>
            <w:vAlign w:val="bottom"/>
          </w:tcPr>
          <w:p>
            <w:pPr>
              <w:spacing w:after="0"/>
              <w:rPr>
                <w:sz w:val="17"/>
                <w:szCs w:val="17"/>
                <w:color w:val="auto"/>
              </w:rPr>
            </w:pPr>
          </w:p>
        </w:tc>
        <w:tc>
          <w:tcPr>
            <w:tcW w:w="2500" w:type="dxa"/>
            <w:vAlign w:val="bottom"/>
            <w:gridSpan w:val="2"/>
          </w:tcPr>
          <w:p>
            <w:pPr>
              <w:jc w:val="center"/>
              <w:ind w:right="1123"/>
              <w:spacing w:after="0"/>
              <w:rPr>
                <w:sz w:val="20"/>
                <w:szCs w:val="20"/>
                <w:color w:val="auto"/>
              </w:rPr>
            </w:pPr>
            <w:r>
              <w:rPr>
                <w:rFonts w:ascii="Arial" w:cs="Arial" w:eastAsia="Arial" w:hAnsi="Arial"/>
                <w:sz w:val="16"/>
                <w:szCs w:val="16"/>
                <w:color w:val="auto"/>
                <w:w w:val="92"/>
              </w:rPr>
              <w:t>Rights</w:t>
            </w: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52"/>
        </w:trPr>
        <w:tc>
          <w:tcPr>
            <w:tcW w:w="4000" w:type="dxa"/>
            <w:vAlign w:val="bottom"/>
            <w:gridSpan w:val="3"/>
          </w:tcPr>
          <w:p>
            <w:pPr>
              <w:jc w:val="center"/>
              <w:ind w:left="223"/>
              <w:spacing w:after="0"/>
              <w:rPr>
                <w:sz w:val="20"/>
                <w:szCs w:val="20"/>
                <w:color w:val="auto"/>
              </w:rPr>
            </w:pPr>
            <w:r>
              <w:rPr>
                <w:rFonts w:ascii="Arial" w:cs="Arial" w:eastAsia="Arial" w:hAnsi="Arial"/>
                <w:sz w:val="16"/>
                <w:szCs w:val="16"/>
                <w:color w:val="auto"/>
                <w:w w:val="90"/>
              </w:rPr>
              <w:t>Depositary Shares, each representing 1/1000 of a share</w:t>
            </w:r>
          </w:p>
        </w:tc>
        <w:tc>
          <w:tcPr>
            <w:tcW w:w="960" w:type="dxa"/>
            <w:vAlign w:val="bottom"/>
          </w:tcPr>
          <w:p>
            <w:pPr>
              <w:spacing w:after="0"/>
              <w:rPr>
                <w:sz w:val="24"/>
                <w:szCs w:val="24"/>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FRT-C</w:t>
            </w:r>
          </w:p>
        </w:tc>
        <w:tc>
          <w:tcPr>
            <w:tcW w:w="60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44" w:lineRule="exact"/>
        <w:rPr>
          <w:sz w:val="24"/>
          <w:szCs w:val="24"/>
          <w:color w:val="auto"/>
        </w:rPr>
      </w:pPr>
    </w:p>
    <w:p>
      <w:pPr>
        <w:jc w:val="center"/>
        <w:ind w:right="664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64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500" w:hanging="465"/>
        <w:spacing w:after="0" w:line="277"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1340"/>
          </w:cols>
          <w:pgMar w:left="240" w:top="652" w:right="31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On February 10, 2020, Federal Realty Investment Trust issued supplemental data pertaining to its operations, as well as a press release, to report its financial results for the quarter ended December 31, 2019.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2019 (including press release dated February 10, 2020)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40"/>
        <w:spacing w:after="0"/>
        <w:tabs>
          <w:tab w:leader="none" w:pos="820" w:val="left"/>
          <w:tab w:leader="none" w:pos="47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10, 2020</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58"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580" w:type="dxa"/>
            <w:vAlign w:val="bottom"/>
          </w:tcPr>
          <w:p>
            <w:pPr>
              <w:ind w:left="3080"/>
              <w:spacing w:after="0"/>
              <w:rPr>
                <w:sz w:val="20"/>
                <w:szCs w:val="20"/>
                <w:color w:val="auto"/>
              </w:rPr>
            </w:pPr>
            <w:r>
              <w:rPr>
                <w:rFonts w:ascii="Arial" w:cs="Arial" w:eastAsia="Arial" w:hAnsi="Arial"/>
                <w:sz w:val="22"/>
                <w:szCs w:val="22"/>
                <w:color w:val="auto"/>
              </w:rPr>
              <w:t>EXHIBIT INDEX</w:t>
            </w:r>
          </w:p>
        </w:tc>
      </w:tr>
      <w:tr>
        <w:trPr>
          <w:trHeight w:val="800"/>
        </w:trPr>
        <w:tc>
          <w:tcPr>
            <w:tcW w:w="4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196"/>
        </w:trPr>
        <w:tc>
          <w:tcPr>
            <w:tcW w:w="1720" w:type="dxa"/>
            <w:vAlign w:val="bottom"/>
            <w:gridSpan w:val="3"/>
          </w:tcPr>
          <w:p>
            <w:pPr>
              <w:ind w:left="4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20" w:type="dxa"/>
            <w:vAlign w:val="bottom"/>
          </w:tcPr>
          <w:p>
            <w:pPr>
              <w:spacing w:after="0"/>
              <w:rPr>
                <w:sz w:val="17"/>
                <w:szCs w:val="17"/>
                <w:color w:val="auto"/>
              </w:rPr>
            </w:pPr>
          </w:p>
        </w:tc>
        <w:tc>
          <w:tcPr>
            <w:tcW w:w="9580" w:type="dxa"/>
            <w:vAlign w:val="bottom"/>
          </w:tcPr>
          <w:p>
            <w:pPr>
              <w:ind w:left="40"/>
              <w:spacing w:after="0" w:line="196" w:lineRule="exact"/>
              <w:rPr>
                <w:sz w:val="20"/>
                <w:szCs w:val="20"/>
                <w:color w:val="auto"/>
              </w:rPr>
            </w:pPr>
            <w:r>
              <w:rPr>
                <w:rFonts w:ascii="Arial" w:cs="Arial" w:eastAsia="Arial" w:hAnsi="Arial"/>
                <w:sz w:val="18"/>
                <w:szCs w:val="18"/>
                <w:color w:val="auto"/>
              </w:rPr>
              <w:t>Supplemental Information at December 31, 2019</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r>
      <w:tr>
        <w:trPr>
          <w:trHeight w:val="412"/>
        </w:trPr>
        <w:tc>
          <w:tcPr>
            <w:tcW w:w="340" w:type="dxa"/>
            <w:vAlign w:val="bottom"/>
            <w:gridSpan w:val="2"/>
          </w:tcPr>
          <w:p>
            <w:pPr>
              <w:ind w:left="40"/>
              <w:spacing w:after="0"/>
              <w:rPr>
                <w:sz w:val="20"/>
                <w:szCs w:val="20"/>
                <w:color w:val="auto"/>
              </w:rPr>
            </w:pPr>
            <w:r>
              <w:rPr>
                <w:rFonts w:ascii="Arial" w:cs="Arial" w:eastAsia="Arial" w:hAnsi="Arial"/>
                <w:sz w:val="18"/>
                <w:szCs w:val="18"/>
                <w:color w:val="auto"/>
                <w:w w:val="93"/>
              </w:rPr>
              <w:t>104</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Cover Page Interactive Data File (the Cover Page Interactive Data File is embedded within the Inline XBRL document</w:t>
            </w:r>
          </w:p>
        </w:tc>
      </w:tr>
    </w:tbl>
    <w:p>
      <w:pPr>
        <w:sectPr>
          <w:pgSz w:w="11900" w:h="16838" w:orient="portrait"/>
          <w:cols w:equalWidth="0" w:num="1">
            <w:col w:w="11420"/>
          </w:cols>
          <w:pgMar w:left="240" w:top="5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Fourth Quarter and Full Year 2019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8</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Other Supplemental Information</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4">
              <w:r>
                <w:rPr>
                  <w:rFonts w:ascii="Arial" w:cs="Arial" w:eastAsia="Arial" w:hAnsi="Arial"/>
                  <w:sz w:val="18"/>
                  <w:szCs w:val="18"/>
                  <w:color w:val="0000FF"/>
                  <w:w w:val="79"/>
                </w:rPr>
                <w:t>11</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5">
              <w:r>
                <w:rPr>
                  <w:rFonts w:ascii="Arial" w:cs="Arial" w:eastAsia="Arial" w:hAnsi="Arial"/>
                  <w:sz w:val="18"/>
                  <w:szCs w:val="18"/>
                  <w:color w:val="0000FF"/>
                  <w:w w:val="79"/>
                </w:rPr>
                <w:t>12</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Comparable Property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13</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6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720" w:type="dxa"/>
            <w:vAlign w:val="bottom"/>
          </w:tcPr>
          <w:p>
            <w:pPr>
              <w:ind w:left="1100"/>
              <w:spacing w:after="0"/>
              <w:rPr>
                <w:sz w:val="20"/>
                <w:szCs w:val="20"/>
                <w:color w:val="auto"/>
              </w:rPr>
            </w:pPr>
            <w:r>
              <w:rPr>
                <w:rFonts w:ascii="Arial" w:cs="Arial" w:eastAsia="Arial" w:hAnsi="Arial"/>
                <w:sz w:val="18"/>
                <w:szCs w:val="18"/>
                <w:color w:val="auto"/>
              </w:rPr>
              <w:t>Summary of Outstanding Debt and Finance Lease Liabilities</w:t>
            </w:r>
          </w:p>
        </w:tc>
        <w:tc>
          <w:tcPr>
            <w:tcW w:w="200" w:type="dxa"/>
            <w:vAlign w:val="bottom"/>
            <w:gridSpan w:val="2"/>
          </w:tcPr>
          <w:p>
            <w:pPr>
              <w:jc w:val="right"/>
              <w:ind w:right="20"/>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16</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17</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Assembly Row, Pike &amp; Rose, and Santana Row</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18</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Significant Property Acquisitions, Dispositions, and Other Transactions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20</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21</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26</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28</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4">
              <w:r>
                <w:rPr>
                  <w:rFonts w:ascii="Arial" w:cs="Arial" w:eastAsia="Arial" w:hAnsi="Arial"/>
                  <w:sz w:val="18"/>
                  <w:szCs w:val="18"/>
                  <w:color w:val="0000FF"/>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31</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15" w:right="121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15"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2020,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9"/>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660" w:type="dxa"/>
            <w:vAlign w:val="bottom"/>
          </w:tcPr>
          <w:p>
            <w:pPr>
              <w:spacing w:after="0"/>
              <w:rPr>
                <w:sz w:val="24"/>
                <w:szCs w:val="24"/>
                <w:color w:val="auto"/>
              </w:rPr>
            </w:pPr>
          </w:p>
        </w:tc>
      </w:tr>
      <w:tr>
        <w:trPr>
          <w:trHeight w:val="486"/>
        </w:trPr>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66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Leah Andress Brady</w:t>
            </w:r>
          </w:p>
        </w:tc>
        <w:tc>
          <w:tcPr>
            <w:tcW w:w="566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Investor Relations Senior Manager</w:t>
            </w:r>
          </w:p>
        </w:tc>
        <w:tc>
          <w:tcPr>
            <w:tcW w:w="5660" w:type="dxa"/>
            <w:vAlign w:val="bottom"/>
          </w:tcPr>
          <w:p>
            <w:pPr>
              <w:jc w:val="right"/>
              <w:spacing w:after="0"/>
              <w:rPr>
                <w:sz w:val="20"/>
                <w:szCs w:val="20"/>
                <w:color w:val="auto"/>
              </w:rPr>
            </w:pPr>
            <w:r>
              <w:rPr>
                <w:rFonts w:ascii="Arial" w:cs="Arial" w:eastAsia="Arial" w:hAnsi="Arial"/>
                <w:sz w:val="18"/>
                <w:szCs w:val="18"/>
                <w:color w:val="auto"/>
              </w:rPr>
              <w:t>Corporate Communications Manager</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66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lbrady@federalrealty.com</w:t>
            </w:r>
          </w:p>
        </w:tc>
        <w:tc>
          <w:tcPr>
            <w:tcW w:w="5660" w:type="dxa"/>
            <w:vAlign w:val="bottom"/>
          </w:tcPr>
          <w:p>
            <w:pPr>
              <w:jc w:val="right"/>
              <w:spacing w:after="0"/>
              <w:rPr>
                <w:sz w:val="20"/>
                <w:szCs w:val="20"/>
                <w:color w:val="auto"/>
              </w:rPr>
            </w:pPr>
            <w:r>
              <w:rPr>
                <w:rFonts w:ascii="Arial" w:cs="Arial" w:eastAsia="Arial" w:hAnsi="Arial"/>
                <w:sz w:val="18"/>
                <w:szCs w:val="18"/>
                <w:color w:val="auto"/>
              </w:rPr>
              <w:t>bpomar@federalrealty.com</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2687320</wp:posOffset>
            </wp:positionH>
            <wp:positionV relativeFrom="page">
              <wp:posOffset>226060</wp:posOffset>
            </wp:positionV>
            <wp:extent cx="2195195"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95195" cy="591820"/>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Operating Results for the Year and Quarter Ended</w:t>
      </w:r>
    </w:p>
    <w:p>
      <w:pPr>
        <w:spacing w:after="0" w:line="63"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December 31, 2019</w:t>
      </w:r>
    </w:p>
    <w:p>
      <w:pPr>
        <w:spacing w:after="0" w:line="220"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ROCKVILLE, Md. (February 10, 2020) - Federal Realty Investment Trust (NYSE:FRT) today reported operating results for its year and quarter ended December 31, 2019. For the year ended December 31, 2019 and 2018, net income available for common shareholders was $4.61 per diluted share and $3.18 per diluted share, respectively. For the three months ended December 31, 2019 and 2018, net income available for common shareholders was $1.92 per diluted share and $0.71 per diluted share,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Key Highlights of the full year and quarter include:</w:t>
      </w:r>
    </w:p>
    <w:p>
      <w:pPr>
        <w:spacing w:after="0" w:line="200" w:lineRule="exact"/>
        <w:rPr>
          <w:sz w:val="20"/>
          <w:szCs w:val="20"/>
          <w:color w:val="auto"/>
        </w:rPr>
      </w:pPr>
    </w:p>
    <w:p>
      <w:pPr>
        <w:spacing w:after="0" w:line="214" w:lineRule="exact"/>
        <w:rPr>
          <w:sz w:val="20"/>
          <w:szCs w:val="20"/>
          <w:color w:val="auto"/>
        </w:rPr>
      </w:pPr>
    </w:p>
    <w:p>
      <w:pPr>
        <w:jc w:val="both"/>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funds from operations available for common shareholders (FFO) per diluted share of $6.17 for the year ($6.33 excluding the charge related to the buyout of the Kmart lease at Assembly) compared to $6.23 in 2018. For the fourth quarter, generated FFO per diluted share of $1.58 compared to $1.57 for the fourth quarter 2018.</w:t>
      </w:r>
    </w:p>
    <w:p>
      <w:pPr>
        <w:ind w:left="660" w:right="2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operating income (POI) growth of 2.9% for the year ended 2019. For the fourth quarter, comparable property POI growth was 2.4%.</w:t>
      </w:r>
    </w:p>
    <w:p>
      <w:pPr>
        <w:ind w:left="660" w:right="22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461,952 square feet of comparable space in the fourth quarter at an average rent of $37.78 psf and achieved cash basis rollover growth on those comparable spaces of 7%.</w:t>
      </w:r>
    </w:p>
    <w:p>
      <w:pPr>
        <w:ind w:left="660" w:right="38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Sold three properties and two land parcels for $304 million in 2019 including the sale under threat of condemnation of an 11.7-acre portion of San Antonio Center, located in Mountain View, California, for $155 million in the fourth quarter.</w:t>
      </w:r>
    </w:p>
    <w:p>
      <w:pPr>
        <w:ind w:left="660" w:right="38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Purchased three properties in 2019 totaling 380,000 square feet and 123 apartment units for $295 million. Purchased one property subsequent to quarter end totaling 49,000 square feet for $22 million.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Introduced 2020 FFO per diluted share guidance range of $6.40 to $6.58.</w:t>
      </w:r>
    </w:p>
    <w:p>
      <w:pPr>
        <w:spacing w:after="0" w:line="200" w:lineRule="exact"/>
        <w:rPr>
          <w:sz w:val="20"/>
          <w:szCs w:val="20"/>
          <w:color w:val="auto"/>
        </w:rPr>
      </w:pPr>
    </w:p>
    <w:p>
      <w:pPr>
        <w:spacing w:after="0" w:line="349"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“With over a billion dollars invested in 2019 acquisitions and construction currently in progress at our established properties, we’re committed to maintaining and growing our leadership position in some of the best retail-centric real</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27" w:right="239" w:bottom="1440" w:gutter="0" w:footer="0" w:header="0"/>
        </w:sectPr>
      </w:pPr>
    </w:p>
    <w:bookmarkStart w:id="6" w:name="page7"/>
    <w:bookmarkEnd w:id="6"/>
    <w:p>
      <w:pPr>
        <w:spacing w:after="0" w:line="3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00785"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51790"/>
                    </a:xfrm>
                    <a:prstGeom prst="rect">
                      <a:avLst/>
                    </a:prstGeom>
                    <a:noFill/>
                  </pic:spPr>
                </pic:pic>
              </a:graphicData>
            </a:graphic>
          </wp:anchor>
        </w:drawing>
        <w:t>estate in the country,” said Donald C. Wood, Federal Realty’s President and Chief Executive Officer. “To be able to make that level of investment while also growing current earnings is a testament to the quality of our real estate and the diversity of our income streams.”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220" w:lineRule="exact"/>
        <w:rPr>
          <w:sz w:val="20"/>
          <w:szCs w:val="20"/>
          <w:color w:val="auto"/>
        </w:rPr>
      </w:pPr>
    </w:p>
    <w:p>
      <w:pPr>
        <w:jc w:val="both"/>
        <w:ind w:right="100"/>
        <w:spacing w:after="0" w:line="364" w:lineRule="auto"/>
        <w:rPr>
          <w:sz w:val="20"/>
          <w:szCs w:val="20"/>
          <w:color w:val="auto"/>
        </w:rPr>
      </w:pPr>
      <w:r>
        <w:rPr>
          <w:rFonts w:ascii="Arial" w:cs="Arial" w:eastAsia="Arial" w:hAnsi="Arial"/>
          <w:sz w:val="18"/>
          <w:szCs w:val="18"/>
          <w:color w:val="auto"/>
        </w:rPr>
        <w:t>For the full year 2019, Federal Realty reported net income available for common shareholders of $345.8 million and earnings per diluted share of $4.61. This compares to net income available for common shareholders of $233.9 million and earnings per diluted share of $3.18 for the full year 2018. Net income available for common shareholders was $145.3 million and earnings per diluted share was $1.92 for the fourth quarter 2019 versus $52.5 million and $0.71, respectively, for the fourth quarter 2018.</w:t>
      </w:r>
    </w:p>
    <w:p>
      <w:pPr>
        <w:spacing w:after="0" w:line="122"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For the full year 2019, Federal Realty generated funds from operations available for common shareholders (FFO) of $465.8 million, or $6.17 per diluted share ($6.33 excluding the $11.9 million charge related to the buyout of the Kmart lease at Assembly). This compares to FFO of $461.8 million, or $6.23 per diluted share, for the full year 2018. For the fourth quarter 2019, FFO was $120.0 million, or $1.58 per diluted share, compared to $117.2 million, or $1.57 per diluted share for the fourth quarter 2018.</w:t>
      </w:r>
    </w:p>
    <w:p>
      <w:pPr>
        <w:spacing w:after="0" w:line="122"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26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The overall portfolio was 94.2% leased as of December 31, 2019, and the comparable portfolio was 94.9% leased. Comparable property POI increased 2.9% for the year 2019 and 2.4% in the fourth quarter. Comparable property POI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Additionally, the charge related to the buyout of the Kmart lease at Assembly is excluded.</w:t>
      </w:r>
    </w:p>
    <w:p>
      <w:pPr>
        <w:spacing w:after="0" w:line="123"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For the year 2019, Federal Realty signed 409 leases for 1.7 million square feet of retail space. On a comparable space basis (i.e., spaces for which there was a former tenant), Federal Realty leased 1.6 million square feet at an average rent of $40.48 per square foot compared to the average contractual rent of $37.63 per square foot for the last year of the prior leases, representing a cash basis rollover growth on those comparable spaces of 8%.</w:t>
      </w:r>
    </w:p>
    <w:p>
      <w:pPr>
        <w:spacing w:after="0" w:line="122"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During fourth quarter 2019, Federal Realty signed 112 leases for 494,768 square feet of retail space. On a comparable space basis (i.e., spaces for which there was a former tenant), Federal Realty leased 461,952 square feet at an average rent of $37.78 per square foot compared to the average contractual rent of $35.41 per square foot for the last year of the prior leases, representing a cash basis rollover growth on those comparable spaces of 7%.</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6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00785"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51790"/>
                    </a:xfrm>
                    <a:prstGeom prst="rect">
                      <a:avLst/>
                    </a:prstGeom>
                    <a:noFill/>
                  </pic:spPr>
                </pic:pic>
              </a:graphicData>
            </a:graphic>
          </wp:anchor>
        </w:drawing>
        <w:t>Regular Quarterly Dividends</w:t>
      </w:r>
    </w:p>
    <w:p>
      <w:pPr>
        <w:spacing w:after="0" w:line="261"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Realty’s Board of Trustees declared a regular quarterly cash dividend of $1.05 per common share, resulting in an indicated annual rate of $4.20 per common share. The regular common dividend will be payable on April 15, 2020 to common shareholders of record as of March 16, 2020.</w:t>
      </w:r>
    </w:p>
    <w:p>
      <w:pPr>
        <w:spacing w:after="0" w:line="123"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April 15, 2020 to shareholders of record as of April 1, 2020.</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26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December 11, 2019 - Federal Realty announced the sale under threat of condemnation of an 11.7-acre portion of San Antonio Center, located in Mountain View, California, for $155 million. The land sold under the condemnation threat is needed for the eventual construction of a school by the Los Altos School District. Tenants on the sold portion of the property include Kohl’s, 24 Hour Fitness, Jo-Ann, and various small shop tenants. Tenant condemnation awards, yet to be finalized, will be paid out of Federal Realty’s sale proceeds. Federal Realty purchased San Antonio Center, which totals 33 acres, in 2015 for $62.2 million.</w:t>
      </w:r>
    </w:p>
    <w:p>
      <w:pPr>
        <w:spacing w:after="0" w:line="123"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November 15, 2019 - Federal Realty acquired Georgetowne Shopping Center, a 147,000 square foot grocery anchored neighborhood shopping center with surface parking on 9 acres in Brooklyn, New York, for $83.7 million cash. The Property is located in Brooklyn’s Georgetown neighborhood.</w:t>
      </w:r>
    </w:p>
    <w:p>
      <w:pPr>
        <w:spacing w:after="0" w:line="123" w:lineRule="exact"/>
        <w:rPr>
          <w:sz w:val="20"/>
          <w:szCs w:val="20"/>
          <w:color w:val="auto"/>
        </w:rPr>
      </w:pPr>
    </w:p>
    <w:p>
      <w:pPr>
        <w:jc w:val="both"/>
        <w:spacing w:after="0" w:line="344" w:lineRule="auto"/>
        <w:rPr>
          <w:sz w:val="20"/>
          <w:szCs w:val="20"/>
          <w:color w:val="auto"/>
        </w:rPr>
      </w:pPr>
      <w:r>
        <w:rPr>
          <w:rFonts w:ascii="Arial" w:cs="Arial" w:eastAsia="Arial" w:hAnsi="Arial"/>
          <w:sz w:val="18"/>
          <w:szCs w:val="18"/>
          <w:color w:val="auto"/>
        </w:rPr>
        <w:t>Third &amp; Fourth Quarter 2019 - Federal Realty acquired 37 mixed-use buildings in Hoboken, New Jersey totaling 158,000 square feet and 123 apartments for $189.2 million. The properties are located along historic Washington Street and 14</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Street, two of Hoboken’s main commercial thoroughfares. The Trust acquired the properties through a newly formed joint venture in which the Trust owns 90%. Two additional buildings are expected to close in 2020.</w:t>
      </w:r>
    </w:p>
    <w:p>
      <w:pPr>
        <w:spacing w:after="0" w:line="141" w:lineRule="exact"/>
        <w:rPr>
          <w:sz w:val="20"/>
          <w:szCs w:val="20"/>
          <w:color w:val="auto"/>
        </w:rPr>
      </w:pPr>
    </w:p>
    <w:p>
      <w:pPr>
        <w:ind w:right="240"/>
        <w:spacing w:after="0" w:line="365" w:lineRule="auto"/>
        <w:rPr>
          <w:sz w:val="20"/>
          <w:szCs w:val="20"/>
          <w:color w:val="auto"/>
        </w:rPr>
      </w:pPr>
      <w:r>
        <w:rPr>
          <w:rFonts w:ascii="Arial" w:cs="Arial" w:eastAsia="Arial" w:hAnsi="Arial"/>
          <w:sz w:val="18"/>
          <w:szCs w:val="18"/>
          <w:color w:val="auto"/>
        </w:rPr>
        <w:t>January 10, 2020 - Federal Realty acquired a 49,000 square foot shopping center adjacent to the Trust’s Fairfax Junction property in Fairfax, Virginia for $22.3 million. Combined, the properties total 124,000 square feet and 11 acres and have over 1,000 feet of frontage along Lee Highway in Fairfax.</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261"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Federal Realty introduced 2020 guidance for FFO per diluted share of $6.40 to $6.58 and 2020 earnings per diluted share guidance of $3.21 to $3.40.</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4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00785"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51790"/>
                    </a:xfrm>
                    <a:prstGeom prst="rect">
                      <a:avLst/>
                    </a:prstGeom>
                    <a:noFill/>
                  </pic:spPr>
                </pic:pic>
              </a:graphicData>
            </a:graphic>
          </wp:anchor>
        </w:drawing>
        <w:t>Conference Call Information</w:t>
      </w:r>
    </w:p>
    <w:p>
      <w:pPr>
        <w:spacing w:after="0" w:line="261" w:lineRule="exact"/>
        <w:rPr>
          <w:sz w:val="20"/>
          <w:szCs w:val="20"/>
          <w:color w:val="auto"/>
        </w:rPr>
      </w:pPr>
    </w:p>
    <w:p>
      <w:pPr>
        <w:ind w:right="120"/>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fourth quarter and year end 2019 earnings conference call, which is scheduled for Tuesday, February 11, 2020 at 9:00AM ET. To participate, please call 877.407.9208 five to ten minutes prior to the call start time and use the passcode 13697618 (required). A replay of the webcast will be available on Federal Realty’s website at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A telephonic replay of the conference call will also be available through February 25, 2020 by dialing 844.512.2921; Passcode: 13697618.</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261" w:lineRule="exact"/>
        <w:rPr>
          <w:sz w:val="20"/>
          <w:szCs w:val="20"/>
          <w:color w:val="auto"/>
        </w:rPr>
      </w:pPr>
    </w:p>
    <w:p>
      <w:pPr>
        <w:jc w:val="both"/>
        <w:ind w:right="40"/>
        <w:spacing w:after="0" w:line="381" w:lineRule="auto"/>
        <w:rPr>
          <w:sz w:val="20"/>
          <w:szCs w:val="20"/>
          <w:color w:val="auto"/>
        </w:rPr>
      </w:pPr>
      <w:r>
        <w:rPr>
          <w:rFonts w:ascii="Arial" w:cs="Arial" w:eastAsia="Arial" w:hAnsi="Arial"/>
          <w:sz w:val="17"/>
          <w:szCs w:val="17"/>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 term, sustainable growth through investing in densely populated, affluent communities where retail demand exceeds supply.</w:t>
      </w:r>
    </w:p>
    <w:p>
      <w:pPr>
        <w:spacing w:after="0" w:line="1" w:lineRule="exact"/>
        <w:rPr>
          <w:sz w:val="20"/>
          <w:szCs w:val="20"/>
          <w:color w:val="auto"/>
        </w:rPr>
      </w:pPr>
    </w:p>
    <w:p>
      <w:pPr>
        <w:ind w:right="120"/>
        <w:spacing w:after="0" w:line="364" w:lineRule="auto"/>
        <w:rPr>
          <w:sz w:val="20"/>
          <w:szCs w:val="20"/>
          <w:color w:val="auto"/>
        </w:rPr>
      </w:pPr>
      <w:r>
        <w:rPr>
          <w:rFonts w:ascii="Arial" w:cs="Arial" w:eastAsia="Arial" w:hAnsi="Arial"/>
          <w:sz w:val="18"/>
          <w:szCs w:val="18"/>
          <w:color w:val="auto"/>
        </w:rPr>
        <w:t>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approximately 3,000 tenants, in 24 million square feet, and over 2,700 residential units.</w:t>
      </w:r>
    </w:p>
    <w:p>
      <w:pPr>
        <w:spacing w:after="0" w:line="122" w:lineRule="exact"/>
        <w:rPr>
          <w:sz w:val="20"/>
          <w:szCs w:val="20"/>
          <w:color w:val="auto"/>
        </w:rPr>
      </w:pPr>
    </w:p>
    <w:p>
      <w:pPr>
        <w:ind w:right="280"/>
        <w:spacing w:after="0" w:line="365" w:lineRule="auto"/>
        <w:rPr>
          <w:sz w:val="20"/>
          <w:szCs w:val="20"/>
          <w:color w:val="auto"/>
        </w:rPr>
      </w:pPr>
      <w:r>
        <w:rPr>
          <w:rFonts w:ascii="Arial" w:cs="Arial" w:eastAsia="Arial" w:hAnsi="Arial"/>
          <w:sz w:val="18"/>
          <w:szCs w:val="18"/>
          <w:color w:val="auto"/>
        </w:rPr>
        <w:t>Federal Realty has increased its quarterly dividends to its shareholders for 52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2020, and include the following:</w:t>
      </w:r>
    </w:p>
    <w:p>
      <w:pPr>
        <w:spacing w:after="0" w:line="125" w:lineRule="exact"/>
        <w:rPr>
          <w:sz w:val="20"/>
          <w:szCs w:val="20"/>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31"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40" w:right="239" w:bottom="1440" w:gutter="0" w:footer="0" w:header="0"/>
        </w:sectPr>
      </w:pPr>
    </w:p>
    <w:bookmarkStart w:id="9" w:name="page10"/>
    <w:bookmarkEnd w:id="9"/>
    <w:p>
      <w:pPr>
        <w:jc w:val="both"/>
        <w:ind w:left="660" w:right="20" w:hanging="328"/>
        <w:spacing w:after="0" w:line="29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6203315</wp:posOffset>
            </wp:positionH>
            <wp:positionV relativeFrom="page">
              <wp:posOffset>88900</wp:posOffset>
            </wp:positionV>
            <wp:extent cx="1200785" cy="35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51790"/>
                    </a:xfrm>
                    <a:prstGeom prst="rect">
                      <a:avLst/>
                    </a:prstGeom>
                    <a:noFill/>
                  </pic:spPr>
                </pic:pic>
              </a:graphicData>
            </a:graphic>
          </wp:anchor>
        </w:drawing>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10, 2020.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27"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6"/>
                <w:szCs w:val="16"/>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238,303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234,511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932,738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912,287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 interest income</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239,149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235,376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935,788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915,436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expenses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47,649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46,507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187,831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173,094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taxes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110,927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114,776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42,754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33,600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239,758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244,245</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148,831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152,038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581,270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565,715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Gain on sale of real estate, net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85,903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116,393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11,915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176,221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84,840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470,911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361,636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 INCOME/(EXPENSE)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(109,623)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(110,154)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partnerships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148,966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56,382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360,542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249,026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147,355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54,507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353,866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241,907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preferred shares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78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145,344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52,496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345,824</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233,865</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280" w:type="dxa"/>
            <w:vAlign w:val="bottom"/>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51"/>
        </w:trPr>
        <w:tc>
          <w:tcPr>
            <w:tcW w:w="52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75,305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73,274</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80" w:type="dxa"/>
            <w:vAlign w:val="bottom"/>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75,305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73,796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74,766</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73,302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5"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4"/>
        </w:trPr>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4"/>
          </w:tcPr>
          <w:p>
            <w:pPr>
              <w:jc w:val="center"/>
              <w:ind w:right="130"/>
              <w:spacing w:after="0"/>
              <w:rPr>
                <w:sz w:val="20"/>
                <w:szCs w:val="20"/>
                <w:color w:val="auto"/>
              </w:rPr>
            </w:pPr>
            <w:r>
              <w:rPr>
                <w:rFonts w:ascii="Arial" w:cs="Arial" w:eastAsia="Arial" w:hAnsi="Arial"/>
                <w:sz w:val="14"/>
                <w:szCs w:val="14"/>
                <w:b w:val="1"/>
                <w:bCs w:val="1"/>
                <w:color w:val="auto"/>
                <w:w w:val="89"/>
              </w:rPr>
              <w:t>(in thousands, except share and</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80" w:type="dxa"/>
            <w:vAlign w:val="bottom"/>
            <w:gridSpan w:val="4"/>
          </w:tcPr>
          <w:p>
            <w:pPr>
              <w:jc w:val="center"/>
              <w:ind w:right="130"/>
              <w:spacing w:after="0"/>
              <w:rPr>
                <w:sz w:val="20"/>
                <w:szCs w:val="20"/>
                <w:color w:val="auto"/>
              </w:rPr>
            </w:pPr>
            <w:r>
              <w:rPr>
                <w:rFonts w:ascii="Arial" w:cs="Arial" w:eastAsia="Arial" w:hAnsi="Arial"/>
                <w:sz w:val="14"/>
                <w:szCs w:val="14"/>
                <w:b w:val="1"/>
                <w:bCs w:val="1"/>
                <w:color w:val="auto"/>
                <w:w w:val="91"/>
              </w:rPr>
              <w:t>per share data)</w:t>
            </w: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$1,676,866 and $1,701,804 of consolidated variable interest entities,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7,535,983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7,307,622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$102,583 and $51,313 of consolidated variable interest entities,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760,420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495,274</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8,298,132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7,819,472</w:t>
            </w: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$296,165 and $292,374 of consolidated variable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(2,215,413)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(2,059,143)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6,082,719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5,760,329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127,432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64,087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142,237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partnerships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Operating lease right of use assets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93,774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lease right of 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227,060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265,703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6,794,992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6,289,644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rPr>
              <w:t>Mortgages payable, net (including $469,184 and $444,388 of consolidated variable interest entities,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545,679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474,379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71,519</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279,027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2,807,134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2,404,279</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255,503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177,922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78,207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21,701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17,875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73,628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Finance lease liabilities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72,062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182,898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4,019,102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3,686,106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139,758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136,208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shares issued and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24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Common shares of beneficial interest, $.01 par, 100,000,000 shares authorized, 75,540,804 and 74,249,633</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3,166,522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3,004,442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(818,877)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2,535,341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2,345,891</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100,791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121,439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2,636,132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2,467,330</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6,794,992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6,289,644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5" w:right="239" w:bottom="179"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15" w:right="239" w:bottom="179"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Other Supplemental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(in thousands, except per share data)</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9"/>
        </w:trPr>
        <w:tc>
          <w:tcPr>
            <w:tcW w:w="628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 (2)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148,966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56,382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360,542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w w:val="92"/>
              </w:rPr>
              <w:t>249,026</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(7,119)</w:t>
            </w: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Gain on sale of real estate, net</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(85,903)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(116,393)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w w:val="98"/>
              </w:rPr>
              <w:t>(11,915)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54,886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215,139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213,098</w:t>
            </w: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5,194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19,359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24,603</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121,532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471,971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467,693</w:t>
            </w: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Dividends on preferred shares</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(7,500)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3,053</w:t>
            </w: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(1,469)</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FFO (3)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119,961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117,227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465,819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461,777</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280" w:type="dxa"/>
            <w:vAlign w:val="bottom"/>
            <w:tcBorders>
              <w:bottom w:val="single" w:sz="8" w:color="CCEEFF"/>
            </w:tcBorders>
            <w:gridSpan w:val="6"/>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76,024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74,630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75,514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74,153</w:t>
            </w:r>
          </w:p>
        </w:tc>
      </w:tr>
      <w:tr>
        <w:trPr>
          <w:trHeight w:val="251"/>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FFO per diluted share (3)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6.23</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3"/>
        </w:trPr>
        <w:tc>
          <w:tcPr>
            <w:tcW w:w="628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Non-maintenance capital expenditures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361,290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282,199</w:t>
            </w:r>
          </w:p>
        </w:tc>
      </w:tr>
      <w:tr>
        <w:trPr>
          <w:trHeight w:val="243"/>
        </w:trPr>
        <w:tc>
          <w:tcPr>
            <w:tcW w:w="40" w:type="dxa"/>
            <w:vAlign w:val="bottom"/>
          </w:tcPr>
          <w:p>
            <w:pPr>
              <w:spacing w:after="0"/>
              <w:rPr>
                <w:sz w:val="21"/>
                <w:szCs w:val="21"/>
                <w:color w:val="auto"/>
              </w:rPr>
            </w:pPr>
          </w:p>
        </w:tc>
        <w:tc>
          <w:tcPr>
            <w:tcW w:w="6240" w:type="dxa"/>
            <w:vAlign w:val="bottom"/>
            <w:gridSpan w:val="5"/>
          </w:tcPr>
          <w:p>
            <w:pPr>
              <w:ind w:left="340"/>
              <w:spacing w:after="0"/>
              <w:rPr>
                <w:sz w:val="20"/>
                <w:szCs w:val="20"/>
                <w:color w:val="auto"/>
              </w:rPr>
            </w:pPr>
            <w:r>
              <w:rPr>
                <w:rFonts w:ascii="Arial" w:cs="Arial" w:eastAsia="Arial" w:hAnsi="Arial"/>
                <w:sz w:val="18"/>
                <w:szCs w:val="18"/>
                <w:color w:val="auto"/>
              </w:rPr>
              <w:t>Tenant improvements and incentives</w:t>
            </w: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19,256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11,154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59,477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45,863</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108,497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420,767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328,062</w:t>
            </w:r>
          </w:p>
        </w:tc>
      </w:tr>
      <w:tr>
        <w:trPr>
          <w:trHeight w:val="243"/>
        </w:trPr>
        <w:tc>
          <w:tcPr>
            <w:tcW w:w="40" w:type="dxa"/>
            <w:vAlign w:val="bottom"/>
          </w:tcPr>
          <w:p>
            <w:pPr>
              <w:spacing w:after="0"/>
              <w:rPr>
                <w:sz w:val="21"/>
                <w:szCs w:val="21"/>
                <w:color w:val="auto"/>
              </w:rPr>
            </w:pPr>
          </w:p>
        </w:tc>
        <w:tc>
          <w:tcPr>
            <w:tcW w:w="6240" w:type="dxa"/>
            <w:vAlign w:val="bottom"/>
            <w:gridSpan w:val="5"/>
          </w:tcPr>
          <w:p>
            <w:pPr>
              <w:ind w:left="34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12,549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23,650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19,421</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121,046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93,058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444,417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347,483</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3"/>
        </w:trPr>
        <w:tc>
          <w:tcPr>
            <w:tcW w:w="628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Regular common dividends declared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79,316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75,724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310,973</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w w:val="92"/>
              </w:rPr>
              <w:t>297,347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Dividend payout ratio as a percentage of FFO (3)</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3"/>
        </w:trPr>
        <w:tc>
          <w:tcPr>
            <w:tcW w:w="628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Noncontrolling Interests Supplemental Information (4)</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Property operating income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12,152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13,046</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(6,580)</w:t>
            </w:r>
          </w:p>
        </w:tc>
      </w:tr>
      <w:tr>
        <w:trPr>
          <w:trHeight w:val="243"/>
        </w:trPr>
        <w:tc>
          <w:tcPr>
            <w:tcW w:w="6280" w:type="dxa"/>
            <w:vAlign w:val="bottom"/>
            <w:gridSpan w:val="6"/>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(2,400)</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3,973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4,066</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9" w:lineRule="exact"/>
        <w:rPr>
          <w:rFonts w:ascii="Arial" w:cs="Arial" w:eastAsia="Arial" w:hAnsi="Arial"/>
          <w:sz w:val="16"/>
          <w:szCs w:val="16"/>
          <w:color w:val="auto"/>
        </w:rPr>
      </w:pPr>
    </w:p>
    <w:p>
      <w:pPr>
        <w:ind w:left="260" w:right="460" w:hanging="252"/>
        <w:spacing w:after="0" w:line="286" w:lineRule="auto"/>
        <w:tabs>
          <w:tab w:leader="none" w:pos="2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connection with the adoption of the new lease accounting standard, effective January 1, 2019, certain internal and external legal leasing costs no longer qualify for capitalization. As a result, capitalized leasing costs excluding external commissions decreased to $0.5 million and $2.2 million for the three months and year ended December 31, 2019, respectively, from $2.2 million and $7.5 million for the three months and year ended December 31, 2018, respectively.</w:t>
      </w:r>
    </w:p>
    <w:p>
      <w:pPr>
        <w:spacing w:after="0" w:line="4" w:lineRule="exact"/>
        <w:rPr>
          <w:rFonts w:ascii="Arial" w:cs="Arial" w:eastAsia="Arial" w:hAnsi="Arial"/>
          <w:sz w:val="15"/>
          <w:szCs w:val="15"/>
          <w:color w:val="auto"/>
        </w:rPr>
      </w:pPr>
    </w:p>
    <w:p>
      <w:pPr>
        <w:ind w:left="260" w:right="240" w:hanging="252"/>
        <w:spacing w:after="0" w:line="275"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year ended December 31, 2019, FFO includes an $11.9 million charge related to the buyout of the Kmart lease at Assembly Row Marketplace. If this charge was excluded, our FFO, FFO per diluted share, and dividend payout ratio as a percentage of FFO would have been: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r>
      <w:tr>
        <w:trPr>
          <w:trHeight w:val="276"/>
        </w:trPr>
        <w:tc>
          <w:tcPr>
            <w:tcW w:w="9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1"/>
              </w:rPr>
              <w:t>December 31, 2019</w:t>
            </w:r>
          </w:p>
        </w:tc>
      </w:tr>
      <w:tr>
        <w:trPr>
          <w:trHeight w:val="152"/>
        </w:trPr>
        <w:tc>
          <w:tcPr>
            <w:tcW w:w="9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center"/>
              <w:ind w:right="40"/>
              <w:spacing w:after="0" w:line="153" w:lineRule="exact"/>
              <w:rPr>
                <w:sz w:val="20"/>
                <w:szCs w:val="20"/>
                <w:color w:val="auto"/>
              </w:rPr>
            </w:pPr>
            <w:r>
              <w:rPr>
                <w:rFonts w:ascii="Arial" w:cs="Arial" w:eastAsia="Arial" w:hAnsi="Arial"/>
                <w:sz w:val="14"/>
                <w:szCs w:val="14"/>
                <w:b w:val="1"/>
                <w:bCs w:val="1"/>
                <w:color w:val="auto"/>
                <w:w w:val="90"/>
              </w:rPr>
              <w:t>(in thousands, except per</w:t>
            </w:r>
          </w:p>
        </w:tc>
      </w:tr>
      <w:tr>
        <w:trPr>
          <w:trHeight w:val="192"/>
        </w:trPr>
        <w:tc>
          <w:tcPr>
            <w:tcW w:w="9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share data)</w:t>
            </w:r>
          </w:p>
        </w:tc>
      </w:tr>
      <w:tr>
        <w:trPr>
          <w:trHeight w:val="256"/>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FFO</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477,696</w:t>
            </w:r>
          </w:p>
        </w:tc>
      </w:tr>
      <w:tr>
        <w:trPr>
          <w:trHeight w:val="243"/>
        </w:trPr>
        <w:tc>
          <w:tcPr>
            <w:tcW w:w="9640" w:type="dxa"/>
            <w:vAlign w:val="bottom"/>
          </w:tcPr>
          <w:p>
            <w:pPr>
              <w:ind w:left="40"/>
              <w:spacing w:after="0"/>
              <w:rPr>
                <w:sz w:val="20"/>
                <w:szCs w:val="20"/>
                <w:color w:val="auto"/>
              </w:rPr>
            </w:pPr>
            <w:r>
              <w:rPr>
                <w:rFonts w:ascii="Arial" w:cs="Arial" w:eastAsia="Arial" w:hAnsi="Arial"/>
                <w:sz w:val="18"/>
                <w:szCs w:val="18"/>
                <w:color w:val="auto"/>
              </w:rPr>
              <w:t>FFO per diluted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0"/>
              <w:spacing w:after="0"/>
              <w:rPr>
                <w:sz w:val="20"/>
                <w:szCs w:val="20"/>
                <w:color w:val="auto"/>
              </w:rPr>
            </w:pPr>
            <w:r>
              <w:rPr>
                <w:rFonts w:ascii="Arial" w:cs="Arial" w:eastAsia="Arial" w:hAnsi="Arial"/>
                <w:sz w:val="18"/>
                <w:szCs w:val="18"/>
                <w:color w:val="auto"/>
              </w:rPr>
              <w:t>6.33</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9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9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4)  Amounts reflect the components of "net income attributable to noncontrolling interests," but excludes "income attributable to operating partnership units."</w:t>
      </w:r>
    </w:p>
    <w:p>
      <w:pPr>
        <w:sectPr>
          <w:pgSz w:w="11900" w:h="16838" w:orient="portrait"/>
          <w:cols w:equalWidth="0" w:num="1">
            <w:col w:w="11420"/>
          </w:cols>
          <w:pgMar w:left="240" w:top="715" w:right="239" w:bottom="1136"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15" w:right="239" w:bottom="1136" w:gutter="0" w:footer="0" w:header="0"/>
          <w:type w:val="continuous"/>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440" w:type="dxa"/>
            <w:vAlign w:val="bottom"/>
          </w:tcPr>
          <w:p>
            <w:pPr>
              <w:spacing w:after="0"/>
              <w:rPr>
                <w:sz w:val="22"/>
                <w:szCs w:val="22"/>
                <w:color w:val="auto"/>
              </w:rPr>
            </w:pPr>
          </w:p>
        </w:tc>
        <w:tc>
          <w:tcPr>
            <w:tcW w:w="79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440" w:type="dxa"/>
            <w:vAlign w:val="bottom"/>
          </w:tcPr>
          <w:p>
            <w:pPr>
              <w:spacing w:after="0"/>
              <w:rPr>
                <w:sz w:val="21"/>
                <w:szCs w:val="21"/>
                <w:color w:val="auto"/>
              </w:rPr>
            </w:pPr>
          </w:p>
        </w:tc>
        <w:tc>
          <w:tcPr>
            <w:tcW w:w="7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76,150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74,988</w:t>
            </w:r>
          </w:p>
        </w:tc>
      </w:tr>
      <w:tr>
        <w:trPr>
          <w:trHeight w:val="27"/>
        </w:trPr>
        <w:tc>
          <w:tcPr>
            <w:tcW w:w="4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128.73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118.04</w:t>
            </w:r>
          </w:p>
        </w:tc>
      </w:tr>
      <w:tr>
        <w:trPr>
          <w:trHeight w:val="237"/>
        </w:trPr>
        <w:tc>
          <w:tcPr>
            <w:tcW w:w="440" w:type="dxa"/>
            <w:vAlign w:val="bottom"/>
          </w:tcPr>
          <w:p>
            <w:pPr>
              <w:spacing w:after="0"/>
              <w:rPr>
                <w:sz w:val="20"/>
                <w:szCs w:val="20"/>
                <w:color w:val="auto"/>
              </w:rPr>
            </w:pPr>
          </w:p>
        </w:tc>
        <w:tc>
          <w:tcPr>
            <w:tcW w:w="7980" w:type="dxa"/>
            <w:vAlign w:val="bottom"/>
          </w:tcPr>
          <w:p>
            <w:pPr>
              <w:ind w:left="28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9,802,790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8,851,584</w:t>
            </w:r>
          </w:p>
        </w:tc>
      </w:tr>
      <w:tr>
        <w:trPr>
          <w:trHeight w:val="27"/>
        </w:trPr>
        <w:tc>
          <w:tcPr>
            <w:tcW w:w="44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440" w:type="dxa"/>
            <w:vAlign w:val="bottom"/>
            <w:shd w:val="clear" w:color="auto" w:fill="CCEEFF"/>
          </w:tcPr>
          <w:p>
            <w:pPr>
              <w:spacing w:after="0"/>
              <w:rPr>
                <w:sz w:val="24"/>
                <w:szCs w:val="24"/>
                <w:color w:val="auto"/>
              </w:rPr>
            </w:pPr>
          </w:p>
        </w:tc>
        <w:tc>
          <w:tcPr>
            <w:tcW w:w="7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Series C preferred shares outstanding</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w:t>
            </w:r>
          </w:p>
        </w:tc>
      </w:tr>
      <w:tr>
        <w:trPr>
          <w:trHeight w:val="27"/>
        </w:trPr>
        <w:tc>
          <w:tcPr>
            <w:tcW w:w="4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Liquidation price per Series C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25,000.00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25,000.00</w:t>
            </w:r>
          </w:p>
        </w:tc>
      </w:tr>
      <w:tr>
        <w:trPr>
          <w:trHeight w:val="237"/>
        </w:trPr>
        <w:tc>
          <w:tcPr>
            <w:tcW w:w="440" w:type="dxa"/>
            <w:vAlign w:val="bottom"/>
          </w:tcPr>
          <w:p>
            <w:pPr>
              <w:spacing w:after="0"/>
              <w:rPr>
                <w:sz w:val="20"/>
                <w:szCs w:val="20"/>
                <w:color w:val="auto"/>
              </w:rPr>
            </w:pPr>
          </w:p>
        </w:tc>
        <w:tc>
          <w:tcPr>
            <w:tcW w:w="7980" w:type="dxa"/>
            <w:vAlign w:val="bottom"/>
          </w:tcPr>
          <w:p>
            <w:pPr>
              <w:ind w:left="280"/>
              <w:spacing w:after="0"/>
              <w:rPr>
                <w:sz w:val="20"/>
                <w:szCs w:val="20"/>
                <w:color w:val="auto"/>
              </w:rPr>
            </w:pPr>
            <w:r>
              <w:rPr>
                <w:rFonts w:ascii="Arial" w:cs="Arial" w:eastAsia="Arial" w:hAnsi="Arial"/>
                <w:sz w:val="18"/>
                <w:szCs w:val="18"/>
                <w:color w:val="auto"/>
              </w:rPr>
              <w:t>Series C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150,000</w:t>
            </w:r>
          </w:p>
        </w:tc>
      </w:tr>
      <w:tr>
        <w:trPr>
          <w:trHeight w:val="27"/>
        </w:trPr>
        <w:tc>
          <w:tcPr>
            <w:tcW w:w="44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440" w:type="dxa"/>
            <w:vAlign w:val="bottom"/>
            <w:shd w:val="clear" w:color="auto" w:fill="CCEEFF"/>
          </w:tcPr>
          <w:p>
            <w:pPr>
              <w:spacing w:after="0"/>
              <w:rPr>
                <w:sz w:val="24"/>
                <w:szCs w:val="24"/>
                <w:color w:val="auto"/>
              </w:rPr>
            </w:pPr>
          </w:p>
        </w:tc>
        <w:tc>
          <w:tcPr>
            <w:tcW w:w="7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4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440" w:type="dxa"/>
            <w:vAlign w:val="bottom"/>
          </w:tcPr>
          <w:p>
            <w:pPr>
              <w:spacing w:after="0"/>
              <w:rPr>
                <w:sz w:val="20"/>
                <w:szCs w:val="20"/>
                <w:color w:val="auto"/>
              </w:rPr>
            </w:pPr>
          </w:p>
        </w:tc>
        <w:tc>
          <w:tcPr>
            <w:tcW w:w="7980" w:type="dxa"/>
            <w:vAlign w:val="bottom"/>
          </w:tcPr>
          <w:p>
            <w:pPr>
              <w:ind w:left="28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44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440" w:type="dxa"/>
            <w:vAlign w:val="bottom"/>
            <w:shd w:val="clear" w:color="auto" w:fill="CCEEFF"/>
          </w:tcPr>
          <w:p>
            <w:pPr>
              <w:spacing w:after="0"/>
              <w:rPr>
                <w:sz w:val="24"/>
                <w:szCs w:val="24"/>
                <w:color w:val="auto"/>
              </w:rPr>
            </w:pPr>
          </w:p>
        </w:tc>
        <w:tc>
          <w:tcPr>
            <w:tcW w:w="7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9,962,790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9,011,584</w:t>
            </w:r>
          </w:p>
        </w:tc>
      </w:tr>
      <w:tr>
        <w:trPr>
          <w:trHeight w:val="27"/>
        </w:trPr>
        <w:tc>
          <w:tcPr>
            <w:tcW w:w="4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440" w:type="dxa"/>
            <w:vAlign w:val="bottom"/>
            <w:shd w:val="clear" w:color="auto" w:fill="CCEEFF"/>
          </w:tcPr>
          <w:p>
            <w:pPr>
              <w:spacing w:after="0"/>
              <w:rPr>
                <w:sz w:val="24"/>
                <w:szCs w:val="24"/>
                <w:color w:val="auto"/>
              </w:rPr>
            </w:pPr>
          </w:p>
        </w:tc>
        <w:tc>
          <w:tcPr>
            <w:tcW w:w="7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3,356,594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3,157,685</w:t>
            </w:r>
          </w:p>
        </w:tc>
      </w:tr>
      <w:tr>
        <w:trPr>
          <w:trHeight w:val="27"/>
        </w:trPr>
        <w:tc>
          <w:tcPr>
            <w:tcW w:w="4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440" w:type="dxa"/>
            <w:vAlign w:val="bottom"/>
            <w:shd w:val="clear" w:color="auto" w:fill="CCEEFF"/>
          </w:tcPr>
          <w:p>
            <w:pPr>
              <w:spacing w:after="0"/>
              <w:rPr>
                <w:sz w:val="24"/>
                <w:szCs w:val="24"/>
                <w:color w:val="auto"/>
              </w:rPr>
            </w:pPr>
          </w:p>
        </w:tc>
        <w:tc>
          <w:tcPr>
            <w:tcW w:w="79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13,319,384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3"/>
              </w:rPr>
              <w:t>12,169,269</w:t>
            </w:r>
          </w:p>
        </w:tc>
      </w:tr>
      <w:tr>
        <w:trPr>
          <w:trHeight w:val="271"/>
        </w:trPr>
        <w:tc>
          <w:tcPr>
            <w:tcW w:w="440" w:type="dxa"/>
            <w:vAlign w:val="bottom"/>
            <w:shd w:val="clear" w:color="auto" w:fill="CCEEFF"/>
          </w:tcPr>
          <w:p>
            <w:pPr>
              <w:spacing w:after="0"/>
              <w:rPr>
                <w:sz w:val="23"/>
                <w:szCs w:val="23"/>
                <w:color w:val="auto"/>
              </w:rPr>
            </w:pPr>
          </w:p>
        </w:tc>
        <w:tc>
          <w:tcPr>
            <w:tcW w:w="7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Total debt to market capitalization at market price per common share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89"/>
        </w:trPr>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Notes:</w:t>
            </w:r>
          </w:p>
        </w:tc>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5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include 609,584 and 738,423 operating partnership units outstanding at December 31, 2019 and 2018,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jc w:val="both"/>
        <w:ind w:left="660" w:right="80" w:hanging="652"/>
        <w:spacing w:after="0" w:line="31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debt includes mortgages payable, notes payable, senior notes and debentures, net of premiums/discounts and debt issuance costs from our consolidated balance sheet. The previously reported 2018 balance has been adjusted to exclude capital lease obligations, as finance lease liabilities are no longer included in debt upon the adoption of the new lease accounting standard. See Note 2 of our December 31, 2019 Form 10-K for additional information regarding the adoption.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15"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right="260"/>
        <w:spacing w:after="0" w:line="274" w:lineRule="auto"/>
        <w:rPr>
          <w:sz w:val="20"/>
          <w:szCs w:val="20"/>
          <w:color w:val="auto"/>
        </w:rPr>
      </w:pPr>
      <w:r>
        <w:rPr>
          <w:rFonts w:ascii="Arial" w:cs="Arial" w:eastAsia="Arial" w:hAnsi="Arial"/>
          <w:sz w:val="17"/>
          <w:szCs w:val="17"/>
          <w:color w:val="auto"/>
        </w:rPr>
        <w:t>Effective January 1, 2019, we adopted the accounting guidance in ASU 2016-2, Leases (Topic 842), which resulted in several presentation changes with respect to our 2019 Consolidated Income Statements.</w:t>
      </w:r>
    </w:p>
    <w:p>
      <w:pPr>
        <w:spacing w:after="0" w:line="13" w:lineRule="exact"/>
        <w:rPr>
          <w:sz w:val="20"/>
          <w:szCs w:val="20"/>
          <w:color w:val="auto"/>
        </w:rPr>
      </w:pPr>
    </w:p>
    <w:p>
      <w:pPr>
        <w:ind w:left="500" w:right="80" w:hanging="85"/>
        <w:spacing w:after="0" w:line="261" w:lineRule="auto"/>
        <w:tabs>
          <w:tab w:leader="none" w:pos="500" w:val="left"/>
        </w:tabs>
        <w:numPr>
          <w:ilvl w:val="0"/>
          <w:numId w:val="9"/>
        </w:numPr>
        <w:rPr>
          <w:rFonts w:ascii="Arial" w:cs="Arial" w:eastAsia="Arial" w:hAnsi="Arial"/>
          <w:sz w:val="9"/>
          <w:szCs w:val="9"/>
          <w:color w:val="auto"/>
        </w:rPr>
      </w:pPr>
      <w:r>
        <w:rPr>
          <w:rFonts w:ascii="Arial" w:cs="Arial" w:eastAsia="Arial" w:hAnsi="Arial"/>
          <w:sz w:val="17"/>
          <w:szCs w:val="17"/>
          <w:color w:val="auto"/>
        </w:rPr>
        <w:t>All income from tenant leases are reported as a single line item called “Rental Income.” We have provided below supplemental information with a breakout of the contractual components of the rental income line, however, these breakouts are provided for informational purposes only and should be considered a non-GAAP presentation.</w:t>
      </w:r>
    </w:p>
    <w:p>
      <w:pPr>
        <w:spacing w:after="0" w:line="24" w:lineRule="exact"/>
        <w:rPr>
          <w:rFonts w:ascii="Arial" w:cs="Arial" w:eastAsia="Arial" w:hAnsi="Arial"/>
          <w:sz w:val="9"/>
          <w:szCs w:val="9"/>
          <w:color w:val="auto"/>
        </w:rPr>
      </w:pPr>
    </w:p>
    <w:p>
      <w:pPr>
        <w:ind w:left="500" w:right="40" w:hanging="85"/>
        <w:spacing w:after="0" w:line="261" w:lineRule="auto"/>
        <w:tabs>
          <w:tab w:leader="none" w:pos="500" w:val="left"/>
        </w:tabs>
        <w:numPr>
          <w:ilvl w:val="0"/>
          <w:numId w:val="9"/>
        </w:numPr>
        <w:rPr>
          <w:rFonts w:ascii="Arial" w:cs="Arial" w:eastAsia="Arial" w:hAnsi="Arial"/>
          <w:sz w:val="9"/>
          <w:szCs w:val="9"/>
          <w:color w:val="auto"/>
        </w:rPr>
      </w:pPr>
      <w:r>
        <w:rPr>
          <w:rFonts w:ascii="Arial" w:cs="Arial" w:eastAsia="Arial" w:hAnsi="Arial"/>
          <w:sz w:val="17"/>
          <w:szCs w:val="17"/>
          <w:color w:val="auto"/>
        </w:rPr>
        <w:t>Real estate taxes paid directly to the taxing authority by our tenants are no longer presented gross as “real estate tax expense” and “rental income” (this amount was approximately $2 million and $6 million for the three months and year ended December 31, 2018, respectively). This change is only reflected in the 2019 results.</w:t>
      </w:r>
    </w:p>
    <w:p>
      <w:pPr>
        <w:spacing w:after="0" w:line="24" w:lineRule="exact"/>
        <w:rPr>
          <w:rFonts w:ascii="Arial" w:cs="Arial" w:eastAsia="Arial" w:hAnsi="Arial"/>
          <w:sz w:val="9"/>
          <w:szCs w:val="9"/>
          <w:color w:val="auto"/>
        </w:rPr>
      </w:pPr>
    </w:p>
    <w:p>
      <w:pPr>
        <w:jc w:val="both"/>
        <w:ind w:left="500" w:right="300" w:hanging="85"/>
        <w:spacing w:after="0" w:line="342" w:lineRule="auto"/>
        <w:tabs>
          <w:tab w:leader="none" w:pos="500" w:val="left"/>
        </w:tabs>
        <w:numPr>
          <w:ilvl w:val="0"/>
          <w:numId w:val="9"/>
        </w:numPr>
        <w:rPr>
          <w:rFonts w:ascii="Arial" w:cs="Arial" w:eastAsia="Arial" w:hAnsi="Arial"/>
          <w:sz w:val="8"/>
          <w:szCs w:val="8"/>
          <w:color w:val="auto"/>
        </w:rPr>
      </w:pPr>
      <w:r>
        <w:rPr>
          <w:rFonts w:ascii="Arial" w:cs="Arial" w:eastAsia="Arial" w:hAnsi="Arial"/>
          <w:sz w:val="15"/>
          <w:szCs w:val="15"/>
          <w:color w:val="auto"/>
        </w:rPr>
        <w:t>Bad debt expense is no longer reflected in “rental expenses” but instead is a direct reduction of “rental income.” This change is reflected in the 2019 results only, and is a reduction of rental income of approximately $1 million and $3 million, respectively, for the three months and year ended December 31, 2019.</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 (1)</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158,269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156,641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629,231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616,137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78,849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46,351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46,554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174,936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178,333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11,241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10,794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8,813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40,400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35,575</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238,303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234,511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932,738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912,287</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60" w:hanging="652"/>
        <w:spacing w:after="0" w:line="25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Minimum rents include $1.7 million and $0.3 million for the three months ended December 31, 2019 and 2018, respectively, and $7.6 million and $5.0 million for the years ended December 31, 2019 and 2018, respectively, to recognize minimum rents on a straight-line basis. In addition, minimum rents include $1.2 million and $3.0 million for the three months ended December 31, 2019 and 2018, respectively, and $6.4 million and $6.8 million for the years ended December 31, 2019 and 2018, respectively, to recognize income from the amortization of in-place leases.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15" w:right="239"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Comparable Property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2019</w:t>
      </w:r>
    </w:p>
    <w:p>
      <w:pPr>
        <w:spacing w:after="0" w:line="247" w:lineRule="exact"/>
        <w:rPr>
          <w:sz w:val="20"/>
          <w:szCs w:val="20"/>
          <w:color w:val="auto"/>
        </w:rPr>
      </w:pPr>
    </w:p>
    <w:p>
      <w:pPr>
        <w:ind w:left="40" w:right="20"/>
        <w:spacing w:after="0" w:line="269" w:lineRule="auto"/>
        <w:rPr>
          <w:sz w:val="20"/>
          <w:szCs w:val="20"/>
          <w:color w:val="auto"/>
        </w:rPr>
      </w:pPr>
      <w:r>
        <w:rPr>
          <w:rFonts w:ascii="Arial" w:cs="Arial" w:eastAsia="Arial" w:hAnsi="Arial"/>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Q4 include: Assembly Row - Phase 2, CocoWalk, Olivo at Mission Hills, Pike &amp; Rose, The Shops at Sunset Place, Towson Residential, 700 Santana Row, Freedom Plaza, a portion of Graham Park Plaza, and all properties acquired or disposed of from Q4 2018 to Q4 2019. Comparable Property property operating income ("Comparable Property POI") is a non-GAAP measure used by management in evaluating the operating performance of our properties period over period. The amounts shown below for the years ended December 31, 2019 and 2018 reflect the summation of our reported quarterly results during 2019.</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Reconciliation of GAAP operating income to Comparable Property POI</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4"/>
          </w:tcPr>
          <w:p>
            <w:pPr>
              <w:jc w:val="center"/>
              <w:ind w:right="177"/>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center"/>
              <w:ind w:left="640"/>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6"/>
        </w:trPr>
        <w:tc>
          <w:tcPr>
            <w:tcW w:w="4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center"/>
              <w:ind w:right="156"/>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Pr>
          <w:p>
            <w:pPr>
              <w:spacing w:after="0"/>
              <w:rPr>
                <w:sz w:val="24"/>
                <w:szCs w:val="24"/>
                <w:color w:val="auto"/>
              </w:rPr>
            </w:pPr>
          </w:p>
        </w:tc>
      </w:tr>
      <w:tr>
        <w:trPr>
          <w:trHeight w:val="264"/>
        </w:trPr>
        <w:tc>
          <w:tcPr>
            <w:tcW w:w="4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6"/>
              </w:rPr>
              <w:t>2018</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22"/>
                <w:szCs w:val="22"/>
                <w:color w:val="auto"/>
              </w:rPr>
            </w:pPr>
          </w:p>
        </w:tc>
      </w:tr>
      <w:tr>
        <w:trPr>
          <w:trHeight w:val="250"/>
        </w:trPr>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8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21"/>
                <w:szCs w:val="21"/>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176,221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84,840</w:t>
            </w: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470,911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361,636</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39"/>
        </w:trPr>
        <w:tc>
          <w:tcPr>
            <w:tcW w:w="4640" w:type="dxa"/>
            <w:vAlign w:val="bottom"/>
          </w:tcPr>
          <w:p>
            <w:pPr>
              <w:ind w:left="40"/>
              <w:spacing w:after="0"/>
              <w:rPr>
                <w:sz w:val="20"/>
                <w:szCs w:val="20"/>
                <w:color w:val="auto"/>
              </w:rPr>
            </w:pPr>
            <w:r>
              <w:rPr>
                <w:rFonts w:ascii="Arial" w:cs="Arial" w:eastAsia="Arial" w:hAnsi="Arial"/>
                <w:sz w:val="17"/>
                <w:szCs w:val="17"/>
                <w:color w:val="auto"/>
              </w:rPr>
              <w:t>Add:</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1"/>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61,431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66,976</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239,758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244,245</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239"/>
        </w:trPr>
        <w:tc>
          <w:tcPr>
            <w:tcW w:w="4640" w:type="dxa"/>
            <w:vAlign w:val="bottom"/>
          </w:tcPr>
          <w:p>
            <w:pPr>
              <w:ind w:left="4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20"/>
                <w:szCs w:val="20"/>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10,707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9,620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7"/>
                <w:szCs w:val="17"/>
                <w:color w:val="auto"/>
              </w:rPr>
              <w:t>42,754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96"/>
              <w:spacing w:after="0"/>
              <w:rPr>
                <w:sz w:val="20"/>
                <w:szCs w:val="20"/>
                <w:color w:val="auto"/>
              </w:rPr>
            </w:pPr>
            <w:r>
              <w:rPr>
                <w:rFonts w:ascii="Arial" w:cs="Arial" w:eastAsia="Arial" w:hAnsi="Arial"/>
                <w:sz w:val="17"/>
                <w:szCs w:val="17"/>
                <w:color w:val="auto"/>
              </w:rPr>
              <w:t>33,600</w:t>
            </w:r>
          </w:p>
        </w:tc>
        <w:tc>
          <w:tcPr>
            <w:tcW w:w="740" w:type="dxa"/>
            <w:vAlign w:val="bottom"/>
          </w:tcPr>
          <w:p>
            <w:pPr>
              <w:spacing w:after="0"/>
              <w:rPr>
                <w:sz w:val="20"/>
                <w:szCs w:val="20"/>
                <w:color w:val="auto"/>
              </w:rPr>
            </w:pPr>
          </w:p>
        </w:tc>
      </w:tr>
      <w:tr>
        <w:trPr>
          <w:trHeight w:val="31"/>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Gain on sale of real estate,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(85,903)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(1,502)</w:t>
            </w: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(116,393)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(11,915)</w:t>
            </w:r>
          </w:p>
        </w:tc>
        <w:tc>
          <w:tcPr>
            <w:tcW w:w="740" w:type="dxa"/>
            <w:vAlign w:val="bottom"/>
            <w:tcBorders>
              <w:bottom w:val="single" w:sz="8" w:color="CCEEFF"/>
            </w:tcBorders>
            <w:shd w:val="clear" w:color="auto" w:fill="CCEEFF"/>
          </w:tcPr>
          <w:p>
            <w:pPr>
              <w:spacing w:after="0"/>
              <w:rPr>
                <w:sz w:val="23"/>
                <w:szCs w:val="23"/>
                <w:color w:val="auto"/>
              </w:rPr>
            </w:pPr>
          </w:p>
        </w:tc>
      </w:tr>
      <w:tr>
        <w:trPr>
          <w:trHeight w:val="219"/>
        </w:trPr>
        <w:tc>
          <w:tcPr>
            <w:tcW w:w="4640" w:type="dxa"/>
            <w:vAlign w:val="bottom"/>
          </w:tcPr>
          <w:p>
            <w:pPr>
              <w:ind w:left="40"/>
              <w:spacing w:after="0"/>
              <w:rPr>
                <w:sz w:val="20"/>
                <w:szCs w:val="20"/>
                <w:color w:val="auto"/>
              </w:rPr>
            </w:pPr>
            <w:r>
              <w:rPr>
                <w:rFonts w:ascii="Arial" w:cs="Arial" w:eastAsia="Arial" w:hAnsi="Arial"/>
                <w:sz w:val="17"/>
                <w:szCs w:val="17"/>
                <w:color w:val="auto"/>
              </w:rPr>
              <w:t>Property operating income (POI)</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162,456</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w w:val="91"/>
              </w:rPr>
              <w:t>159,934</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637,030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627,566</w:t>
            </w:r>
          </w:p>
        </w:tc>
        <w:tc>
          <w:tcPr>
            <w:tcW w:w="740" w:type="dxa"/>
            <w:vAlign w:val="bottom"/>
          </w:tcPr>
          <w:p>
            <w:pPr>
              <w:spacing w:after="0"/>
              <w:rPr>
                <w:sz w:val="19"/>
                <w:szCs w:val="19"/>
                <w:color w:val="auto"/>
              </w:rPr>
            </w:pPr>
          </w:p>
        </w:tc>
      </w:tr>
      <w:tr>
        <w:trPr>
          <w:trHeight w:val="31"/>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Non-comparable POI - acquisitions/dispositions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(2,990)</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(6,975)</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239"/>
        </w:trPr>
        <w:tc>
          <w:tcPr>
            <w:tcW w:w="4640" w:type="dxa"/>
            <w:vAlign w:val="bottom"/>
          </w:tcPr>
          <w:p>
            <w:pPr>
              <w:ind w:left="40"/>
              <w:spacing w:after="0"/>
              <w:rPr>
                <w:sz w:val="20"/>
                <w:szCs w:val="20"/>
                <w:color w:val="auto"/>
              </w:rPr>
            </w:pPr>
            <w:r>
              <w:rPr>
                <w:rFonts w:ascii="Arial" w:cs="Arial" w:eastAsia="Arial" w:hAnsi="Arial"/>
                <w:sz w:val="17"/>
                <w:szCs w:val="17"/>
                <w:color w:val="auto"/>
                <w:w w:val="91"/>
              </w:rPr>
              <w:t>Less: Non-comparable POI - redevelopment, development &amp; other</w:t>
            </w:r>
          </w:p>
        </w:tc>
        <w:tc>
          <w:tcPr>
            <w:tcW w:w="28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7"/>
                <w:szCs w:val="17"/>
                <w:color w:val="auto"/>
              </w:rPr>
              <w:t>(14,714)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w w:val="97"/>
              </w:rPr>
              <w:t>(14,962)</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(45,219)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(49,025)</w:t>
            </w:r>
          </w:p>
        </w:tc>
        <w:tc>
          <w:tcPr>
            <w:tcW w:w="740" w:type="dxa"/>
            <w:vAlign w:val="bottom"/>
          </w:tcPr>
          <w:p>
            <w:pPr>
              <w:spacing w:after="0"/>
              <w:rPr>
                <w:sz w:val="20"/>
                <w:szCs w:val="20"/>
                <w:color w:val="auto"/>
              </w:rPr>
            </w:pPr>
          </w:p>
        </w:tc>
      </w:tr>
      <w:tr>
        <w:trPr>
          <w:trHeight w:val="31"/>
        </w:trPr>
        <w:tc>
          <w:tcPr>
            <w:tcW w:w="4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3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Comparable Property POI</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145,361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91"/>
              </w:rPr>
              <w:t>141,982</w:t>
            </w: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587,964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571,566</w:t>
            </w:r>
          </w:p>
        </w:tc>
        <w:tc>
          <w:tcPr>
            <w:tcW w:w="740" w:type="dxa"/>
            <w:vAlign w:val="bottom"/>
            <w:tcBorders>
              <w:bottom w:val="single" w:sz="8" w:color="CCEEFF"/>
            </w:tcBorders>
            <w:shd w:val="clear" w:color="auto" w:fill="CCEEFF"/>
          </w:tcPr>
          <w:p>
            <w:pPr>
              <w:spacing w:after="0"/>
              <w:rPr>
                <w:sz w:val="20"/>
                <w:szCs w:val="20"/>
                <w:color w:val="auto"/>
              </w:rPr>
            </w:pPr>
          </w:p>
        </w:tc>
      </w:tr>
      <w:tr>
        <w:trPr>
          <w:trHeight w:val="415"/>
        </w:trPr>
        <w:tc>
          <w:tcPr>
            <w:tcW w:w="5920" w:type="dxa"/>
            <w:vAlign w:val="bottom"/>
            <w:gridSpan w:val="4"/>
          </w:tcPr>
          <w:p>
            <w:pPr>
              <w:ind w:left="40"/>
              <w:spacing w:after="0"/>
              <w:rPr>
                <w:sz w:val="20"/>
                <w:szCs w:val="20"/>
                <w:color w:val="auto"/>
              </w:rPr>
            </w:pPr>
            <w:r>
              <w:rPr>
                <w:rFonts w:ascii="Arial" w:cs="Arial" w:eastAsia="Arial" w:hAnsi="Arial"/>
                <w:sz w:val="17"/>
                <w:szCs w:val="17"/>
                <w:i w:val="1"/>
                <w:iCs w:val="1"/>
                <w:color w:val="auto"/>
              </w:rPr>
              <w:t>Additional information regarding the components of Comparable Property POI</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9"/>
        </w:trPr>
        <w:tc>
          <w:tcPr>
            <w:tcW w:w="4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tcPr>
          <w:p>
            <w:pPr>
              <w:jc w:val="center"/>
              <w:ind w:right="177"/>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jc w:val="center"/>
              <w:ind w:left="640"/>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6"/>
        </w:trPr>
        <w:tc>
          <w:tcPr>
            <w:tcW w:w="4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center"/>
              <w:ind w:right="156"/>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Pr>
          <w:p>
            <w:pPr>
              <w:spacing w:after="0"/>
              <w:rPr>
                <w:sz w:val="24"/>
                <w:szCs w:val="24"/>
                <w:color w:val="auto"/>
              </w:rPr>
            </w:pPr>
          </w:p>
        </w:tc>
      </w:tr>
      <w:tr>
        <w:trPr>
          <w:trHeight w:val="264"/>
        </w:trPr>
        <w:tc>
          <w:tcPr>
            <w:tcW w:w="4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6"/>
              </w:rPr>
              <w:t>2018</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8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22"/>
                <w:szCs w:val="22"/>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Rental income</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210,841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91"/>
              </w:rPr>
              <w:t>206,493</w:t>
            </w: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834,517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820,055</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189"/>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Rental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(39,925)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7"/>
              </w:rPr>
              <w:t>(39,215)</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(147,686)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(145,736)</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239"/>
        </w:trPr>
        <w:tc>
          <w:tcPr>
            <w:tcW w:w="4640" w:type="dxa"/>
            <w:vAlign w:val="bottom"/>
          </w:tcPr>
          <w:p>
            <w:pPr>
              <w:ind w:left="40"/>
              <w:spacing w:after="0"/>
              <w:rPr>
                <w:sz w:val="20"/>
                <w:szCs w:val="20"/>
                <w:color w:val="auto"/>
              </w:rPr>
            </w:pPr>
            <w:r>
              <w:rPr>
                <w:rFonts w:ascii="Arial" w:cs="Arial" w:eastAsia="Arial" w:hAnsi="Arial"/>
                <w:sz w:val="17"/>
                <w:szCs w:val="17"/>
                <w:color w:val="auto"/>
              </w:rPr>
              <w:t>Real estate taxes</w:t>
            </w:r>
          </w:p>
        </w:tc>
        <w:tc>
          <w:tcPr>
            <w:tcW w:w="28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7"/>
                <w:szCs w:val="17"/>
                <w:color w:val="auto"/>
              </w:rPr>
              <w:t>(25,555)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w w:val="97"/>
              </w:rPr>
              <w:t>(25,296)</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(98,867)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(102,753)</w:t>
            </w:r>
          </w:p>
        </w:tc>
        <w:tc>
          <w:tcPr>
            <w:tcW w:w="740" w:type="dxa"/>
            <w:vAlign w:val="bottom"/>
          </w:tcPr>
          <w:p>
            <w:pPr>
              <w:spacing w:after="0"/>
              <w:rPr>
                <w:sz w:val="20"/>
                <w:szCs w:val="20"/>
                <w:color w:val="auto"/>
              </w:rPr>
            </w:pPr>
          </w:p>
        </w:tc>
      </w:tr>
      <w:tr>
        <w:trPr>
          <w:trHeight w:val="31"/>
        </w:trPr>
        <w:tc>
          <w:tcPr>
            <w:tcW w:w="4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30"/>
        </w:trPr>
        <w:tc>
          <w:tcPr>
            <w:tcW w:w="4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(65,480)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97"/>
              </w:rPr>
              <w:t>(64,511)</w:t>
            </w: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(246,553)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(248,489)</w:t>
            </w:r>
          </w:p>
        </w:tc>
        <w:tc>
          <w:tcPr>
            <w:tcW w:w="740" w:type="dxa"/>
            <w:vAlign w:val="bottom"/>
            <w:tcBorders>
              <w:bottom w:val="single" w:sz="8" w:color="CCEEFF"/>
            </w:tcBorders>
            <w:shd w:val="clear" w:color="auto" w:fill="CCEEFF"/>
          </w:tcPr>
          <w:p>
            <w:pPr>
              <w:spacing w:after="0"/>
              <w:rPr>
                <w:sz w:val="20"/>
                <w:szCs w:val="20"/>
                <w:color w:val="auto"/>
              </w:rPr>
            </w:pPr>
          </w:p>
        </w:tc>
      </w:tr>
      <w:tr>
        <w:trPr>
          <w:trHeight w:val="189"/>
        </w:trPr>
        <w:tc>
          <w:tcPr>
            <w:tcW w:w="46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Comparable Property POI</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145,361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91"/>
              </w:rPr>
              <w:t>141,982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587,964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571,566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0"/>
        </w:trPr>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0"/>
        </w:trPr>
        <w:tc>
          <w:tcPr>
            <w:tcW w:w="4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Comparable Property POI as a percentage of total POI</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415"/>
        </w:trPr>
        <w:tc>
          <w:tcPr>
            <w:tcW w:w="4640" w:type="dxa"/>
            <w:vAlign w:val="bottom"/>
          </w:tcPr>
          <w:p>
            <w:pPr>
              <w:ind w:left="40"/>
              <w:spacing w:after="0"/>
              <w:rPr>
                <w:sz w:val="20"/>
                <w:szCs w:val="20"/>
                <w:color w:val="auto"/>
              </w:rPr>
            </w:pPr>
            <w:r>
              <w:rPr>
                <w:rFonts w:ascii="Arial" w:cs="Arial" w:eastAsia="Arial" w:hAnsi="Arial"/>
                <w:sz w:val="17"/>
                <w:szCs w:val="17"/>
                <w:i w:val="1"/>
                <w:iCs w:val="1"/>
                <w:color w:val="auto"/>
              </w:rPr>
              <w:t>Comparable Property - Summary of Capital Expenditures (1)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6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180" w:type="dxa"/>
            <w:vAlign w:val="bottom"/>
            <w:gridSpan w:val="4"/>
            <w:shd w:val="clear" w:color="auto" w:fill="CCEEFF"/>
          </w:tcPr>
          <w:p>
            <w:pPr>
              <w:jc w:val="center"/>
              <w:ind w:right="177"/>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center"/>
              <w:ind w:left="640"/>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46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center"/>
              <w:ind w:right="156"/>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CCEEFF"/>
            </w:tcBorders>
          </w:tcPr>
          <w:p>
            <w:pPr>
              <w:spacing w:after="0"/>
              <w:rPr>
                <w:sz w:val="22"/>
                <w:szCs w:val="22"/>
                <w:color w:val="auto"/>
              </w:rPr>
            </w:pPr>
          </w:p>
        </w:tc>
      </w:tr>
      <w:tr>
        <w:trPr>
          <w:trHeight w:val="264"/>
        </w:trPr>
        <w:tc>
          <w:tcPr>
            <w:tcW w:w="46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4"/>
                <w:szCs w:val="14"/>
                <w:b w:val="1"/>
                <w:bCs w:val="1"/>
                <w:color w:val="auto"/>
                <w:w w:val="96"/>
              </w:rPr>
              <w:t>2018</w:t>
            </w: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740" w:type="dxa"/>
            <w:vAlign w:val="bottom"/>
            <w:shd w:val="clear" w:color="auto" w:fill="CCEEFF"/>
          </w:tcPr>
          <w:p>
            <w:pPr>
              <w:spacing w:after="0"/>
              <w:rPr>
                <w:sz w:val="22"/>
                <w:szCs w:val="22"/>
                <w:color w:val="auto"/>
              </w:rPr>
            </w:pPr>
          </w:p>
        </w:tc>
      </w:tr>
      <w:tr>
        <w:trPr>
          <w:trHeight w:val="250"/>
        </w:trPr>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8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21"/>
                <w:szCs w:val="21"/>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Redevelopment and tenant improvements and incentives</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40,688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28,097</w:t>
            </w: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123,112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102,494</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7"/>
                <w:szCs w:val="17"/>
                <w:color w:val="auto"/>
              </w:rPr>
              <w:t>Maintenance capital expenditures</w:t>
            </w:r>
          </w:p>
        </w:tc>
        <w:tc>
          <w:tcPr>
            <w:tcW w:w="280" w:type="dxa"/>
            <w:vAlign w:val="bottom"/>
          </w:tcPr>
          <w:p>
            <w:pPr>
              <w:spacing w:after="0"/>
              <w:rPr>
                <w:sz w:val="21"/>
                <w:szCs w:val="21"/>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12,347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8,280</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00"/>
              <w:spacing w:after="0"/>
              <w:rPr>
                <w:sz w:val="20"/>
                <w:szCs w:val="20"/>
                <w:color w:val="auto"/>
              </w:rPr>
            </w:pPr>
            <w:r>
              <w:rPr>
                <w:rFonts w:ascii="Arial" w:cs="Arial" w:eastAsia="Arial" w:hAnsi="Arial"/>
                <w:sz w:val="18"/>
                <w:szCs w:val="18"/>
                <w:color w:val="auto"/>
              </w:rPr>
              <w:t>22,508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18,711</w:t>
            </w:r>
          </w:p>
        </w:tc>
        <w:tc>
          <w:tcPr>
            <w:tcW w:w="740" w:type="dxa"/>
            <w:vAlign w:val="bottom"/>
          </w:tcPr>
          <w:p>
            <w:pPr>
              <w:spacing w:after="0"/>
              <w:rPr>
                <w:sz w:val="21"/>
                <w:szCs w:val="2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53,035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36,377</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145,620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121,205</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176"/>
        </w:trPr>
        <w:tc>
          <w:tcPr>
            <w:tcW w:w="4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Comparable Property - Occupancy Statistics (2)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64"/>
        </w:trPr>
        <w:tc>
          <w:tcPr>
            <w:tcW w:w="464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center"/>
              <w:ind w:right="136"/>
              <w:spacing w:after="0"/>
              <w:rPr>
                <w:sz w:val="20"/>
                <w:szCs w:val="20"/>
                <w:color w:val="auto"/>
              </w:rPr>
            </w:pPr>
            <w:r>
              <w:rPr>
                <w:rFonts w:ascii="Arial" w:cs="Arial" w:eastAsia="Arial" w:hAnsi="Arial"/>
                <w:sz w:val="14"/>
                <w:szCs w:val="14"/>
                <w:b w:val="1"/>
                <w:bCs w:val="1"/>
                <w:color w:val="auto"/>
                <w:w w:val="92"/>
              </w:rPr>
              <w:t>At December 31,</w:t>
            </w:r>
          </w:p>
        </w:tc>
        <w:tc>
          <w:tcPr>
            <w:tcW w:w="740" w:type="dxa"/>
            <w:vAlign w:val="bottom"/>
            <w:tcBorders>
              <w:bottom w:val="single" w:sz="8" w:color="CCEEFF"/>
            </w:tcBorders>
          </w:tcPr>
          <w:p>
            <w:pPr>
              <w:spacing w:after="0"/>
              <w:rPr>
                <w:sz w:val="22"/>
                <w:szCs w:val="22"/>
                <w:color w:val="auto"/>
              </w:rPr>
            </w:pPr>
          </w:p>
        </w:tc>
      </w:tr>
      <w:tr>
        <w:trPr>
          <w:trHeight w:val="264"/>
        </w:trPr>
        <w:tc>
          <w:tcPr>
            <w:tcW w:w="46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740" w:type="dxa"/>
            <w:vAlign w:val="bottom"/>
            <w:shd w:val="clear" w:color="auto" w:fill="CCEEFF"/>
          </w:tcPr>
          <w:p>
            <w:pPr>
              <w:spacing w:after="0"/>
              <w:rPr>
                <w:sz w:val="22"/>
                <w:szCs w:val="22"/>
                <w:color w:val="auto"/>
              </w:rPr>
            </w:pPr>
          </w:p>
        </w:tc>
      </w:tr>
      <w:tr>
        <w:trPr>
          <w:trHeight w:val="225"/>
        </w:trPr>
        <w:tc>
          <w:tcPr>
            <w:tcW w:w="4640" w:type="dxa"/>
            <w:vAlign w:val="bottom"/>
          </w:tcPr>
          <w:p>
            <w:pPr>
              <w:ind w:left="40"/>
              <w:spacing w:after="0"/>
              <w:rPr>
                <w:sz w:val="20"/>
                <w:szCs w:val="20"/>
                <w:color w:val="auto"/>
              </w:rPr>
            </w:pPr>
            <w:r>
              <w:rPr>
                <w:rFonts w:ascii="Arial" w:cs="Arial" w:eastAsia="Arial" w:hAnsi="Arial"/>
                <w:sz w:val="17"/>
                <w:szCs w:val="17"/>
                <w:color w:val="auto"/>
              </w:rPr>
              <w:t>GLA - comparable commercial properties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00"/>
              <w:spacing w:after="0"/>
              <w:rPr>
                <w:sz w:val="20"/>
                <w:szCs w:val="20"/>
                <w:color w:val="auto"/>
              </w:rPr>
            </w:pPr>
            <w:r>
              <w:rPr>
                <w:rFonts w:ascii="Arial" w:cs="Arial" w:eastAsia="Arial" w:hAnsi="Arial"/>
                <w:sz w:val="17"/>
                <w:szCs w:val="17"/>
                <w:color w:val="auto"/>
              </w:rPr>
              <w:t>21,825,000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96"/>
              <w:spacing w:after="0"/>
              <w:rPr>
                <w:sz w:val="20"/>
                <w:szCs w:val="20"/>
                <w:color w:val="auto"/>
              </w:rPr>
            </w:pPr>
            <w:r>
              <w:rPr>
                <w:rFonts w:ascii="Arial" w:cs="Arial" w:eastAsia="Arial" w:hAnsi="Arial"/>
                <w:sz w:val="17"/>
                <w:szCs w:val="17"/>
                <w:color w:val="auto"/>
                <w:w w:val="89"/>
              </w:rPr>
              <w:t>22,028,000</w:t>
            </w:r>
          </w:p>
        </w:tc>
        <w:tc>
          <w:tcPr>
            <w:tcW w:w="740" w:type="dxa"/>
            <w:vAlign w:val="bottom"/>
          </w:tcPr>
          <w:p>
            <w:pPr>
              <w:spacing w:after="0"/>
              <w:rPr>
                <w:sz w:val="19"/>
                <w:szCs w:val="19"/>
                <w:color w:val="auto"/>
              </w:rPr>
            </w:pPr>
          </w:p>
        </w:tc>
      </w:tr>
      <w:tr>
        <w:trPr>
          <w:trHeight w:val="31"/>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Leased % - comparable commercial properties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95.1%</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239"/>
        </w:trPr>
        <w:tc>
          <w:tcPr>
            <w:tcW w:w="4640" w:type="dxa"/>
            <w:vAlign w:val="bottom"/>
          </w:tcPr>
          <w:p>
            <w:pPr>
              <w:ind w:left="40"/>
              <w:spacing w:after="0"/>
              <w:rPr>
                <w:sz w:val="20"/>
                <w:szCs w:val="20"/>
                <w:color w:val="auto"/>
              </w:rPr>
            </w:pPr>
            <w:r>
              <w:rPr>
                <w:rFonts w:ascii="Arial" w:cs="Arial" w:eastAsia="Arial" w:hAnsi="Arial"/>
                <w:sz w:val="17"/>
                <w:szCs w:val="17"/>
                <w:color w:val="auto"/>
              </w:rPr>
              <w:t>Occupancy % - comparable commercial properties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94.0%</w:t>
            </w:r>
          </w:p>
        </w:tc>
        <w:tc>
          <w:tcPr>
            <w:tcW w:w="740" w:type="dxa"/>
            <w:vAlign w:val="bottom"/>
          </w:tcPr>
          <w:p>
            <w:pPr>
              <w:spacing w:after="0"/>
              <w:rPr>
                <w:sz w:val="20"/>
                <w:szCs w:val="20"/>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640" w:hanging="57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page 10 for "Summary of Capital Expenditures" for our entire portfolio.</w:t>
      </w:r>
    </w:p>
    <w:p>
      <w:pPr>
        <w:spacing w:after="0" w:line="72" w:lineRule="exact"/>
        <w:rPr>
          <w:rFonts w:ascii="Arial" w:cs="Arial" w:eastAsia="Arial" w:hAnsi="Arial"/>
          <w:sz w:val="16"/>
          <w:szCs w:val="16"/>
          <w:color w:val="auto"/>
        </w:rPr>
      </w:pPr>
    </w:p>
    <w:p>
      <w:pPr>
        <w:ind w:left="640" w:hanging="57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page 28 for entire portfolio occupancy statistics.</w:t>
      </w:r>
    </w:p>
    <w:p>
      <w:pPr>
        <w:sectPr>
          <w:pgSz w:w="11900" w:h="16838" w:orient="portrait"/>
          <w:cols w:equalWidth="0" w:num="1">
            <w:col w:w="11420"/>
          </w:cols>
          <w:pgMar w:left="240" w:top="715" w:right="239" w:bottom="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15" w:right="239" w:bottom="0" w:gutter="0" w:footer="0" w:header="0"/>
          <w:type w:val="continuous"/>
        </w:sectPr>
      </w:pPr>
    </w:p>
    <w:bookmarkStart w:id="16" w:name="page17"/>
    <w:bookmarkEnd w:id="16"/>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Finance Lease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rPr>
              <w:t>As of December 31, 2019</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effective rate (7)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Mortgages payable (1)</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i w:val="1"/>
                <w:iCs w:val="1"/>
                <w:color w:val="auto"/>
              </w:rPr>
              <w:t>Secured fixed rate</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Shops at Sunset Place</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9/1/2020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61,987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29th Place</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1/31/2021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3,878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Sylmar Towne Center</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6/6/2021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16,630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Plaza Del Sol</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12/1/2021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8,230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AVENUE at White Marsh</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Montrose Crossing</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67,492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Azalea</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11/1/2025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Bell Gardens</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8/1/2026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4.06%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12,677</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Plaza El Segundo</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6/5/2027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The Grove at Shrewsbury (East)</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9/1/2027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43,600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Brook 35</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Hoboken (24 Buildings) (2)</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12/15/2029</w:t>
            </w: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LIBOR + 1.95%</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56,450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Various Hoboken (12 Buildings)</w:t>
            </w: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Various through 2029</w:t>
            </w: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Various (4)</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24,627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Chelsea</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5,597</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Hoboken (1 Building) (3)</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7/1/2042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16,874</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5"/>
          </w:tcPr>
          <w:p>
            <w:pPr>
              <w:ind w:left="680"/>
              <w:spacing w:after="0"/>
              <w:rPr>
                <w:sz w:val="20"/>
                <w:szCs w:val="20"/>
                <w:color w:val="auto"/>
              </w:rPr>
            </w:pPr>
            <w:r>
              <w:rPr>
                <w:rFonts w:ascii="Arial" w:cs="Arial" w:eastAsia="Arial" w:hAnsi="Arial"/>
                <w:sz w:val="16"/>
                <w:szCs w:val="16"/>
                <w:color w:val="auto"/>
              </w:rPr>
              <w:t>Subtotal</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547,247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60" w:type="dxa"/>
            <w:vAlign w:val="bottom"/>
            <w:tcBorders>
              <w:bottom w:val="single" w:sz="8" w:color="CCEEFF"/>
            </w:tcBorders>
            <w:gridSpan w:val="7"/>
            <w:shd w:val="clear" w:color="auto" w:fill="CCEEFF"/>
          </w:tcPr>
          <w:p>
            <w:pPr>
              <w:ind w:left="900"/>
              <w:spacing w:after="0"/>
              <w:rPr>
                <w:sz w:val="20"/>
                <w:szCs w:val="20"/>
                <w:color w:val="auto"/>
              </w:rPr>
            </w:pPr>
            <w:r>
              <w:rPr>
                <w:rFonts w:ascii="Arial" w:cs="Arial" w:eastAsia="Arial" w:hAnsi="Arial"/>
                <w:sz w:val="16"/>
                <w:szCs w:val="16"/>
                <w:color w:val="auto"/>
              </w:rPr>
              <w:t>Net unamortized premium and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5"/>
          </w:tcPr>
          <w:p>
            <w:pPr>
              <w:ind w:left="680"/>
              <w:spacing w:after="0"/>
              <w:rPr>
                <w:sz w:val="20"/>
                <w:szCs w:val="20"/>
                <w:color w:val="auto"/>
              </w:rPr>
            </w:pPr>
            <w:r>
              <w:rPr>
                <w:rFonts w:ascii="Arial" w:cs="Arial" w:eastAsia="Arial" w:hAnsi="Arial"/>
                <w:sz w:val="16"/>
                <w:szCs w:val="16"/>
                <w:color w:val="auto"/>
              </w:rPr>
              <w:t>Total mortgages payable, net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545,679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5"/>
          </w:tcPr>
          <w:p>
            <w:pPr>
              <w:spacing w:after="0"/>
              <w:rPr>
                <w:sz w:val="20"/>
                <w:szCs w:val="20"/>
                <w:color w:val="auto"/>
              </w:rPr>
            </w:pPr>
            <w:r>
              <w:rPr>
                <w:rFonts w:ascii="Arial" w:cs="Arial" w:eastAsia="Arial" w:hAnsi="Arial"/>
                <w:sz w:val="16"/>
                <w:szCs w:val="16"/>
                <w:color w:val="auto"/>
              </w:rPr>
              <w:t>Notes payable</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Revolving credit facility (5)</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1/19/2024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6"/>
              </w:rPr>
              <w:t>LIBOR + 0.775%</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Various</w:t>
            </w: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Various through 2028</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3,843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3,843</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900"/>
              <w:spacing w:after="0"/>
              <w:rPr>
                <w:sz w:val="20"/>
                <w:szCs w:val="20"/>
                <w:color w:val="auto"/>
              </w:rPr>
            </w:pPr>
            <w:r>
              <w:rPr>
                <w:rFonts w:ascii="Arial" w:cs="Arial" w:eastAsia="Arial" w:hAnsi="Arial"/>
                <w:sz w:val="16"/>
                <w:szCs w:val="16"/>
                <w:color w:val="auto"/>
              </w:rPr>
              <w:t>Net unamortized debt issuance costs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notes payable, net</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Senior notes and debentures</w:t>
            </w: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740" w:type="dxa"/>
            <w:vAlign w:val="bottom"/>
            <w:tcBorders>
              <w:top w:val="single" w:sz="8" w:color="CCEEFF"/>
            </w:tcBorders>
          </w:tcPr>
          <w:p>
            <w:pPr>
              <w:spacing w:after="0"/>
              <w:rPr>
                <w:sz w:val="20"/>
                <w:szCs w:val="20"/>
                <w:color w:val="auto"/>
              </w:rPr>
            </w:pPr>
          </w:p>
        </w:tc>
        <w:tc>
          <w:tcPr>
            <w:tcW w:w="19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7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6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2.55% notes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3.00% notes</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8/1/2022</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2.75% notes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6/1/2023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3.95% notes</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1/15/2024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7.48% debentures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8/15/2026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3.25% notes</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7/15/2027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6.82% medium term notes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3.20% notes</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6/15/2029</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4.50% notes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12/1/2044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6"/>
                <w:szCs w:val="16"/>
                <w:color w:val="auto"/>
              </w:rPr>
              <w:t>3.625% notes</w:t>
            </w: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8/1/2046</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2,819,200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gridSpan w:val="7"/>
          </w:tcPr>
          <w:p>
            <w:pPr>
              <w:ind w:left="900"/>
              <w:spacing w:after="0"/>
              <w:rPr>
                <w:sz w:val="20"/>
                <w:szCs w:val="20"/>
                <w:color w:val="auto"/>
              </w:rPr>
            </w:pPr>
            <w:r>
              <w:rPr>
                <w:rFonts w:ascii="Arial" w:cs="Arial" w:eastAsia="Arial" w:hAnsi="Arial"/>
                <w:sz w:val="16"/>
                <w:szCs w:val="16"/>
                <w:color w:val="auto"/>
              </w:rPr>
              <w:t>Net unamortized discount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(12,066)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senior notes and debentures, net</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2,807,134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7"/>
            <w:shd w:val="clear" w:color="auto" w:fill="CCEEFF"/>
          </w:tcPr>
          <w:p>
            <w:pPr>
              <w:ind w:left="320"/>
              <w:spacing w:after="0"/>
              <w:rPr>
                <w:sz w:val="20"/>
                <w:szCs w:val="20"/>
                <w:color w:val="auto"/>
              </w:rPr>
            </w:pPr>
            <w:r>
              <w:rPr>
                <w:rFonts w:ascii="Arial" w:cs="Arial" w:eastAsia="Arial" w:hAnsi="Arial"/>
                <w:sz w:val="16"/>
                <w:szCs w:val="16"/>
                <w:color w:val="auto"/>
                <w:w w:val="93"/>
              </w:rPr>
              <w:t>Total mortgages payable, notes payable, and senior notes and debentures,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3,356,594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Finance lease liabilities</w:t>
            </w: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520" w:type="dxa"/>
            <w:vAlign w:val="bottom"/>
            <w:tcBorders>
              <w:top w:val="single" w:sz="8" w:color="auto"/>
            </w:tcBorders>
            <w:gridSpan w:val="3"/>
          </w:tcPr>
          <w:p>
            <w:pPr>
              <w:ind w:left="320"/>
              <w:spacing w:after="0"/>
              <w:rPr>
                <w:sz w:val="20"/>
                <w:szCs w:val="20"/>
                <w:color w:val="auto"/>
              </w:rPr>
            </w:pPr>
            <w:r>
              <w:rPr>
                <w:rFonts w:ascii="Arial" w:cs="Arial" w:eastAsia="Arial" w:hAnsi="Arial"/>
                <w:sz w:val="16"/>
                <w:szCs w:val="16"/>
                <w:color w:val="auto"/>
              </w:rPr>
              <w:t>Various</w:t>
            </w:r>
          </w:p>
        </w:tc>
        <w:tc>
          <w:tcPr>
            <w:tcW w:w="2040" w:type="dxa"/>
            <w:vAlign w:val="bottom"/>
            <w:tcBorders>
              <w:top w:val="single" w:sz="8" w:color="CCEEFF"/>
            </w:tcBorders>
            <w:gridSpan w:val="2"/>
          </w:tcPr>
          <w:p>
            <w:pPr>
              <w:spacing w:after="0"/>
              <w:rPr>
                <w:sz w:val="20"/>
                <w:szCs w:val="20"/>
                <w:color w:val="auto"/>
              </w:rPr>
            </w:pPr>
          </w:p>
        </w:tc>
        <w:tc>
          <w:tcPr>
            <w:tcW w:w="20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1"/>
              </w:rPr>
              <w:t>Various through 2106</w:t>
            </w:r>
          </w:p>
        </w:tc>
        <w:tc>
          <w:tcPr>
            <w:tcW w:w="18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200" w:type="dxa"/>
            <w:vAlign w:val="bottom"/>
            <w:tcBorders>
              <w:top w:val="single" w:sz="8" w:color="CCEEFF"/>
            </w:tcBorders>
          </w:tcPr>
          <w:p>
            <w:pPr>
              <w:spacing w:after="0"/>
              <w:rPr>
                <w:sz w:val="20"/>
                <w:szCs w:val="20"/>
                <w:color w:val="auto"/>
              </w:rPr>
            </w:pPr>
          </w:p>
        </w:tc>
        <w:tc>
          <w:tcPr>
            <w:tcW w:w="124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72,062</w:t>
            </w:r>
          </w:p>
        </w:tc>
        <w:tc>
          <w:tcPr>
            <w:tcW w:w="12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8.03%</w:t>
            </w:r>
          </w:p>
        </w:tc>
        <w:tc>
          <w:tcPr>
            <w:tcW w:w="3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debt and finance lease liabilities</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3,428,656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6"/>
                <w:szCs w:val="16"/>
                <w:color w:val="auto"/>
                <w:w w:val="96"/>
              </w:rPr>
              <w:t>Total fixed rate debt and finance lease liabilities, net</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3,428,656</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Total variable rate debt</w:t>
            </w: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5"/>
          </w:tcPr>
          <w:p>
            <w:pPr>
              <w:spacing w:after="0"/>
              <w:rPr>
                <w:sz w:val="20"/>
                <w:szCs w:val="20"/>
                <w:color w:val="auto"/>
              </w:rPr>
            </w:pPr>
            <w:r>
              <w:rPr>
                <w:rFonts w:ascii="Arial" w:cs="Arial" w:eastAsia="Arial" w:hAnsi="Arial"/>
                <w:sz w:val="16"/>
                <w:szCs w:val="16"/>
                <w:color w:val="auto"/>
              </w:rPr>
              <w:t>Total debt and finance lease liabilities, net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3,428,656</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3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ectPr>
          <w:pgSz w:w="11900" w:h="16905" w:orient="portrait"/>
          <w:cols w:equalWidth="0" w:num="1">
            <w:col w:w="11280"/>
          </w:cols>
          <w:pgMar w:left="320" w:top="720" w:right="29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4891405</wp:posOffset>
            </wp:positionH>
            <wp:positionV relativeFrom="page">
              <wp:posOffset>106045</wp:posOffset>
            </wp:positionV>
            <wp:extent cx="22555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5520" cy="26035"/>
                    </a:xfrm>
                    <a:prstGeom prst="rect">
                      <a:avLst/>
                    </a:prstGeom>
                    <a:noFill/>
                  </pic:spPr>
                </pic:pic>
              </a:graphicData>
            </a:graphic>
          </wp:anchor>
        </w:drawing>
        <w:t>14</w:t>
      </w:r>
    </w:p>
    <w:p>
      <w:pPr>
        <w:sectPr>
          <w:pgSz w:w="11900" w:h="16838" w:orient="portrait"/>
          <w:cols w:equalWidth="0" w:num="1">
            <w:col w:w="9019"/>
          </w:cols>
          <w:pgMar w:left="1440" w:top="409"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2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Year Ended</w:t>
            </w:r>
          </w:p>
        </w:tc>
      </w:tr>
      <w:tr>
        <w:trPr>
          <w:trHeight w:val="270"/>
        </w:trPr>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2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80"/>
        </w:trPr>
        <w:tc>
          <w:tcPr>
            <w:tcW w:w="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48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800" w:type="dxa"/>
            <w:vAlign w:val="bottom"/>
          </w:tcPr>
          <w:p>
            <w:pPr>
              <w:jc w:val="right"/>
              <w:ind w:right="18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800" w:type="dxa"/>
            <w:vAlign w:val="bottom"/>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800" w:type="dxa"/>
            <w:vAlign w:val="bottom"/>
          </w:tcPr>
          <w:p>
            <w:pPr>
              <w:jc w:val="right"/>
              <w:ind w:right="182"/>
              <w:spacing w:after="0"/>
              <w:rPr>
                <w:sz w:val="20"/>
                <w:szCs w:val="20"/>
                <w:color w:val="auto"/>
              </w:rPr>
            </w:pPr>
            <w:r>
              <w:rPr>
                <w:rFonts w:ascii="Arial" w:cs="Arial" w:eastAsia="Arial" w:hAnsi="Arial"/>
                <w:sz w:val="14"/>
                <w:szCs w:val="14"/>
                <w:b w:val="1"/>
                <w:bCs w:val="1"/>
                <w:color w:val="auto"/>
              </w:rPr>
              <w:t>2018</w:t>
            </w:r>
          </w:p>
        </w:tc>
      </w:tr>
      <w:tr>
        <w:trPr>
          <w:trHeight w:val="80"/>
        </w:trPr>
        <w:tc>
          <w:tcPr>
            <w:tcW w:w="40" w:type="dxa"/>
            <w:vAlign w:val="bottom"/>
            <w:tcBorders>
              <w:bottom w:val="single" w:sz="8" w:color="CCEEFF"/>
            </w:tcBorders>
          </w:tcPr>
          <w:p>
            <w:pPr>
              <w:spacing w:after="0"/>
              <w:rPr>
                <w:sz w:val="6"/>
                <w:szCs w:val="6"/>
                <w:color w:val="auto"/>
              </w:rPr>
            </w:pPr>
          </w:p>
        </w:tc>
        <w:tc>
          <w:tcPr>
            <w:tcW w:w="1380" w:type="dxa"/>
            <w:vAlign w:val="bottom"/>
            <w:tcBorders>
              <w:bottom w:val="single" w:sz="8" w:color="CCEEFF"/>
            </w:tcBorders>
          </w:tcPr>
          <w:p>
            <w:pPr>
              <w:spacing w:after="0"/>
              <w:rPr>
                <w:sz w:val="6"/>
                <w:szCs w:val="6"/>
                <w:color w:val="auto"/>
              </w:rPr>
            </w:pPr>
          </w:p>
        </w:tc>
        <w:tc>
          <w:tcPr>
            <w:tcW w:w="648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169"/>
        </w:trPr>
        <w:tc>
          <w:tcPr>
            <w:tcW w:w="7900" w:type="dxa"/>
            <w:vAlign w:val="bottom"/>
            <w:gridSpan w:val="3"/>
            <w:shd w:val="clear" w:color="auto" w:fill="CCEEFF"/>
          </w:tcPr>
          <w:p>
            <w:pPr>
              <w:ind w:left="40"/>
              <w:spacing w:after="0" w:line="169" w:lineRule="exact"/>
              <w:rPr>
                <w:sz w:val="20"/>
                <w:szCs w:val="20"/>
                <w:color w:val="auto"/>
              </w:rPr>
            </w:pPr>
            <w:r>
              <w:rPr>
                <w:rFonts w:ascii="Arial" w:cs="Arial" w:eastAsia="Arial" w:hAnsi="Arial"/>
                <w:sz w:val="16"/>
                <w:szCs w:val="16"/>
                <w:color w:val="auto"/>
              </w:rPr>
              <w:t>Operational Statistics</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auto"/>
            </w:tcBorders>
            <w:shd w:val="clear" w:color="auto" w:fill="CCEEFF"/>
          </w:tcPr>
          <w:p>
            <w:pPr>
              <w:spacing w:after="0"/>
              <w:rPr>
                <w:sz w:val="6"/>
                <w:szCs w:val="6"/>
                <w:color w:val="auto"/>
              </w:rPr>
            </w:pPr>
          </w:p>
        </w:tc>
        <w:tc>
          <w:tcPr>
            <w:tcW w:w="64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r>
      <w:tr>
        <w:trPr>
          <w:trHeight w:val="224"/>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Including lease buyout charge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Ratio of EBITDAre to combined fixed charges and preferred share dividends (9)</w:t>
            </w:r>
          </w:p>
        </w:tc>
        <w:tc>
          <w:tcPr>
            <w:tcW w:w="9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4.17x</w:t>
            </w:r>
          </w:p>
        </w:tc>
        <w:tc>
          <w:tcPr>
            <w:tcW w:w="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4.28x</w:t>
            </w:r>
          </w:p>
        </w:tc>
        <w:tc>
          <w:tcPr>
            <w:tcW w:w="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4.16x</w:t>
            </w:r>
          </w:p>
        </w:tc>
        <w:tc>
          <w:tcPr>
            <w:tcW w:w="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w w:val="96"/>
              </w:rPr>
              <w:t>4.22x</w:t>
            </w:r>
          </w:p>
        </w:tc>
      </w:tr>
      <w:tr>
        <w:trPr>
          <w:trHeight w:val="224"/>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Excluding lease buyout charge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37"/>
        </w:trPr>
        <w:tc>
          <w:tcPr>
            <w:tcW w:w="4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Ratio of EBITDAre to combined fixed charges and preferred share dividends (9) (10)</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4.17x</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4.28x</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4.24x</w:t>
            </w:r>
          </w:p>
        </w:tc>
        <w:tc>
          <w:tcPr>
            <w:tcW w:w="80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6"/>
              </w:rPr>
              <w:t>4.22x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8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Mortgage payable does not include our share of debt on our unconsolidated real estate partnerships. At December 31, 2019, our share was approximately $54.0 million. At December 31, 2019, our noncontrolling interests' share of mortgages payable was $59.0 million.</w:t>
      </w:r>
    </w:p>
    <w:p>
      <w:pPr>
        <w:spacing w:after="0" w:line="16"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On November 26, 2019, we entered into two interest rate swap agreements that fix the interest rate on the mortgage loan at 3.67%</w:t>
      </w:r>
      <w:r>
        <w:rPr>
          <w:rFonts w:ascii="Arial" w:cs="Arial" w:eastAsia="Arial" w:hAnsi="Arial"/>
          <w:sz w:val="18"/>
          <w:szCs w:val="18"/>
          <w:color w:val="auto"/>
        </w:rPr>
        <w:t>.</w:t>
      </w:r>
    </w:p>
    <w:p>
      <w:pPr>
        <w:spacing w:after="0" w:line="72" w:lineRule="exact"/>
        <w:rPr>
          <w:rFonts w:ascii="Arial" w:cs="Arial" w:eastAsia="Arial" w:hAnsi="Arial"/>
          <w:sz w:val="14"/>
          <w:szCs w:val="14"/>
          <w:color w:val="auto"/>
        </w:rPr>
      </w:pPr>
    </w:p>
    <w:p>
      <w:pPr>
        <w:ind w:left="660" w:right="22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mortgage loan has a fixed interest rate, however, the rate resets every five years until maturity. The current interest rate is fixed until July 1, 2022 and the loan is prepayable at par anytime after this date.</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interest rates on these mortgages range from 3.91% to 5.00%.</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revolving credit facility has a borrowing capacity of $1.0 billion. The maximum amount drawn under our revolving credit facility during the three months and year ended</w:t>
      </w:r>
    </w:p>
    <w:p>
      <w:pPr>
        <w:spacing w:after="0" w:line="13" w:lineRule="exact"/>
        <w:rPr>
          <w:rFonts w:ascii="Arial" w:cs="Arial" w:eastAsia="Arial" w:hAnsi="Arial"/>
          <w:sz w:val="14"/>
          <w:szCs w:val="14"/>
          <w:color w:val="auto"/>
        </w:rPr>
      </w:pPr>
    </w:p>
    <w:p>
      <w:pPr>
        <w:ind w:left="660" w:right="40"/>
        <w:spacing w:after="0" w:line="255" w:lineRule="auto"/>
        <w:rPr>
          <w:rFonts w:ascii="Arial" w:cs="Arial" w:eastAsia="Arial" w:hAnsi="Arial"/>
          <w:sz w:val="14"/>
          <w:szCs w:val="14"/>
          <w:color w:val="auto"/>
        </w:rPr>
      </w:pPr>
      <w:r>
        <w:rPr>
          <w:rFonts w:ascii="Arial" w:cs="Arial" w:eastAsia="Arial" w:hAnsi="Arial"/>
          <w:sz w:val="14"/>
          <w:szCs w:val="14"/>
          <w:color w:val="auto"/>
        </w:rPr>
        <w:t>December 31, 2019 was $40.5 million and $116.5 million, respectively. The weighted average effective interest rate on borrowings under our revolving credit facility, before amortization of debt fees, for the three months and year ended December 31, 2019 was 2.5% and 3.2%, respectively.</w:t>
      </w:r>
    </w:p>
    <w:p>
      <w:pPr>
        <w:spacing w:after="0" w:line="24"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weighted average remaining term on our mortgages payable, notes payable, and senior notes and debentures, is 10 years.</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8.</w:t>
      </w:r>
    </w:p>
    <w:p>
      <w:pPr>
        <w:spacing w:after="0" w:line="55" w:lineRule="exact"/>
        <w:rPr>
          <w:rFonts w:ascii="Arial" w:cs="Arial" w:eastAsia="Arial" w:hAnsi="Arial"/>
          <w:sz w:val="14"/>
          <w:szCs w:val="14"/>
          <w:color w:val="auto"/>
        </w:rPr>
      </w:pPr>
    </w:p>
    <w:p>
      <w:pPr>
        <w:ind w:left="660" w:right="12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$0.6 million in quarterly financing fees and debt fee amortization on our revolving credit facility which had no outstanding balance on December 31, 2019.</w:t>
      </w:r>
    </w:p>
    <w:p>
      <w:pPr>
        <w:spacing w:after="0" w:line="11" w:lineRule="exact"/>
        <w:rPr>
          <w:rFonts w:ascii="Arial" w:cs="Arial" w:eastAsia="Arial" w:hAnsi="Arial"/>
          <w:sz w:val="14"/>
          <w:szCs w:val="14"/>
          <w:color w:val="auto"/>
        </w:rPr>
      </w:pPr>
    </w:p>
    <w:p>
      <w:pPr>
        <w:ind w:left="660" w:right="4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EBITDAre is reconciled to net income in the Glossary of Terms.</w:t>
      </w:r>
    </w:p>
    <w:p>
      <w:pPr>
        <w:spacing w:after="0" w:line="11" w:lineRule="exact"/>
        <w:rPr>
          <w:rFonts w:ascii="Arial" w:cs="Arial" w:eastAsia="Arial" w:hAnsi="Arial"/>
          <w:sz w:val="14"/>
          <w:szCs w:val="14"/>
          <w:color w:val="auto"/>
        </w:rPr>
      </w:pPr>
    </w:p>
    <w:p>
      <w:pPr>
        <w:ind w:left="660" w:right="30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ratio of EBITDAre to combined fixed charges and preferred share dividends for the year ended December 31, 2019 excludes the $11.9 million charge related to the buyout of the Kmart lease at Assembly Square Marketplace.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11"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2019</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Average Rate</w:t>
            </w:r>
          </w:p>
        </w:tc>
        <w:tc>
          <w:tcPr>
            <w:tcW w:w="340" w:type="dxa"/>
            <w:vAlign w:val="bottom"/>
          </w:tcPr>
          <w:p>
            <w:pPr>
              <w:spacing w:after="0"/>
              <w:rPr>
                <w:sz w:val="17"/>
                <w:szCs w:val="17"/>
                <w:color w:val="auto"/>
              </w:rPr>
            </w:pPr>
          </w:p>
        </w:tc>
      </w:tr>
      <w:tr>
        <w:trPr>
          <w:trHeight w:val="210"/>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(2)</w:t>
            </w:r>
          </w:p>
        </w:tc>
        <w:tc>
          <w:tcPr>
            <w:tcW w:w="340" w:type="dxa"/>
            <w:vAlign w:val="bottom"/>
          </w:tcPr>
          <w:p>
            <w:pPr>
              <w:spacing w:after="0"/>
              <w:rPr>
                <w:sz w:val="18"/>
                <w:szCs w:val="18"/>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8"/>
        </w:trPr>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6,272</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60,593</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66,865</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4,653</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277,546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282,199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10.4%</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3,893</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366,323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370,216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4,068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275,000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279,068</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29.7%</w:t>
            </w: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4,086</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304,086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3,717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44,298</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48,015</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40.1%</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3,166</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52,450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55,616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2,911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683,600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686,511</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62.1%</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2,934</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2029</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2,770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458,099</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460,869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75.9%</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8,012</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805,899</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813,911</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CCEEFF"/>
            </w:tcBorders>
            <w:shd w:val="clear" w:color="auto" w:fill="CCEEFF"/>
          </w:tcPr>
          <w:p>
            <w:pPr>
              <w:spacing w:after="0"/>
              <w:rPr>
                <w:sz w:val="23"/>
                <w:szCs w:val="23"/>
                <w:color w:val="auto"/>
              </w:rPr>
            </w:pPr>
          </w:p>
        </w:tc>
      </w:tr>
      <w:tr>
        <w:trPr>
          <w:trHeight w:val="250"/>
        </w:trPr>
        <w:tc>
          <w:tcPr>
            <w:tcW w:w="198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46,482</w:t>
            </w:r>
          </w:p>
        </w:tc>
        <w:tc>
          <w:tcPr>
            <w:tcW w:w="3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3,323,808</w:t>
            </w:r>
          </w:p>
        </w:tc>
        <w:tc>
          <w:tcPr>
            <w:tcW w:w="34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3,370,290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8890</wp:posOffset>
            </wp:positionV>
            <wp:extent cx="404749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47490"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260" w:hanging="652"/>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premium/discount and debt issuance costs on certain mortgage loans, note payable, and senior notes as of December 31, 2019.</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right="400" w:hanging="652"/>
        <w:spacing w:after="0" w:line="349"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weighted average rate excludes $0.6 million in quarterly financing fees and debt fee amortization on our revolving credit facility, which had no outstanding balance at December 31, 2019. Our $1.0 billion revolving credit facility matures on January 19, 2024, plus two six month extensions at our option.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15"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2019</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 (1)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6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Property</w:t>
            </w:r>
          </w:p>
        </w:tc>
        <w:tc>
          <w:tcPr>
            <w:tcW w:w="260" w:type="dxa"/>
            <w:vAlign w:val="bottom"/>
          </w:tcPr>
          <w:p>
            <w:pPr>
              <w:spacing w:after="0"/>
              <w:rPr>
                <w:sz w:val="14"/>
                <w:szCs w:val="14"/>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2060" w:type="dxa"/>
            <w:vAlign w:val="bottom"/>
          </w:tcPr>
          <w:p>
            <w:pPr>
              <w:spacing w:after="0"/>
              <w:rPr>
                <w:sz w:val="14"/>
                <w:szCs w:val="14"/>
                <w:color w:val="auto"/>
              </w:rPr>
            </w:pPr>
          </w:p>
        </w:tc>
        <w:tc>
          <w:tcPr>
            <w:tcW w:w="3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Opportunity</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ROI (2)</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Cost (1)</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Projects Stabilized in 2019</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0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Brick Plaza</w:t>
            </w:r>
          </w:p>
        </w:tc>
        <w:tc>
          <w:tcPr>
            <w:tcW w:w="11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shd w:val="clear" w:color="auto" w:fill="CCEEFF"/>
              </w:rPr>
              <w:t>Brick, NJ</w:t>
            </w:r>
          </w:p>
        </w:tc>
        <w:tc>
          <w:tcPr>
            <w:tcW w:w="50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w w:val="93"/>
                <w:shd w:val="clear" w:color="auto" w:fill="CCEEFF"/>
              </w:rPr>
              <w:t>Redevelopment and repositioning of anchor tenant and small shop spaces to transform</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$30</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property into a market dominant center</w:t>
            </w:r>
          </w:p>
        </w:tc>
        <w:tc>
          <w:tcPr>
            <w:tcW w:w="8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Montrose Crossing</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Rockville, MD</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w w:val="94"/>
              </w:rPr>
              <w:t>Demolition of 10,000 square foot restaurant building to construct an 18,000 square foot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13%</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multi-tenant pad building</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Pike 7 Plaza</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Vienna, VA</w:t>
            </w: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Addition of 8,300 square foot multi-tenant retail pad building</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Willow Lawn</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Richmond, VA</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w w:val="94"/>
              </w:rPr>
              <w:t>Conversion of vacant 5,000 square foot pad building to retail use to accommodate new</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3,500 square foot fast casual restaurant tenant. Remainder of pad building to be</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0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demolished to construct new 2,200 square foot Starbucks pad site.</w:t>
            </w:r>
          </w:p>
        </w:tc>
        <w:tc>
          <w:tcPr>
            <w:tcW w:w="8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b w:val="1"/>
                <w:bCs w:val="1"/>
                <w:color w:val="auto"/>
                <w:w w:val="96"/>
              </w:rPr>
              <w:t>Total Projects Stabilized in 2019 (3) (4)</w:t>
            </w:r>
          </w:p>
        </w:tc>
        <w:tc>
          <w:tcPr>
            <w:tcW w:w="206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0"/>
                <w:shd w:val="clear" w:color="auto" w:fill="CCEEFF"/>
              </w:rPr>
              <w:t>Active Redevelopment Projects</w:t>
            </w:r>
          </w:p>
        </w:tc>
        <w:tc>
          <w:tcPr>
            <w:tcW w:w="9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Darien</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Darien, CT</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w w:val="93"/>
              </w:rPr>
              <w:t>Demolition of a 45,000 square foot anchor space to construct 75,000 square feet of new</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6%</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w w:val="98"/>
              </w:rPr>
              <w:t>$110 - $120</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retail space, 122 rental apartments, and 720 parking spaces</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CocoWalk</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Coconut Grove,</w:t>
            </w:r>
          </w:p>
        </w:tc>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Entire shopping center redevelopment to include: demolition of three story east wing of</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$85 - $90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2021</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FL</w:t>
            </w:r>
          </w:p>
        </w:tc>
        <w:tc>
          <w:tcPr>
            <w:tcW w:w="900" w:type="dxa"/>
            <w:vAlign w:val="bottom"/>
            <w:shd w:val="clear" w:color="auto" w:fill="CCEEFF"/>
          </w:tcPr>
          <w:p>
            <w:pPr>
              <w:spacing w:after="0"/>
              <w:rPr>
                <w:sz w:val="12"/>
                <w:szCs w:val="12"/>
                <w:color w:val="auto"/>
              </w:rPr>
            </w:pPr>
          </w:p>
        </w:tc>
        <w:tc>
          <w:tcPr>
            <w:tcW w:w="5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shd w:val="clear" w:color="auto" w:fill="CCEEFF"/>
              </w:rPr>
              <w:t>the property and construction of a 106,000 square foot 5-story office/retail building</w:t>
            </w: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with 24,000 square feet of retail; complete renovation of the west wing</w:t>
            </w:r>
          </w:p>
        </w:tc>
        <w:tc>
          <w:tcPr>
            <w:tcW w:w="8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Freedom Plaza (5)</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Los Angeles, CA</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rPr>
              <w:t>Development of a new 113,000 square foot single-story grocery anchored</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$38 - $42</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$30</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neighborhood shopping center</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Bala Cynwyd</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Bala Cynwyd, PA</w:t>
            </w:r>
          </w:p>
        </w:tc>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New 87 unit residential apartment building to be constructed on underutilized land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2021</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behind our existing shopping center</w:t>
            </w:r>
          </w:p>
        </w:tc>
        <w:tc>
          <w:tcPr>
            <w:tcW w:w="30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7021 Hollywood Blvd.</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Los Angeles, CA</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w w:val="91"/>
              </w:rPr>
              <w:t>Renovation of the center and three vacant spaces to accommodate a new 39,000 square</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$19</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$6</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foot anchor tenant</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Melville Mall</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Huntington, NY</w:t>
            </w:r>
          </w:p>
        </w:tc>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5"/>
                <w:shd w:val="clear" w:color="auto" w:fill="CCEEFF"/>
              </w:rPr>
              <w:t>Development of a new 15,000 square foot pad site consisting of two multi-tenant retail</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2021</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buildings</w:t>
            </w:r>
          </w:p>
        </w:tc>
        <w:tc>
          <w:tcPr>
            <w:tcW w:w="30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Lawrence Park</w:t>
            </w:r>
          </w:p>
        </w:tc>
        <w:tc>
          <w:tcPr>
            <w:tcW w:w="1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Broomall, PA</w:t>
            </w:r>
          </w:p>
        </w:tc>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rPr>
              <w:t>Full shopping center redevelopment to include expansion of Main Line Health into</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w w:val="93"/>
              </w:rPr>
              <w:t>vacant lower level space, creation of 17,800 square feet of small shop space converted</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4"/>
                <w:szCs w:val="14"/>
                <w:color w:val="auto"/>
              </w:rPr>
              <w:t>from vacated anchor space, and a façade renovation for the entire center</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Wildwood</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Bethesda, MD</w:t>
            </w: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4,900 square foot south end building expansion and site improvements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shd w:val="clear" w:color="auto" w:fill="CCEEFF"/>
              </w:rPr>
              <w:t>2020</w:t>
            </w:r>
          </w:p>
        </w:tc>
        <w:tc>
          <w:tcPr>
            <w:tcW w:w="0" w:type="dxa"/>
            <w:vAlign w:val="bottom"/>
          </w:tcPr>
          <w:p>
            <w:pPr>
              <w:spacing w:after="0"/>
              <w:rPr>
                <w:sz w:val="1"/>
                <w:szCs w:val="1"/>
                <w:color w:val="auto"/>
              </w:rPr>
            </w:pPr>
          </w:p>
        </w:tc>
      </w:tr>
      <w:tr>
        <w:trPr>
          <w:trHeight w:val="197"/>
        </w:trPr>
        <w:tc>
          <w:tcPr>
            <w:tcW w:w="1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Flourtown</w:t>
            </w:r>
          </w:p>
        </w:tc>
        <w:tc>
          <w:tcPr>
            <w:tcW w:w="1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Flourtown, PA</w:t>
            </w:r>
          </w:p>
        </w:tc>
        <w:tc>
          <w:tcPr>
            <w:tcW w:w="50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Development of a new 4,550 square foot two-tenant pad building</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b w:val="1"/>
                <w:bCs w:val="1"/>
                <w:color w:val="auto"/>
                <w:w w:val="92"/>
              </w:rPr>
              <w:t>Total Active Redevelopment projects (4)</w:t>
            </w:r>
          </w:p>
        </w:tc>
        <w:tc>
          <w:tcPr>
            <w:tcW w:w="206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$305 - $324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Stabilization is generally the year in which 90%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right="360" w:hanging="652"/>
        <w:spacing w:after="0" w:line="255"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 formerly known as Jordan Downs Plaza. Cost to date and projected cost are net of the proceeds we will receive from our New Market Tax Credit structure. See Note 3 of our December 31, 2019 Form 10-K for additional information.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33" w:right="239" w:bottom="1440" w:gutter="0" w:footer="0" w:header="0"/>
        </w:sectPr>
      </w:pPr>
    </w:p>
    <w:bookmarkStart w:id="21" w:name="page22"/>
    <w:bookmarkEnd w:id="21"/>
    <w:p>
      <w:pPr>
        <w:ind w:left="10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December 31, 2019</w:t>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9"/>
              </w:rPr>
              <w:t>Projected POI Delivered</w:t>
            </w:r>
          </w:p>
        </w:tc>
        <w:tc>
          <w:tcPr>
            <w:tcW w:w="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(as a % of Total)</w:t>
            </w:r>
          </w:p>
        </w:tc>
        <w:tc>
          <w:tcPr>
            <w:tcW w:w="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For Year Ended December 31,</w:t>
            </w:r>
          </w:p>
        </w:tc>
        <w:tc>
          <w:tcPr>
            <w:tcW w:w="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auto"/>
                <w:w w:val="87"/>
              </w:rPr>
              <w:t>Projected</w:t>
            </w:r>
          </w:p>
        </w:tc>
        <w:tc>
          <w:tcPr>
            <w:tcW w:w="3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9"/>
              </w:rPr>
              <w:t>Total</w:t>
            </w:r>
          </w:p>
        </w:tc>
        <w:tc>
          <w:tcPr>
            <w:tcW w:w="680" w:type="dxa"/>
            <w:vAlign w:val="bottom"/>
          </w:tcPr>
          <w:p>
            <w:pPr>
              <w:jc w:val="center"/>
              <w:spacing w:after="0"/>
              <w:rPr>
                <w:sz w:val="20"/>
                <w:szCs w:val="20"/>
                <w:color w:val="auto"/>
              </w:rPr>
            </w:pPr>
            <w:r>
              <w:rPr>
                <w:rFonts w:ascii="Arial" w:cs="Arial" w:eastAsia="Arial" w:hAnsi="Arial"/>
                <w:sz w:val="13"/>
                <w:szCs w:val="13"/>
                <w:color w:val="auto"/>
                <w:w w:val="87"/>
              </w:rPr>
              <w:t>Costs to</w:t>
            </w:r>
          </w:p>
        </w:tc>
        <w:tc>
          <w:tcPr>
            <w:tcW w:w="2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rPr>
              <w:t>(2)</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Property (1)</w:t>
            </w:r>
          </w:p>
        </w:tc>
        <w:tc>
          <w:tcPr>
            <w:tcW w:w="27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Opportunity</w:t>
            </w: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w w:val="93"/>
              </w:rPr>
              <w:t>ROI (3)</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Cost (4)</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220" w:type="dxa"/>
            <w:vAlign w:val="bottom"/>
          </w:tcPr>
          <w:p>
            <w:pPr>
              <w:spacing w:after="0"/>
              <w:rPr>
                <w:sz w:val="21"/>
                <w:szCs w:val="21"/>
                <w:color w:val="auto"/>
              </w:rPr>
            </w:pPr>
          </w:p>
        </w:tc>
        <w:tc>
          <w:tcPr>
            <w:tcW w:w="680" w:type="dxa"/>
            <w:vAlign w:val="bottom"/>
            <w:tcBorders>
              <w:bottom w:val="single" w:sz="8" w:color="auto"/>
            </w:tcBorders>
          </w:tcPr>
          <w:p>
            <w:pPr>
              <w:jc w:val="center"/>
              <w:ind w:left="114"/>
              <w:spacing w:after="0"/>
              <w:rPr>
                <w:sz w:val="20"/>
                <w:szCs w:val="20"/>
                <w:color w:val="auto"/>
              </w:rPr>
            </w:pPr>
            <w:r>
              <w:rPr>
                <w:rFonts w:ascii="Arial" w:cs="Arial" w:eastAsia="Arial" w:hAnsi="Arial"/>
                <w:sz w:val="13"/>
                <w:szCs w:val="13"/>
                <w:b w:val="1"/>
                <w:bCs w:val="1"/>
                <w:color w:val="auto"/>
                <w:w w:val="89"/>
              </w:rPr>
              <w:t>2019</w:t>
            </w:r>
          </w:p>
        </w:tc>
        <w:tc>
          <w:tcPr>
            <w:tcW w:w="1100" w:type="dxa"/>
            <w:vAlign w:val="bottom"/>
            <w:tcBorders>
              <w:bottom w:val="single" w:sz="8" w:color="auto"/>
            </w:tcBorders>
            <w:gridSpan w:val="2"/>
          </w:tcPr>
          <w:p>
            <w:pPr>
              <w:jc w:val="center"/>
              <w:ind w:left="134"/>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21"/>
                <w:szCs w:val="21"/>
                <w:color w:val="auto"/>
              </w:rPr>
            </w:pPr>
          </w:p>
        </w:tc>
        <w:tc>
          <w:tcPr>
            <w:tcW w:w="27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Expected Opening Timeframe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20"/>
              <w:spacing w:after="0" w:line="148" w:lineRule="exact"/>
              <w:rPr>
                <w:sz w:val="20"/>
                <w:szCs w:val="20"/>
                <w:color w:val="auto"/>
              </w:rPr>
            </w:pPr>
            <w:r>
              <w:rPr>
                <w:rFonts w:ascii="Arial" w:cs="Arial" w:eastAsia="Arial" w:hAnsi="Arial"/>
                <w:sz w:val="13"/>
                <w:szCs w:val="13"/>
                <w:color w:val="auto"/>
              </w:rPr>
              <w:t>(in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(in millions)</w:t>
            </w:r>
          </w:p>
        </w:tc>
        <w:tc>
          <w:tcPr>
            <w:tcW w:w="680" w:type="dxa"/>
            <w:vAlign w:val="bottom"/>
          </w:tcPr>
          <w:p>
            <w:pPr>
              <w:ind w:left="20"/>
              <w:spacing w:after="0"/>
              <w:rPr>
                <w:sz w:val="20"/>
                <w:szCs w:val="20"/>
                <w:color w:val="auto"/>
              </w:rPr>
            </w:pPr>
            <w:r>
              <w:rPr>
                <w:rFonts w:ascii="Arial" w:cs="Arial" w:eastAsia="Arial" w:hAnsi="Arial"/>
                <w:sz w:val="13"/>
                <w:szCs w:val="13"/>
                <w:color w:val="auto"/>
              </w:rPr>
              <w:t>millions)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060" w:type="dxa"/>
            <w:vAlign w:val="bottom"/>
            <w:gridSpan w:val="6"/>
          </w:tcPr>
          <w:p>
            <w:pPr>
              <w:spacing w:after="0"/>
              <w:rPr>
                <w:sz w:val="20"/>
                <w:szCs w:val="20"/>
                <w:color w:val="auto"/>
              </w:rPr>
            </w:pPr>
            <w:r>
              <w:rPr>
                <w:rFonts w:ascii="Arial" w:cs="Arial" w:eastAsia="Arial" w:hAnsi="Arial"/>
                <w:sz w:val="14"/>
                <w:szCs w:val="14"/>
                <w:b w:val="1"/>
                <w:bCs w:val="1"/>
                <w:color w:val="auto"/>
              </w:rPr>
              <w:t xml:space="preserve">Assembly Row, </w:t>
            </w:r>
            <w:r>
              <w:rPr>
                <w:rFonts w:ascii="Arial" w:cs="Arial" w:eastAsia="Arial" w:hAnsi="Arial"/>
                <w:sz w:val="14"/>
                <w:szCs w:val="14"/>
                <w:b w:val="1"/>
                <w:bCs w:val="1"/>
                <w:i w:val="1"/>
                <w:iCs w:val="1"/>
                <w:color w:val="auto"/>
              </w:rPr>
              <w:t>Somerville, MA</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4"/>
                <w:szCs w:val="14"/>
                <w:color w:val="auto"/>
                <w:w w:val="93"/>
                <w:shd w:val="clear" w:color="auto" w:fill="CCEEFF"/>
              </w:rPr>
              <w:t>Phase II</w:t>
            </w: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- 161,000 SF of retail</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4"/>
                <w:szCs w:val="14"/>
                <w:color w:val="auto"/>
                <w:w w:val="88"/>
              </w:rPr>
              <w:t>7%</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$298 - 302</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$294</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left="114"/>
              <w:spacing w:after="0"/>
              <w:rPr>
                <w:sz w:val="20"/>
                <w:szCs w:val="20"/>
                <w:color w:val="auto"/>
              </w:rPr>
            </w:pPr>
            <w:r>
              <w:rPr>
                <w:rFonts w:ascii="Arial" w:cs="Arial" w:eastAsia="Arial" w:hAnsi="Arial"/>
                <w:sz w:val="14"/>
                <w:szCs w:val="14"/>
                <w:color w:val="auto"/>
                <w:w w:val="92"/>
              </w:rPr>
              <w:t>90%</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Stabilized</w:t>
            </w:r>
          </w:p>
        </w:tc>
        <w:tc>
          <w:tcPr>
            <w:tcW w:w="4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w w:val="99"/>
                <w:shd w:val="clear" w:color="auto" w:fill="CCEEFF"/>
              </w:rPr>
              <w:t>140,000 square feet of retail has opened,</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- 447 residential units</w:t>
            </w: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remaining tenants projected to open in 2020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- 158 boutique hotel rooms</w:t>
            </w: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5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86"/>
                <w:shd w:val="clear" w:color="auto" w:fill="CCEEFF"/>
              </w:rPr>
              <w:t>Residential building opened in September 2017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56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with deliveries through 3Q 2018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741,500 SF Partners Healthcare office space</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(built by Partners) opened in 2016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Hotel opened in 3Q 2018</w:t>
            </w:r>
          </w:p>
        </w:tc>
        <w:tc>
          <w:tcPr>
            <w:tcW w:w="0" w:type="dxa"/>
            <w:vAlign w:val="bottom"/>
          </w:tcPr>
          <w:p>
            <w:pPr>
              <w:spacing w:after="0"/>
              <w:rPr>
                <w:sz w:val="1"/>
                <w:szCs w:val="1"/>
                <w:color w:val="auto"/>
              </w:rPr>
            </w:pPr>
          </w:p>
        </w:tc>
      </w:tr>
      <w:tr>
        <w:trPr>
          <w:trHeight w:val="82"/>
        </w:trPr>
        <w:tc>
          <w:tcPr>
            <w:tcW w:w="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color w:val="auto"/>
              </w:rPr>
              <w:t>- 122 for-sale condominium units</w:t>
            </w:r>
          </w:p>
        </w:tc>
        <w:tc>
          <w:tcPr>
            <w:tcW w:w="680" w:type="dxa"/>
            <w:vAlign w:val="bottom"/>
          </w:tcPr>
          <w:p>
            <w:pPr>
              <w:jc w:val="center"/>
              <w:ind w:left="33"/>
              <w:spacing w:after="0"/>
              <w:rPr>
                <w:sz w:val="20"/>
                <w:szCs w:val="20"/>
                <w:color w:val="auto"/>
              </w:rPr>
            </w:pPr>
            <w:r>
              <w:rPr>
                <w:rFonts w:ascii="Arial" w:cs="Arial" w:eastAsia="Arial" w:hAnsi="Arial"/>
                <w:sz w:val="14"/>
                <w:szCs w:val="14"/>
                <w:color w:val="auto"/>
                <w:w w:val="99"/>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$81</w:t>
            </w: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$81</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auto"/>
              </w:rPr>
              <w:t>All condominium units have been sold</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4"/>
                <w:szCs w:val="14"/>
                <w:color w:val="auto"/>
                <w:w w:val="86"/>
                <w:shd w:val="clear" w:color="auto" w:fill="CCEEFF"/>
              </w:rPr>
              <w:t>Phase III</w:t>
            </w: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- 277,000 SF of office</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4"/>
                <w:szCs w:val="14"/>
                <w:color w:val="auto"/>
                <w:w w:val="88"/>
              </w:rPr>
              <w:t>6%</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$465 - 485</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$185</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114"/>
              <w:spacing w:after="0"/>
              <w:rPr>
                <w:sz w:val="20"/>
                <w:szCs w:val="20"/>
                <w:color w:val="auto"/>
              </w:rPr>
            </w:pPr>
            <w:r>
              <w:rPr>
                <w:rFonts w:ascii="Arial" w:cs="Arial" w:eastAsia="Arial" w:hAnsi="Arial"/>
                <w:sz w:val="14"/>
                <w:szCs w:val="14"/>
                <w:color w:val="auto"/>
                <w:w w:val="99"/>
              </w:rPr>
              <w:t>—</w:t>
            </w:r>
          </w:p>
        </w:tc>
        <w:tc>
          <w:tcPr>
            <w:tcW w:w="5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color w:val="auto"/>
                <w:w w:val="99"/>
              </w:rPr>
              <w:t>—</w:t>
            </w:r>
          </w:p>
        </w:tc>
        <w:tc>
          <w:tcPr>
            <w:tcW w:w="27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92"/>
              </w:rPr>
              <w:t>150,000 square feet of office space pre-leased</w:t>
            </w: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7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- 500 residential units</w:t>
            </w: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7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Openings projected to begin in 2021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7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- 56,000 SF of retail</w:t>
            </w:r>
          </w:p>
        </w:tc>
        <w:tc>
          <w:tcPr>
            <w:tcW w:w="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Future Phases</w:t>
            </w:r>
          </w:p>
        </w:tc>
        <w:tc>
          <w:tcPr>
            <w:tcW w:w="2720" w:type="dxa"/>
            <w:vAlign w:val="bottom"/>
            <w:gridSpan w:val="3"/>
          </w:tcPr>
          <w:p>
            <w:pPr>
              <w:ind w:left="60"/>
              <w:spacing w:after="0"/>
              <w:rPr>
                <w:sz w:val="20"/>
                <w:szCs w:val="20"/>
                <w:color w:val="auto"/>
              </w:rPr>
            </w:pPr>
            <w:r>
              <w:rPr>
                <w:rFonts w:ascii="Arial" w:cs="Arial" w:eastAsia="Arial" w:hAnsi="Arial"/>
                <w:sz w:val="14"/>
                <w:szCs w:val="14"/>
                <w:color w:val="auto"/>
              </w:rPr>
              <w:t>- 1.5M SF of commercial</w:t>
            </w:r>
          </w:p>
        </w:tc>
        <w:tc>
          <w:tcPr>
            <w:tcW w:w="680" w:type="dxa"/>
            <w:vAlign w:val="bottom"/>
          </w:tcPr>
          <w:p>
            <w:pPr>
              <w:ind w:left="260"/>
              <w:spacing w:after="0"/>
              <w:rPr>
                <w:sz w:val="20"/>
                <w:szCs w:val="20"/>
                <w:color w:val="auto"/>
              </w:rPr>
            </w:pPr>
            <w:r>
              <w:rPr>
                <w:rFonts w:ascii="Arial" w:cs="Arial" w:eastAsia="Arial" w:hAnsi="Arial"/>
                <w:sz w:val="14"/>
                <w:szCs w:val="14"/>
                <w:color w:val="auto"/>
              </w:rPr>
              <w:t>TBD</w:t>
            </w:r>
          </w:p>
        </w:tc>
        <w:tc>
          <w:tcPr>
            <w:tcW w:w="3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TBD</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color w:val="auto"/>
              </w:rPr>
              <w:t>- 329 residential units</w:t>
            </w: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6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rPr>
              <w:t xml:space="preserve">Pike &amp; Rose, </w:t>
            </w:r>
            <w:r>
              <w:rPr>
                <w:rFonts w:ascii="Arial" w:cs="Arial" w:eastAsia="Arial" w:hAnsi="Arial"/>
                <w:sz w:val="14"/>
                <w:szCs w:val="14"/>
                <w:b w:val="1"/>
                <w:bCs w:val="1"/>
                <w:i w:val="1"/>
                <w:iCs w:val="1"/>
                <w:color w:val="auto"/>
              </w:rPr>
              <w:t>North Bethesda, MD</w:t>
            </w: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21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5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Phase II</w:t>
            </w:r>
          </w:p>
        </w:tc>
        <w:tc>
          <w:tcPr>
            <w:tcW w:w="2720" w:type="dxa"/>
            <w:vAlign w:val="bottom"/>
            <w:gridSpan w:val="3"/>
          </w:tcPr>
          <w:p>
            <w:pPr>
              <w:ind w:left="20"/>
              <w:spacing w:after="0"/>
              <w:rPr>
                <w:sz w:val="20"/>
                <w:szCs w:val="20"/>
                <w:color w:val="auto"/>
              </w:rPr>
            </w:pPr>
            <w:r>
              <w:rPr>
                <w:rFonts w:ascii="Arial" w:cs="Arial" w:eastAsia="Arial" w:hAnsi="Arial"/>
                <w:sz w:val="14"/>
                <w:szCs w:val="14"/>
                <w:color w:val="auto"/>
              </w:rPr>
              <w:t>- 219,000 SF of retail</w:t>
            </w:r>
          </w:p>
        </w:tc>
        <w:tc>
          <w:tcPr>
            <w:tcW w:w="680" w:type="dxa"/>
            <w:vAlign w:val="bottom"/>
          </w:tcPr>
          <w:p>
            <w:pPr>
              <w:jc w:val="center"/>
              <w:ind w:left="33"/>
              <w:spacing w:after="0"/>
              <w:rPr>
                <w:sz w:val="20"/>
                <w:szCs w:val="20"/>
                <w:color w:val="auto"/>
              </w:rPr>
            </w:pPr>
            <w:r>
              <w:rPr>
                <w:rFonts w:ascii="Arial" w:cs="Arial" w:eastAsia="Arial" w:hAnsi="Arial"/>
                <w:sz w:val="14"/>
                <w:szCs w:val="14"/>
                <w:color w:val="auto"/>
                <w:w w:val="88"/>
              </w:rPr>
              <w:t>6%</w:t>
            </w:r>
          </w:p>
        </w:tc>
        <w:tc>
          <w:tcPr>
            <w:tcW w:w="340" w:type="dxa"/>
            <w:vAlign w:val="bottom"/>
          </w:tcPr>
          <w:p>
            <w:pPr>
              <w:jc w:val="right"/>
              <w:spacing w:after="0"/>
              <w:rPr>
                <w:sz w:val="20"/>
                <w:szCs w:val="20"/>
                <w:color w:val="auto"/>
              </w:rPr>
            </w:pPr>
            <w:r>
              <w:rPr>
                <w:rFonts w:ascii="Arial" w:cs="Arial" w:eastAsia="Arial" w:hAnsi="Arial"/>
                <w:sz w:val="13"/>
                <w:szCs w:val="13"/>
                <w:color w:val="auto"/>
              </w:rPr>
              <w:t>(5)</w:t>
            </w:r>
          </w:p>
        </w:tc>
        <w:tc>
          <w:tcPr>
            <w:tcW w:w="700" w:type="dxa"/>
            <w:vAlign w:val="bottom"/>
          </w:tcPr>
          <w:p>
            <w:pPr>
              <w:jc w:val="center"/>
              <w:spacing w:after="0"/>
              <w:rPr>
                <w:sz w:val="20"/>
                <w:szCs w:val="20"/>
                <w:color w:val="auto"/>
              </w:rPr>
            </w:pPr>
            <w:r>
              <w:rPr>
                <w:rFonts w:ascii="Arial" w:cs="Arial" w:eastAsia="Arial" w:hAnsi="Arial"/>
                <w:sz w:val="14"/>
                <w:szCs w:val="14"/>
                <w:color w:val="auto"/>
                <w:w w:val="83"/>
              </w:rPr>
              <w:t>$208</w:t>
            </w:r>
          </w:p>
        </w:tc>
        <w:tc>
          <w:tcPr>
            <w:tcW w:w="680" w:type="dxa"/>
            <w:vAlign w:val="bottom"/>
          </w:tcPr>
          <w:p>
            <w:pPr>
              <w:jc w:val="center"/>
              <w:spacing w:after="0"/>
              <w:rPr>
                <w:sz w:val="20"/>
                <w:szCs w:val="20"/>
                <w:color w:val="auto"/>
              </w:rPr>
            </w:pPr>
            <w:r>
              <w:rPr>
                <w:rFonts w:ascii="Arial" w:cs="Arial" w:eastAsia="Arial" w:hAnsi="Arial"/>
                <w:sz w:val="14"/>
                <w:szCs w:val="14"/>
                <w:color w:val="auto"/>
                <w:w w:val="83"/>
              </w:rPr>
              <w:t>$206</w:t>
            </w:r>
          </w:p>
        </w:tc>
        <w:tc>
          <w:tcPr>
            <w:tcW w:w="220" w:type="dxa"/>
            <w:vAlign w:val="bottom"/>
          </w:tcPr>
          <w:p>
            <w:pPr>
              <w:spacing w:after="0"/>
              <w:rPr>
                <w:sz w:val="14"/>
                <w:szCs w:val="14"/>
                <w:color w:val="auto"/>
              </w:rPr>
            </w:pPr>
          </w:p>
        </w:tc>
        <w:tc>
          <w:tcPr>
            <w:tcW w:w="680" w:type="dxa"/>
            <w:vAlign w:val="bottom"/>
          </w:tcPr>
          <w:p>
            <w:pPr>
              <w:jc w:val="center"/>
              <w:ind w:left="114"/>
              <w:spacing w:after="0"/>
              <w:rPr>
                <w:sz w:val="20"/>
                <w:szCs w:val="20"/>
                <w:color w:val="auto"/>
              </w:rPr>
            </w:pPr>
            <w:r>
              <w:rPr>
                <w:rFonts w:ascii="Arial" w:cs="Arial" w:eastAsia="Arial" w:hAnsi="Arial"/>
                <w:sz w:val="14"/>
                <w:szCs w:val="14"/>
                <w:color w:val="auto"/>
                <w:w w:val="92"/>
              </w:rPr>
              <w:t>90%</w:t>
            </w:r>
          </w:p>
        </w:tc>
        <w:tc>
          <w:tcPr>
            <w:tcW w:w="1200" w:type="dxa"/>
            <w:vAlign w:val="bottom"/>
            <w:gridSpan w:val="3"/>
          </w:tcPr>
          <w:p>
            <w:pPr>
              <w:ind w:left="380"/>
              <w:spacing w:after="0"/>
              <w:rPr>
                <w:sz w:val="20"/>
                <w:szCs w:val="20"/>
                <w:color w:val="auto"/>
              </w:rPr>
            </w:pPr>
            <w:r>
              <w:rPr>
                <w:rFonts w:ascii="Arial" w:cs="Arial" w:eastAsia="Arial" w:hAnsi="Arial"/>
                <w:sz w:val="14"/>
                <w:szCs w:val="14"/>
                <w:color w:val="auto"/>
              </w:rPr>
              <w:t>Stabilized</w:t>
            </w:r>
          </w:p>
        </w:tc>
        <w:tc>
          <w:tcPr>
            <w:tcW w:w="2700" w:type="dxa"/>
            <w:vAlign w:val="bottom"/>
            <w:gridSpan w:val="3"/>
          </w:tcPr>
          <w:p>
            <w:pPr>
              <w:ind w:left="20"/>
              <w:spacing w:after="0"/>
              <w:rPr>
                <w:sz w:val="20"/>
                <w:szCs w:val="20"/>
                <w:color w:val="auto"/>
              </w:rPr>
            </w:pPr>
            <w:r>
              <w:rPr>
                <w:rFonts w:ascii="Arial" w:cs="Arial" w:eastAsia="Arial" w:hAnsi="Arial"/>
                <w:sz w:val="14"/>
                <w:szCs w:val="14"/>
                <w:color w:val="auto"/>
              </w:rPr>
              <w:t>All of the retail space has opened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- 272 residential units</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3"/>
            <w:vMerge w:val="restart"/>
          </w:tcPr>
          <w:p>
            <w:pPr>
              <w:ind w:left="20"/>
              <w:spacing w:after="0"/>
              <w:rPr>
                <w:sz w:val="20"/>
                <w:szCs w:val="20"/>
                <w:color w:val="auto"/>
              </w:rPr>
            </w:pPr>
            <w:r>
              <w:rPr>
                <w:rFonts w:ascii="Arial" w:cs="Arial" w:eastAsia="Arial" w:hAnsi="Arial"/>
                <w:sz w:val="14"/>
                <w:szCs w:val="14"/>
                <w:color w:val="auto"/>
                <w:w w:val="98"/>
              </w:rPr>
              <w:t>Residential building opened in August 2017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- 177 boutique hotel rooms</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auto"/>
              </w:rPr>
              <w:t>with deliveries through 2Q 2018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auto"/>
              </w:rPr>
              <w:t>Hotel opened in 1Q 2018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7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- 99 for-sale condominium units</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$62</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$62</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97 condominium units have been sold</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Phase III</w:t>
            </w:r>
          </w:p>
        </w:tc>
        <w:tc>
          <w:tcPr>
            <w:tcW w:w="2720" w:type="dxa"/>
            <w:vAlign w:val="bottom"/>
            <w:gridSpan w:val="3"/>
          </w:tcPr>
          <w:p>
            <w:pPr>
              <w:ind w:left="60"/>
              <w:spacing w:after="0"/>
              <w:rPr>
                <w:sz w:val="20"/>
                <w:szCs w:val="20"/>
                <w:color w:val="auto"/>
              </w:rPr>
            </w:pPr>
            <w:r>
              <w:rPr>
                <w:rFonts w:ascii="Arial" w:cs="Arial" w:eastAsia="Arial" w:hAnsi="Arial"/>
                <w:sz w:val="14"/>
                <w:szCs w:val="14"/>
                <w:color w:val="auto"/>
              </w:rPr>
              <w:t>- 212,000 SF of office</w:t>
            </w:r>
          </w:p>
        </w:tc>
        <w:tc>
          <w:tcPr>
            <w:tcW w:w="680" w:type="dxa"/>
            <w:vAlign w:val="bottom"/>
          </w:tcPr>
          <w:p>
            <w:pPr>
              <w:jc w:val="center"/>
              <w:ind w:left="33"/>
              <w:spacing w:after="0"/>
              <w:rPr>
                <w:sz w:val="20"/>
                <w:szCs w:val="20"/>
                <w:color w:val="auto"/>
              </w:rPr>
            </w:pPr>
            <w:r>
              <w:rPr>
                <w:rFonts w:ascii="Arial" w:cs="Arial" w:eastAsia="Arial" w:hAnsi="Arial"/>
                <w:sz w:val="14"/>
                <w:szCs w:val="14"/>
                <w:color w:val="auto"/>
                <w:w w:val="91"/>
              </w:rPr>
              <w:t>6-7%</w:t>
            </w:r>
          </w:p>
        </w:tc>
        <w:tc>
          <w:tcPr>
            <w:tcW w:w="3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6"/>
              </w:rPr>
              <w:t>$128 - 135</w:t>
            </w: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$76</w:t>
            </w:r>
          </w:p>
        </w:tc>
        <w:tc>
          <w:tcPr>
            <w:tcW w:w="220" w:type="dxa"/>
            <w:vAlign w:val="bottom"/>
          </w:tcPr>
          <w:p>
            <w:pPr>
              <w:jc w:val="right"/>
              <w:spacing w:after="0"/>
              <w:rPr>
                <w:sz w:val="20"/>
                <w:szCs w:val="20"/>
                <w:color w:val="auto"/>
              </w:rPr>
            </w:pPr>
            <w:r>
              <w:rPr>
                <w:rFonts w:ascii="Arial" w:cs="Arial" w:eastAsia="Arial" w:hAnsi="Arial"/>
                <w:sz w:val="13"/>
                <w:szCs w:val="13"/>
                <w:color w:val="auto"/>
                <w:w w:val="87"/>
              </w:rPr>
              <w:t>(7)</w:t>
            </w:r>
          </w:p>
        </w:tc>
        <w:tc>
          <w:tcPr>
            <w:tcW w:w="680" w:type="dxa"/>
            <w:vAlign w:val="bottom"/>
          </w:tcPr>
          <w:p>
            <w:pPr>
              <w:jc w:val="center"/>
              <w:ind w:left="114"/>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left="114"/>
              <w:spacing w:after="0"/>
              <w:rPr>
                <w:sz w:val="20"/>
                <w:szCs w:val="20"/>
                <w:color w:val="auto"/>
              </w:rPr>
            </w:pPr>
            <w:r>
              <w:rPr>
                <w:rFonts w:ascii="Arial" w:cs="Arial" w:eastAsia="Arial" w:hAnsi="Arial"/>
                <w:sz w:val="14"/>
                <w:szCs w:val="14"/>
                <w:color w:val="auto"/>
                <w:w w:val="85"/>
              </w:rPr>
              <w:t>10%</w:t>
            </w:r>
          </w:p>
        </w:tc>
        <w:tc>
          <w:tcPr>
            <w:tcW w:w="100" w:type="dxa"/>
            <w:vAlign w:val="bottom"/>
          </w:tcPr>
          <w:p>
            <w:pPr>
              <w:spacing w:after="0"/>
              <w:rPr>
                <w:sz w:val="16"/>
                <w:szCs w:val="16"/>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auto"/>
              </w:rPr>
              <w:t>Openings projected to begin in 2020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color w:val="auto"/>
              </w:rPr>
              <w:t>- 4,000 SF of retail</w:t>
            </w: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Future Phases</w:t>
            </w:r>
          </w:p>
        </w:tc>
        <w:tc>
          <w:tcPr>
            <w:tcW w:w="300" w:type="dxa"/>
            <w:vAlign w:val="bottom"/>
            <w:shd w:val="clear" w:color="auto" w:fill="CCEEFF"/>
          </w:tcPr>
          <w:p>
            <w:pPr>
              <w:spacing w:after="0"/>
              <w:rPr>
                <w:sz w:val="15"/>
                <w:szCs w:val="15"/>
                <w:color w:val="auto"/>
              </w:rPr>
            </w:pPr>
          </w:p>
        </w:tc>
        <w:tc>
          <w:tcPr>
            <w:tcW w:w="27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- 740,000 SF of commercial</w:t>
            </w:r>
          </w:p>
        </w:tc>
        <w:tc>
          <w:tcPr>
            <w:tcW w:w="680" w:type="dxa"/>
            <w:vAlign w:val="bottom"/>
            <w:shd w:val="clear" w:color="auto" w:fill="CCEEFF"/>
          </w:tcPr>
          <w:p>
            <w:pPr>
              <w:ind w:left="260"/>
              <w:spacing w:after="0"/>
              <w:rPr>
                <w:sz w:val="20"/>
                <w:szCs w:val="20"/>
                <w:color w:val="auto"/>
              </w:rPr>
            </w:pPr>
            <w:r>
              <w:rPr>
                <w:rFonts w:ascii="Arial" w:cs="Arial" w:eastAsia="Arial" w:hAnsi="Arial"/>
                <w:sz w:val="14"/>
                <w:szCs w:val="14"/>
                <w:color w:val="auto"/>
                <w:shd w:val="clear" w:color="auto" w:fill="CCEEFF"/>
              </w:rPr>
              <w:t>TBD</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TBD</w:t>
            </w: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7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- 741 residential units</w:t>
            </w: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Santana Row, </w:t>
            </w:r>
            <w:r>
              <w:rPr>
                <w:rFonts w:ascii="Arial" w:cs="Arial" w:eastAsia="Arial" w:hAnsi="Arial"/>
                <w:sz w:val="14"/>
                <w:szCs w:val="14"/>
                <w:b w:val="1"/>
                <w:bCs w:val="1"/>
                <w:i w:val="1"/>
                <w:iCs w:val="1"/>
                <w:color w:val="auto"/>
              </w:rPr>
              <w:t>San</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i w:val="1"/>
                <w:iCs w:val="1"/>
                <w:color w:val="auto"/>
              </w:rPr>
              <w:t>Jose, CA</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700 Santana Row</w:t>
            </w:r>
          </w:p>
        </w:tc>
        <w:tc>
          <w:tcPr>
            <w:tcW w:w="300" w:type="dxa"/>
            <w:vAlign w:val="bottom"/>
            <w:shd w:val="clear" w:color="auto" w:fill="CCEEFF"/>
          </w:tcPr>
          <w:p>
            <w:pPr>
              <w:spacing w:after="0"/>
              <w:rPr>
                <w:sz w:val="15"/>
                <w:szCs w:val="15"/>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- 301,000 SF of office</w:t>
            </w:r>
          </w:p>
        </w:tc>
        <w:tc>
          <w:tcPr>
            <w:tcW w:w="680" w:type="dxa"/>
            <w:vAlign w:val="bottom"/>
            <w:shd w:val="clear" w:color="auto" w:fill="CCEEFF"/>
          </w:tcPr>
          <w:p>
            <w:pPr>
              <w:jc w:val="center"/>
              <w:ind w:left="33"/>
              <w:spacing w:after="0"/>
              <w:rPr>
                <w:sz w:val="20"/>
                <w:szCs w:val="20"/>
                <w:color w:val="auto"/>
              </w:rPr>
            </w:pPr>
            <w:r>
              <w:rPr>
                <w:rFonts w:ascii="Arial" w:cs="Arial" w:eastAsia="Arial" w:hAnsi="Arial"/>
                <w:sz w:val="14"/>
                <w:szCs w:val="14"/>
                <w:color w:val="auto"/>
                <w:w w:val="91"/>
              </w:rPr>
              <w:t>7-8%</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$210 - 220</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$198</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114"/>
              <w:spacing w:after="0"/>
              <w:rPr>
                <w:sz w:val="20"/>
                <w:szCs w:val="20"/>
                <w:color w:val="auto"/>
              </w:rPr>
            </w:pPr>
            <w:r>
              <w:rPr>
                <w:rFonts w:ascii="Arial" w:cs="Arial" w:eastAsia="Arial" w:hAnsi="Arial"/>
                <w:sz w:val="14"/>
                <w:szCs w:val="14"/>
                <w:color w:val="auto"/>
                <w:w w:val="99"/>
              </w:rPr>
              <w:t>—</w:t>
            </w: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272"/>
              <w:spacing w:after="0"/>
              <w:rPr>
                <w:sz w:val="20"/>
                <w:szCs w:val="20"/>
                <w:color w:val="auto"/>
              </w:rPr>
            </w:pPr>
            <w:r>
              <w:rPr>
                <w:rFonts w:ascii="Arial" w:cs="Arial" w:eastAsia="Arial" w:hAnsi="Arial"/>
                <w:sz w:val="14"/>
                <w:szCs w:val="14"/>
                <w:color w:val="auto"/>
                <w:w w:val="85"/>
                <w:shd w:val="clear" w:color="auto" w:fill="CCEEFF"/>
              </w:rPr>
              <w:t>90%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Commenced construction 4Q 2016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98"/>
              </w:rPr>
              <w:t>- 20,000 SF of retail &amp; 1,300 parking spaces</w:t>
            </w:r>
          </w:p>
        </w:tc>
        <w:tc>
          <w:tcPr>
            <w:tcW w:w="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Office 100% pre-leased, opening in 2020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88"/>
              </w:rPr>
              <w:t>- Redevelopment of Santana Row Park including</w:t>
            </w:r>
          </w:p>
        </w:tc>
        <w:tc>
          <w:tcPr>
            <w:tcW w:w="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7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11,000 square feet of retail has opened</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the installation of a new retail pavilion</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Santana West</w:t>
            </w:r>
          </w:p>
        </w:tc>
        <w:tc>
          <w:tcPr>
            <w:tcW w:w="2720" w:type="dxa"/>
            <w:vAlign w:val="bottom"/>
            <w:gridSpan w:val="3"/>
          </w:tcPr>
          <w:p>
            <w:pPr>
              <w:ind w:left="20"/>
              <w:spacing w:after="0"/>
              <w:rPr>
                <w:sz w:val="20"/>
                <w:szCs w:val="20"/>
                <w:color w:val="auto"/>
              </w:rPr>
            </w:pPr>
            <w:r>
              <w:rPr>
                <w:rFonts w:ascii="Arial" w:cs="Arial" w:eastAsia="Arial" w:hAnsi="Arial"/>
                <w:sz w:val="14"/>
                <w:szCs w:val="14"/>
                <w:color w:val="auto"/>
              </w:rPr>
              <w:t>- 376,000 SF of office</w:t>
            </w:r>
          </w:p>
        </w:tc>
        <w:tc>
          <w:tcPr>
            <w:tcW w:w="680" w:type="dxa"/>
            <w:vAlign w:val="bottom"/>
          </w:tcPr>
          <w:p>
            <w:pPr>
              <w:jc w:val="center"/>
              <w:ind w:left="33"/>
              <w:spacing w:after="0"/>
              <w:rPr>
                <w:sz w:val="20"/>
                <w:szCs w:val="20"/>
                <w:color w:val="auto"/>
              </w:rPr>
            </w:pPr>
            <w:r>
              <w:rPr>
                <w:rFonts w:ascii="Arial" w:cs="Arial" w:eastAsia="Arial" w:hAnsi="Arial"/>
                <w:sz w:val="14"/>
                <w:szCs w:val="14"/>
                <w:color w:val="auto"/>
                <w:w w:val="88"/>
              </w:rPr>
              <w:t>7%</w:t>
            </w:r>
          </w:p>
        </w:tc>
        <w:tc>
          <w:tcPr>
            <w:tcW w:w="3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6"/>
              </w:rPr>
              <w:t>$250 - 270</w:t>
            </w: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$51</w:t>
            </w:r>
          </w:p>
        </w:tc>
        <w:tc>
          <w:tcPr>
            <w:tcW w:w="220" w:type="dxa"/>
            <w:vAlign w:val="bottom"/>
          </w:tcPr>
          <w:p>
            <w:pPr>
              <w:spacing w:after="0"/>
              <w:rPr>
                <w:sz w:val="16"/>
                <w:szCs w:val="16"/>
                <w:color w:val="auto"/>
              </w:rPr>
            </w:pPr>
          </w:p>
        </w:tc>
        <w:tc>
          <w:tcPr>
            <w:tcW w:w="680" w:type="dxa"/>
            <w:vAlign w:val="bottom"/>
          </w:tcPr>
          <w:p>
            <w:pPr>
              <w:jc w:val="center"/>
              <w:ind w:left="114"/>
              <w:spacing w:after="0"/>
              <w:rPr>
                <w:sz w:val="20"/>
                <w:szCs w:val="20"/>
                <w:color w:val="auto"/>
              </w:rPr>
            </w:pPr>
            <w:r>
              <w:rPr>
                <w:rFonts w:ascii="Arial" w:cs="Arial" w:eastAsia="Arial" w:hAnsi="Arial"/>
                <w:sz w:val="14"/>
                <w:szCs w:val="14"/>
                <w:color w:val="auto"/>
                <w:w w:val="99"/>
              </w:rPr>
              <w:t>—</w:t>
            </w:r>
          </w:p>
        </w:tc>
        <w:tc>
          <w:tcPr>
            <w:tcW w:w="520" w:type="dxa"/>
            <w:vAlign w:val="bottom"/>
          </w:tcPr>
          <w:p>
            <w:pPr>
              <w:spacing w:after="0"/>
              <w:rPr>
                <w:sz w:val="16"/>
                <w:szCs w:val="16"/>
                <w:color w:val="auto"/>
              </w:rPr>
            </w:pPr>
          </w:p>
        </w:tc>
        <w:tc>
          <w:tcPr>
            <w:tcW w:w="68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w:t>
            </w:r>
          </w:p>
        </w:tc>
        <w:tc>
          <w:tcPr>
            <w:tcW w:w="2700" w:type="dxa"/>
            <w:vAlign w:val="bottom"/>
            <w:gridSpan w:val="3"/>
          </w:tcPr>
          <w:p>
            <w:pPr>
              <w:ind w:left="20"/>
              <w:spacing w:after="0"/>
              <w:rPr>
                <w:sz w:val="20"/>
                <w:szCs w:val="20"/>
                <w:color w:val="auto"/>
              </w:rPr>
            </w:pPr>
            <w:r>
              <w:rPr>
                <w:rFonts w:ascii="Arial" w:cs="Arial" w:eastAsia="Arial" w:hAnsi="Arial"/>
                <w:sz w:val="14"/>
                <w:szCs w:val="14"/>
                <w:color w:val="auto"/>
              </w:rPr>
              <w:t>Openings projected to begin in 2022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20" w:type="dxa"/>
            <w:vAlign w:val="bottom"/>
            <w:gridSpan w:val="3"/>
          </w:tcPr>
          <w:p>
            <w:pPr>
              <w:ind w:left="20"/>
              <w:spacing w:after="0"/>
              <w:rPr>
                <w:sz w:val="20"/>
                <w:szCs w:val="20"/>
                <w:color w:val="auto"/>
              </w:rPr>
            </w:pPr>
            <w:r>
              <w:rPr>
                <w:rFonts w:ascii="Arial" w:cs="Arial" w:eastAsia="Arial" w:hAnsi="Arial"/>
                <w:sz w:val="14"/>
                <w:szCs w:val="14"/>
                <w:color w:val="auto"/>
              </w:rPr>
              <w:t>- 1,750 parking spaces</w:t>
            </w: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Future Phases</w:t>
            </w:r>
          </w:p>
        </w:tc>
        <w:tc>
          <w:tcPr>
            <w:tcW w:w="300" w:type="dxa"/>
            <w:vAlign w:val="bottom"/>
            <w:shd w:val="clear" w:color="auto" w:fill="CCEEFF"/>
          </w:tcPr>
          <w:p>
            <w:pPr>
              <w:spacing w:after="0"/>
              <w:rPr>
                <w:sz w:val="15"/>
                <w:szCs w:val="15"/>
                <w:color w:val="auto"/>
              </w:rPr>
            </w:pPr>
          </w:p>
        </w:tc>
        <w:tc>
          <w:tcPr>
            <w:tcW w:w="2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- 321,000 SF of commercial</w:t>
            </w:r>
          </w:p>
        </w:tc>
        <w:tc>
          <w:tcPr>
            <w:tcW w:w="680" w:type="dxa"/>
            <w:vAlign w:val="bottom"/>
            <w:shd w:val="clear" w:color="auto" w:fill="CCEEFF"/>
          </w:tcPr>
          <w:p>
            <w:pPr>
              <w:ind w:left="260"/>
              <w:spacing w:after="0"/>
              <w:rPr>
                <w:sz w:val="20"/>
                <w:szCs w:val="20"/>
                <w:color w:val="auto"/>
              </w:rPr>
            </w:pPr>
            <w:r>
              <w:rPr>
                <w:rFonts w:ascii="Arial" w:cs="Arial" w:eastAsia="Arial" w:hAnsi="Arial"/>
                <w:sz w:val="14"/>
                <w:szCs w:val="14"/>
                <w:color w:val="auto"/>
                <w:shd w:val="clear" w:color="auto" w:fill="CCEEFF"/>
              </w:rPr>
              <w:t>TBD</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TBD</w:t>
            </w: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7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- 395 residential units</w:t>
            </w:r>
          </w:p>
        </w:tc>
        <w:tc>
          <w:tcPr>
            <w:tcW w:w="6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3"/>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-342265</wp:posOffset>
            </wp:positionV>
            <wp:extent cx="7169150"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5657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2"/>
          <w:szCs w:val="12"/>
          <w:color w:val="auto"/>
        </w:rPr>
        <w:t>- 604,000 SF of commercial across from Santana</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Row</w:t>
      </w:r>
    </w:p>
    <w:p>
      <w:pPr>
        <w:spacing w:after="0"/>
        <w:rPr>
          <w:sz w:val="20"/>
          <w:szCs w:val="20"/>
          <w:color w:val="auto"/>
        </w:rPr>
      </w:pPr>
      <w:r>
        <w:rPr>
          <w:rFonts w:ascii="Arial" w:cs="Arial" w:eastAsia="Arial" w:hAnsi="Arial"/>
          <w:sz w:val="14"/>
          <w:szCs w:val="14"/>
          <w:u w:val="single" w:color="auto"/>
          <w:color w:val="auto"/>
        </w:rPr>
        <w:t>Notes:</w:t>
      </w:r>
    </w:p>
    <w:p>
      <w:pPr>
        <w:spacing w:after="0" w:line="166" w:lineRule="exact"/>
        <w:rPr>
          <w:sz w:val="20"/>
          <w:szCs w:val="20"/>
          <w:color w:val="auto"/>
        </w:rPr>
      </w:pPr>
    </w:p>
    <w:p>
      <w:pPr>
        <w:ind w:left="420" w:right="200" w:hanging="236"/>
        <w:spacing w:after="0" w:line="305" w:lineRule="auto"/>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Anticipated opening dates, total cost, projected return on investment (ROI), and projected POI percentages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ind w:left="420" w:right="320" w:hanging="236"/>
        <w:spacing w:after="0" w:line="239"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 figures reflect (i) the projected POI (herein defined) for the stated year divided by (ii) the current projected annual stabilized POI for the Property. These percentages are projections only and we cannot give any assurances that these amounts will actually be achieved.</w:t>
      </w:r>
    </w:p>
    <w:p>
      <w:pPr>
        <w:spacing w:after="0" w:line="30" w:lineRule="exact"/>
        <w:rPr>
          <w:rFonts w:ascii="Arial" w:cs="Arial" w:eastAsia="Arial" w:hAnsi="Arial"/>
          <w:sz w:val="14"/>
          <w:szCs w:val="14"/>
          <w:color w:val="auto"/>
        </w:rPr>
      </w:pPr>
    </w:p>
    <w:p>
      <w:pPr>
        <w:ind w:left="420" w:hanging="236"/>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2"/>
          <w:szCs w:val="12"/>
          <w:color w:val="auto"/>
        </w:rPr>
        <w:t>Projected costs for Assembly Row and Pike &amp; Rose include an allocation of infrastructure costs for the entire project. Phase I of Santana West includes an allocation of infrastructure for the Santana</w:t>
      </w:r>
    </w:p>
    <w:p>
      <w:pPr>
        <w:spacing w:after="0" w:line="22" w:lineRule="exact"/>
        <w:rPr>
          <w:rFonts w:ascii="Arial" w:cs="Arial" w:eastAsia="Arial" w:hAnsi="Arial"/>
          <w:sz w:val="14"/>
          <w:szCs w:val="14"/>
          <w:color w:val="auto"/>
        </w:rPr>
      </w:pPr>
    </w:p>
    <w:p>
      <w:pPr>
        <w:ind w:left="420" w:hanging="236"/>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West site.</w:t>
      </w:r>
    </w:p>
    <w:p>
      <w:pPr>
        <w:spacing w:after="0" w:line="29" w:lineRule="exact"/>
        <w:rPr>
          <w:rFonts w:ascii="Arial" w:cs="Arial" w:eastAsia="Arial" w:hAnsi="Arial"/>
          <w:sz w:val="14"/>
          <w:szCs w:val="14"/>
          <w:color w:val="auto"/>
        </w:rPr>
      </w:pPr>
    </w:p>
    <w:p>
      <w:pPr>
        <w:ind w:left="420" w:hanging="236"/>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are net of expected reimbursement by third parties and land sale proceeds. Phase II total costs and costs to date include our share of the costs in the hotel.</w:t>
      </w:r>
    </w:p>
    <w:p>
      <w:pPr>
        <w:spacing w:after="0" w:line="41"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2"/>
          <w:szCs w:val="12"/>
          <w:color w:val="auto"/>
        </w:rPr>
        <w:t>Condominiums shown at cost; the projected ROI for Phase II does not assume any incremental profit on the sale of condominium units; for return calculation purposes, condominiums are assumed to</w:t>
      </w:r>
    </w:p>
    <w:p>
      <w:pPr>
        <w:spacing w:after="0" w:line="22" w:lineRule="exact"/>
        <w:rPr>
          <w:rFonts w:ascii="Arial" w:cs="Arial" w:eastAsia="Arial" w:hAnsi="Arial"/>
          <w:sz w:val="14"/>
          <w:szCs w:val="14"/>
          <w:color w:val="auto"/>
        </w:rPr>
      </w:pPr>
    </w:p>
    <w:p>
      <w:pPr>
        <w:ind w:left="420" w:hanging="236"/>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be sold at cost.</w:t>
      </w:r>
    </w:p>
    <w:p>
      <w:pPr>
        <w:spacing w:after="0" w:line="29" w:lineRule="exact"/>
        <w:rPr>
          <w:rFonts w:ascii="Arial" w:cs="Arial" w:eastAsia="Arial" w:hAnsi="Arial"/>
          <w:sz w:val="14"/>
          <w:szCs w:val="14"/>
          <w:color w:val="auto"/>
        </w:rPr>
      </w:pPr>
    </w:p>
    <w:p>
      <w:pPr>
        <w:ind w:left="420" w:right="380" w:hanging="236"/>
        <w:spacing w:after="0" w:line="239"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Federal Realty Investment Trust is leasing 45,000 square feet of office space at a market rent in Pike &amp; Rose Phase III. Approximately half of the revenue included in "Projected POI Delivered" in 2020 relates to this rent and will be eliminated in the consolidated financial statements.</w:t>
      </w:r>
    </w:p>
    <w:p>
      <w:pPr>
        <w:sectPr>
          <w:pgSz w:w="11900" w:h="16838" w:orient="portrait"/>
          <w:cols w:equalWidth="0" w:num="1">
            <w:col w:w="11360"/>
          </w:cols>
          <w:pgMar w:left="240" w:top="733" w:right="299" w:bottom="1440" w:gutter="0" w:footer="0" w:header="0"/>
        </w:sect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60"/>
          </w:cols>
          <w:pgMar w:left="240" w:top="733" w:right="299"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2019</w:t>
      </w:r>
    </w:p>
    <w:p>
      <w:pPr>
        <w:spacing w:after="0" w:line="297" w:lineRule="exact"/>
        <w:rPr>
          <w:sz w:val="20"/>
          <w:szCs w:val="20"/>
          <w:color w:val="auto"/>
        </w:rPr>
      </w:pPr>
    </w:p>
    <w:p>
      <w:pPr>
        <w:ind w:left="40" w:right="100"/>
        <w:spacing w:after="0" w:line="264" w:lineRule="auto"/>
        <w:rPr>
          <w:sz w:val="20"/>
          <w:szCs w:val="20"/>
          <w:color w:val="auto"/>
        </w:rPr>
      </w:pPr>
      <w:r>
        <w:rPr>
          <w:rFonts w:ascii="Arial" w:cs="Arial" w:eastAsia="Arial" w:hAnsi="Arial"/>
          <w:sz w:val="13"/>
          <w:szCs w:val="13"/>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41"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CA</w:t>
            </w:r>
          </w:p>
        </w:tc>
        <w:tc>
          <w:tcPr>
            <w:tcW w:w="2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Mercer Mall</w:t>
            </w:r>
          </w:p>
        </w:tc>
        <w:tc>
          <w:tcPr>
            <w:tcW w:w="44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Lawrenceville, NJ</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2020" w:type="dxa"/>
            <w:vAlign w:val="bottom"/>
          </w:tcPr>
          <w:p>
            <w:pPr>
              <w:ind w:left="380"/>
              <w:spacing w:after="0"/>
              <w:rPr>
                <w:sz w:val="20"/>
                <w:szCs w:val="20"/>
                <w:color w:val="auto"/>
              </w:rPr>
            </w:pPr>
            <w:r>
              <w:rPr>
                <w:rFonts w:ascii="Arial" w:cs="Arial" w:eastAsia="Arial" w:hAnsi="Arial"/>
                <w:sz w:val="16"/>
                <w:szCs w:val="16"/>
                <w:color w:val="auto"/>
              </w:rPr>
              <w:t>Rockville, MD</w:t>
            </w:r>
          </w:p>
        </w:tc>
        <w:tc>
          <w:tcPr>
            <w:tcW w:w="2700" w:type="dxa"/>
            <w:vAlign w:val="bottom"/>
          </w:tcPr>
          <w:p>
            <w:pPr>
              <w:ind w:left="640"/>
              <w:spacing w:after="0"/>
              <w:rPr>
                <w:sz w:val="20"/>
                <w:szCs w:val="20"/>
                <w:color w:val="auto"/>
              </w:rPr>
            </w:pPr>
            <w:r>
              <w:rPr>
                <w:rFonts w:ascii="Arial" w:cs="Arial" w:eastAsia="Arial" w:hAnsi="Arial"/>
                <w:sz w:val="16"/>
                <w:szCs w:val="16"/>
                <w:b w:val="1"/>
                <w:bCs w:val="1"/>
                <w:color w:val="auto"/>
              </w:rPr>
              <w:t>Pan Am</w:t>
            </w:r>
          </w:p>
        </w:tc>
        <w:tc>
          <w:tcPr>
            <w:tcW w:w="4400" w:type="dxa"/>
            <w:vAlign w:val="bottom"/>
          </w:tcPr>
          <w:p>
            <w:pPr>
              <w:ind w:left="560"/>
              <w:spacing w:after="0"/>
              <w:rPr>
                <w:sz w:val="20"/>
                <w:szCs w:val="20"/>
                <w:color w:val="auto"/>
              </w:rPr>
            </w:pPr>
            <w:r>
              <w:rPr>
                <w:rFonts w:ascii="Arial" w:cs="Arial" w:eastAsia="Arial" w:hAnsi="Arial"/>
                <w:sz w:val="16"/>
                <w:szCs w:val="16"/>
                <w:color w:val="auto"/>
              </w:rPr>
              <w:t>Fairfax, VA</w:t>
            </w:r>
          </w:p>
        </w:tc>
      </w:tr>
      <w:tr>
        <w:trPr>
          <w:trHeight w:val="33"/>
        </w:trPr>
        <w:tc>
          <w:tcPr>
            <w:tcW w:w="2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37"/>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Fresh Meadows</w:t>
            </w:r>
          </w:p>
        </w:tc>
        <w:tc>
          <w:tcPr>
            <w:tcW w:w="2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Queens, NY</w:t>
            </w:r>
          </w:p>
        </w:tc>
        <w:tc>
          <w:tcPr>
            <w:tcW w:w="270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Sylmar Towne Center</w:t>
            </w:r>
          </w:p>
        </w:tc>
        <w:tc>
          <w:tcPr>
            <w:tcW w:w="44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Sylmar, CA</w:t>
            </w:r>
          </w:p>
        </w:tc>
      </w:tr>
      <w:tr>
        <w:trPr>
          <w:trHeight w:val="33"/>
        </w:trPr>
        <w:tc>
          <w:tcPr>
            <w:tcW w:w="23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63" w:lineRule="exact"/>
        <w:rPr>
          <w:sz w:val="20"/>
          <w:szCs w:val="20"/>
          <w:color w:val="auto"/>
        </w:rPr>
      </w:pPr>
    </w:p>
    <w:p>
      <w:pPr>
        <w:ind w:left="40" w:right="52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Barracks Road</w:t>
            </w:r>
          </w:p>
        </w:tc>
        <w:tc>
          <w:tcPr>
            <w:tcW w:w="2140" w:type="dxa"/>
            <w:vAlign w:val="bottom"/>
          </w:tcPr>
          <w:p>
            <w:pPr>
              <w:ind w:left="380"/>
              <w:spacing w:after="0"/>
              <w:rPr>
                <w:sz w:val="20"/>
                <w:szCs w:val="20"/>
                <w:color w:val="auto"/>
              </w:rPr>
            </w:pPr>
            <w:r>
              <w:rPr>
                <w:rFonts w:ascii="Arial" w:cs="Arial" w:eastAsia="Arial" w:hAnsi="Arial"/>
                <w:sz w:val="16"/>
                <w:szCs w:val="16"/>
                <w:color w:val="auto"/>
              </w:rPr>
              <w:t>Charlottesville, VA</w:t>
            </w:r>
          </w:p>
        </w:tc>
        <w:tc>
          <w:tcPr>
            <w:tcW w:w="3060" w:type="dxa"/>
            <w:vAlign w:val="bottom"/>
          </w:tcPr>
          <w:p>
            <w:pPr>
              <w:ind w:left="520"/>
              <w:spacing w:after="0"/>
              <w:rPr>
                <w:sz w:val="20"/>
                <w:szCs w:val="20"/>
                <w:color w:val="auto"/>
              </w:rPr>
            </w:pPr>
            <w:r>
              <w:rPr>
                <w:rFonts w:ascii="Arial" w:cs="Arial" w:eastAsia="Arial" w:hAnsi="Arial"/>
                <w:sz w:val="16"/>
                <w:szCs w:val="16"/>
                <w:b w:val="1"/>
                <w:bCs w:val="1"/>
                <w:color w:val="auto"/>
              </w:rPr>
              <w:t>Huntington</w:t>
            </w:r>
          </w:p>
        </w:tc>
        <w:tc>
          <w:tcPr>
            <w:tcW w:w="3920" w:type="dxa"/>
            <w:vAlign w:val="bottom"/>
          </w:tcPr>
          <w:p>
            <w:pPr>
              <w:ind w:left="80"/>
              <w:spacing w:after="0"/>
              <w:rPr>
                <w:sz w:val="20"/>
                <w:szCs w:val="20"/>
                <w:color w:val="auto"/>
              </w:rPr>
            </w:pPr>
            <w:r>
              <w:rPr>
                <w:rFonts w:ascii="Arial" w:cs="Arial" w:eastAsia="Arial" w:hAnsi="Arial"/>
                <w:sz w:val="16"/>
                <w:szCs w:val="16"/>
                <w:color w:val="auto"/>
              </w:rPr>
              <w:t>Huntington, NY</w:t>
            </w:r>
          </w:p>
        </w:tc>
      </w:tr>
      <w:tr>
        <w:trPr>
          <w:trHeight w:val="33"/>
        </w:trPr>
        <w:tc>
          <w:tcPr>
            <w:tcW w:w="2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Bethesda, MD</w:t>
            </w:r>
          </w:p>
        </w:tc>
        <w:tc>
          <w:tcPr>
            <w:tcW w:w="3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Plaza El Segundo</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El Segundo, CA</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Dedham Plaza</w:t>
            </w:r>
          </w:p>
        </w:tc>
        <w:tc>
          <w:tcPr>
            <w:tcW w:w="2140" w:type="dxa"/>
            <w:vAlign w:val="bottom"/>
          </w:tcPr>
          <w:p>
            <w:pPr>
              <w:ind w:left="380"/>
              <w:spacing w:after="0"/>
              <w:rPr>
                <w:sz w:val="20"/>
                <w:szCs w:val="20"/>
                <w:color w:val="auto"/>
              </w:rPr>
            </w:pPr>
            <w:r>
              <w:rPr>
                <w:rFonts w:ascii="Arial" w:cs="Arial" w:eastAsia="Arial" w:hAnsi="Arial"/>
                <w:sz w:val="16"/>
                <w:szCs w:val="16"/>
                <w:color w:val="auto"/>
              </w:rPr>
              <w:t>Dedham, MA</w:t>
            </w:r>
          </w:p>
        </w:tc>
        <w:tc>
          <w:tcPr>
            <w:tcW w:w="3060" w:type="dxa"/>
            <w:vAlign w:val="bottom"/>
          </w:tcPr>
          <w:p>
            <w:pPr>
              <w:ind w:left="520"/>
              <w:spacing w:after="0"/>
              <w:rPr>
                <w:sz w:val="20"/>
                <w:szCs w:val="20"/>
                <w:color w:val="auto"/>
              </w:rPr>
            </w:pPr>
            <w:r>
              <w:rPr>
                <w:rFonts w:ascii="Arial" w:cs="Arial" w:eastAsia="Arial" w:hAnsi="Arial"/>
                <w:sz w:val="16"/>
                <w:szCs w:val="16"/>
                <w:b w:val="1"/>
                <w:bCs w:val="1"/>
                <w:color w:val="auto"/>
              </w:rPr>
              <w:t>Riverpoint Center</w:t>
            </w:r>
          </w:p>
        </w:tc>
        <w:tc>
          <w:tcPr>
            <w:tcW w:w="3920" w:type="dxa"/>
            <w:vAlign w:val="bottom"/>
          </w:tcPr>
          <w:p>
            <w:pPr>
              <w:ind w:left="80"/>
              <w:spacing w:after="0"/>
              <w:rPr>
                <w:sz w:val="20"/>
                <w:szCs w:val="20"/>
                <w:color w:val="auto"/>
              </w:rPr>
            </w:pPr>
            <w:r>
              <w:rPr>
                <w:rFonts w:ascii="Arial" w:cs="Arial" w:eastAsia="Arial" w:hAnsi="Arial"/>
                <w:sz w:val="16"/>
                <w:szCs w:val="16"/>
                <w:color w:val="auto"/>
              </w:rPr>
              <w:t>Chicago, IL</w:t>
            </w:r>
          </w:p>
        </w:tc>
      </w:tr>
      <w:tr>
        <w:trPr>
          <w:trHeight w:val="33"/>
        </w:trPr>
        <w:tc>
          <w:tcPr>
            <w:tcW w:w="2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Fourth Street</w:t>
            </w:r>
          </w:p>
        </w:tc>
        <w:tc>
          <w:tcPr>
            <w:tcW w:w="2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Berkeley, CA</w:t>
            </w:r>
          </w:p>
        </w:tc>
        <w:tc>
          <w:tcPr>
            <w:tcW w:w="3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South Miami, FL</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Fairfax Junction</w:t>
            </w:r>
          </w:p>
        </w:tc>
        <w:tc>
          <w:tcPr>
            <w:tcW w:w="2140" w:type="dxa"/>
            <w:vAlign w:val="bottom"/>
          </w:tcPr>
          <w:p>
            <w:pPr>
              <w:ind w:left="380"/>
              <w:spacing w:after="0"/>
              <w:rPr>
                <w:sz w:val="20"/>
                <w:szCs w:val="20"/>
                <w:color w:val="auto"/>
              </w:rPr>
            </w:pPr>
            <w:r>
              <w:rPr>
                <w:rFonts w:ascii="Arial" w:cs="Arial" w:eastAsia="Arial" w:hAnsi="Arial"/>
                <w:sz w:val="16"/>
                <w:szCs w:val="16"/>
                <w:color w:val="auto"/>
              </w:rPr>
              <w:t>Fairfax, VA</w:t>
            </w:r>
          </w:p>
        </w:tc>
        <w:tc>
          <w:tcPr>
            <w:tcW w:w="3060" w:type="dxa"/>
            <w:vAlign w:val="bottom"/>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3920" w:type="dxa"/>
            <w:vAlign w:val="bottom"/>
          </w:tcPr>
          <w:p>
            <w:pPr>
              <w:ind w:left="80"/>
              <w:spacing w:after="0"/>
              <w:rPr>
                <w:sz w:val="20"/>
                <w:szCs w:val="20"/>
                <w:color w:val="auto"/>
              </w:rPr>
            </w:pPr>
            <w:r>
              <w:rPr>
                <w:rFonts w:ascii="Arial" w:cs="Arial" w:eastAsia="Arial" w:hAnsi="Arial"/>
                <w:sz w:val="16"/>
                <w:szCs w:val="16"/>
                <w:color w:val="auto"/>
              </w:rPr>
              <w:t>Santa Monica, CA</w:t>
            </w:r>
          </w:p>
        </w:tc>
      </w:tr>
      <w:tr>
        <w:trPr>
          <w:trHeight w:val="33"/>
        </w:trPr>
        <w:tc>
          <w:tcPr>
            <w:tcW w:w="2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Fresh Meadows</w:t>
            </w:r>
          </w:p>
        </w:tc>
        <w:tc>
          <w:tcPr>
            <w:tcW w:w="2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Queens, NY</w:t>
            </w:r>
          </w:p>
        </w:tc>
        <w:tc>
          <w:tcPr>
            <w:tcW w:w="3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Bethesda, MD</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Hastings Ranch Plaza</w:t>
            </w:r>
          </w:p>
        </w:tc>
        <w:tc>
          <w:tcPr>
            <w:tcW w:w="2140" w:type="dxa"/>
            <w:vAlign w:val="bottom"/>
          </w:tcPr>
          <w:p>
            <w:pPr>
              <w:ind w:left="380"/>
              <w:spacing w:after="0"/>
              <w:rPr>
                <w:sz w:val="20"/>
                <w:szCs w:val="20"/>
                <w:color w:val="auto"/>
              </w:rPr>
            </w:pPr>
            <w:r>
              <w:rPr>
                <w:rFonts w:ascii="Arial" w:cs="Arial" w:eastAsia="Arial" w:hAnsi="Arial"/>
                <w:sz w:val="16"/>
                <w:szCs w:val="16"/>
                <w:color w:val="auto"/>
              </w:rPr>
              <w:t>Pasadena, CA</w:t>
            </w:r>
          </w:p>
        </w:tc>
        <w:tc>
          <w:tcPr>
            <w:tcW w:w="3060" w:type="dxa"/>
            <w:vAlign w:val="bottom"/>
          </w:tcPr>
          <w:p>
            <w:pPr>
              <w:ind w:left="520"/>
              <w:spacing w:after="0"/>
              <w:rPr>
                <w:sz w:val="20"/>
                <w:szCs w:val="20"/>
                <w:color w:val="auto"/>
              </w:rPr>
            </w:pPr>
            <w:r>
              <w:rPr>
                <w:rFonts w:ascii="Arial" w:cs="Arial" w:eastAsia="Arial" w:hAnsi="Arial"/>
                <w:sz w:val="16"/>
                <w:szCs w:val="16"/>
                <w:b w:val="1"/>
                <w:bCs w:val="1"/>
                <w:color w:val="auto"/>
              </w:rPr>
              <w:t>Willow Grove</w:t>
            </w:r>
          </w:p>
        </w:tc>
        <w:tc>
          <w:tcPr>
            <w:tcW w:w="3920" w:type="dxa"/>
            <w:vAlign w:val="bottom"/>
          </w:tcPr>
          <w:p>
            <w:pPr>
              <w:ind w:left="80"/>
              <w:spacing w:after="0"/>
              <w:rPr>
                <w:sz w:val="20"/>
                <w:szCs w:val="20"/>
                <w:color w:val="auto"/>
              </w:rPr>
            </w:pPr>
            <w:r>
              <w:rPr>
                <w:rFonts w:ascii="Arial" w:cs="Arial" w:eastAsia="Arial" w:hAnsi="Arial"/>
                <w:sz w:val="16"/>
                <w:szCs w:val="16"/>
                <w:color w:val="auto"/>
              </w:rPr>
              <w:t>Willow Grove, PA</w:t>
            </w:r>
          </w:p>
        </w:tc>
      </w:tr>
      <w:tr>
        <w:trPr>
          <w:trHeight w:val="33"/>
        </w:trPr>
        <w:tc>
          <w:tcPr>
            <w:tcW w:w="7500" w:type="dxa"/>
            <w:vAlign w:val="bottom"/>
            <w:gridSpan w:val="3"/>
          </w:tcPr>
          <w:p>
            <w:pPr>
              <w:spacing w:after="0"/>
              <w:rPr>
                <w:sz w:val="2"/>
                <w:szCs w:val="2"/>
                <w:color w:val="auto"/>
              </w:rPr>
            </w:pPr>
          </w:p>
        </w:tc>
        <w:tc>
          <w:tcPr>
            <w:tcW w:w="3920" w:type="dxa"/>
            <w:vAlign w:val="bottom"/>
          </w:tcPr>
          <w:p>
            <w:pPr>
              <w:spacing w:after="0"/>
              <w:rPr>
                <w:sz w:val="2"/>
                <w:szCs w:val="2"/>
                <w:color w:val="auto"/>
              </w:rPr>
            </w:pPr>
          </w:p>
        </w:tc>
      </w:tr>
      <w:tr>
        <w:trPr>
          <w:trHeight w:val="270"/>
        </w:trPr>
        <w:tc>
          <w:tcPr>
            <w:tcW w:w="7500" w:type="dxa"/>
            <w:vAlign w:val="bottom"/>
            <w:gridSpan w:val="3"/>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r>
      <w:tr>
        <w:trPr>
          <w:trHeight w:val="224"/>
        </w:trPr>
        <w:tc>
          <w:tcPr>
            <w:tcW w:w="7500" w:type="dxa"/>
            <w:vAlign w:val="bottom"/>
            <w:gridSpan w:val="3"/>
          </w:tcPr>
          <w:p>
            <w:pPr>
              <w:ind w:left="40"/>
              <w:spacing w:after="0"/>
              <w:rPr>
                <w:sz w:val="20"/>
                <w:szCs w:val="20"/>
                <w:color w:val="auto"/>
              </w:rPr>
            </w:pPr>
            <w:r>
              <w:rPr>
                <w:rFonts w:ascii="Arial" w:cs="Arial" w:eastAsia="Arial" w:hAnsi="Arial"/>
                <w:sz w:val="16"/>
                <w:szCs w:val="16"/>
                <w:b w:val="1"/>
                <w:bCs w:val="1"/>
                <w:color w:val="auto"/>
                <w:w w:val="91"/>
              </w:rPr>
              <w:t>Residential Opportunities - Opportunity to add residential units to existing retail and mixed-use properties.</w:t>
            </w:r>
          </w:p>
        </w:tc>
        <w:tc>
          <w:tcPr>
            <w:tcW w:w="3920" w:type="dxa"/>
            <w:vAlign w:val="bottom"/>
          </w:tcPr>
          <w:p>
            <w:pPr>
              <w:spacing w:after="0"/>
              <w:rPr>
                <w:sz w:val="19"/>
                <w:szCs w:val="19"/>
                <w:color w:val="auto"/>
              </w:rPr>
            </w:pPr>
          </w:p>
        </w:tc>
      </w:tr>
      <w:tr>
        <w:trPr>
          <w:trHeight w:val="33"/>
        </w:trPr>
        <w:tc>
          <w:tcPr>
            <w:tcW w:w="2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Barracks Road</w:t>
            </w:r>
          </w:p>
        </w:tc>
        <w:tc>
          <w:tcPr>
            <w:tcW w:w="2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Charlottesville, VA</w:t>
            </w:r>
          </w:p>
        </w:tc>
        <w:tc>
          <w:tcPr>
            <w:tcW w:w="3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Graham Park Plaza</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Falls Church, VA</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Bala Cynwyd</w:t>
            </w:r>
          </w:p>
        </w:tc>
        <w:tc>
          <w:tcPr>
            <w:tcW w:w="2140" w:type="dxa"/>
            <w:vAlign w:val="bottom"/>
          </w:tcPr>
          <w:p>
            <w:pPr>
              <w:ind w:left="380"/>
              <w:spacing w:after="0"/>
              <w:rPr>
                <w:sz w:val="20"/>
                <w:szCs w:val="20"/>
                <w:color w:val="auto"/>
              </w:rPr>
            </w:pPr>
            <w:r>
              <w:rPr>
                <w:rFonts w:ascii="Arial" w:cs="Arial" w:eastAsia="Arial" w:hAnsi="Arial"/>
                <w:sz w:val="16"/>
                <w:szCs w:val="16"/>
                <w:color w:val="auto"/>
              </w:rPr>
              <w:t>Bala Cynwyd, PA</w:t>
            </w:r>
          </w:p>
        </w:tc>
        <w:tc>
          <w:tcPr>
            <w:tcW w:w="3060" w:type="dxa"/>
            <w:vAlign w:val="bottom"/>
          </w:tcPr>
          <w:p>
            <w:pPr>
              <w:ind w:left="520"/>
              <w:spacing w:after="0"/>
              <w:rPr>
                <w:sz w:val="20"/>
                <w:szCs w:val="20"/>
                <w:color w:val="auto"/>
              </w:rPr>
            </w:pPr>
            <w:r>
              <w:rPr>
                <w:rFonts w:ascii="Arial" w:cs="Arial" w:eastAsia="Arial" w:hAnsi="Arial"/>
                <w:sz w:val="16"/>
                <w:szCs w:val="16"/>
                <w:b w:val="1"/>
                <w:bCs w:val="1"/>
                <w:color w:val="auto"/>
              </w:rPr>
              <w:t>Village at Shirlington</w:t>
            </w:r>
          </w:p>
        </w:tc>
        <w:tc>
          <w:tcPr>
            <w:tcW w:w="3920" w:type="dxa"/>
            <w:vAlign w:val="bottom"/>
          </w:tcPr>
          <w:p>
            <w:pPr>
              <w:ind w:left="80"/>
              <w:spacing w:after="0"/>
              <w:rPr>
                <w:sz w:val="20"/>
                <w:szCs w:val="20"/>
                <w:color w:val="auto"/>
              </w:rPr>
            </w:pPr>
            <w:r>
              <w:rPr>
                <w:rFonts w:ascii="Arial" w:cs="Arial" w:eastAsia="Arial" w:hAnsi="Arial"/>
                <w:sz w:val="16"/>
                <w:szCs w:val="16"/>
                <w:color w:val="auto"/>
              </w:rPr>
              <w:t>Arlington, VA</w:t>
            </w:r>
          </w:p>
        </w:tc>
      </w:tr>
      <w:tr>
        <w:trPr>
          <w:trHeight w:val="33"/>
        </w:trPr>
        <w:tc>
          <w:tcPr>
            <w:tcW w:w="4440" w:type="dxa"/>
            <w:vAlign w:val="bottom"/>
            <w:gridSpan w:val="2"/>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70"/>
        </w:trPr>
        <w:tc>
          <w:tcPr>
            <w:tcW w:w="4440" w:type="dxa"/>
            <w:vAlign w:val="bottom"/>
            <w:gridSpan w:val="2"/>
            <w:shd w:val="clear" w:color="auto" w:fill="CCEEFF"/>
          </w:tcPr>
          <w:p>
            <w:pPr>
              <w:spacing w:after="0"/>
              <w:rPr>
                <w:sz w:val="23"/>
                <w:szCs w:val="23"/>
                <w:color w:val="auto"/>
              </w:rPr>
            </w:pPr>
          </w:p>
        </w:tc>
        <w:tc>
          <w:tcPr>
            <w:tcW w:w="306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r>
      <w:tr>
        <w:trPr>
          <w:trHeight w:val="224"/>
        </w:trPr>
        <w:tc>
          <w:tcPr>
            <w:tcW w:w="444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306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33"/>
        </w:trPr>
        <w:tc>
          <w:tcPr>
            <w:tcW w:w="2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Assembly Row (1)</w:t>
            </w:r>
          </w:p>
        </w:tc>
        <w:tc>
          <w:tcPr>
            <w:tcW w:w="2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Somerville, MA</w:t>
            </w:r>
          </w:p>
        </w:tc>
        <w:tc>
          <w:tcPr>
            <w:tcW w:w="3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Pike &amp; Rose (2)</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North Bethesda, MD</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Bala Cynwyd</w:t>
            </w:r>
          </w:p>
        </w:tc>
        <w:tc>
          <w:tcPr>
            <w:tcW w:w="2140" w:type="dxa"/>
            <w:vAlign w:val="bottom"/>
          </w:tcPr>
          <w:p>
            <w:pPr>
              <w:ind w:left="380"/>
              <w:spacing w:after="0"/>
              <w:rPr>
                <w:sz w:val="20"/>
                <w:szCs w:val="20"/>
                <w:color w:val="auto"/>
              </w:rPr>
            </w:pPr>
            <w:r>
              <w:rPr>
                <w:rFonts w:ascii="Arial" w:cs="Arial" w:eastAsia="Arial" w:hAnsi="Arial"/>
                <w:sz w:val="16"/>
                <w:szCs w:val="16"/>
                <w:color w:val="auto"/>
              </w:rPr>
              <w:t>Bala Cynwyd, PA</w:t>
            </w:r>
          </w:p>
        </w:tc>
        <w:tc>
          <w:tcPr>
            <w:tcW w:w="3060" w:type="dxa"/>
            <w:vAlign w:val="bottom"/>
          </w:tcPr>
          <w:p>
            <w:pPr>
              <w:ind w:left="520"/>
              <w:spacing w:after="0"/>
              <w:rPr>
                <w:sz w:val="20"/>
                <w:szCs w:val="20"/>
                <w:color w:val="auto"/>
              </w:rPr>
            </w:pPr>
            <w:r>
              <w:rPr>
                <w:rFonts w:ascii="Arial" w:cs="Arial" w:eastAsia="Arial" w:hAnsi="Arial"/>
                <w:sz w:val="16"/>
                <w:szCs w:val="16"/>
                <w:b w:val="1"/>
                <w:bCs w:val="1"/>
                <w:color w:val="auto"/>
              </w:rPr>
              <w:t>Santana Row (3)</w:t>
            </w:r>
          </w:p>
        </w:tc>
        <w:tc>
          <w:tcPr>
            <w:tcW w:w="3920" w:type="dxa"/>
            <w:vAlign w:val="bottom"/>
          </w:tcPr>
          <w:p>
            <w:pPr>
              <w:ind w:left="80"/>
              <w:spacing w:after="0"/>
              <w:rPr>
                <w:sz w:val="20"/>
                <w:szCs w:val="20"/>
                <w:color w:val="auto"/>
              </w:rPr>
            </w:pPr>
            <w:r>
              <w:rPr>
                <w:rFonts w:ascii="Arial" w:cs="Arial" w:eastAsia="Arial" w:hAnsi="Arial"/>
                <w:sz w:val="16"/>
                <w:szCs w:val="16"/>
                <w:color w:val="auto"/>
              </w:rPr>
              <w:t>San Jose, CA</w:t>
            </w:r>
          </w:p>
        </w:tc>
      </w:tr>
      <w:tr>
        <w:trPr>
          <w:trHeight w:val="33"/>
        </w:trPr>
        <w:tc>
          <w:tcPr>
            <w:tcW w:w="2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37"/>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Pike 7 Plaza</w:t>
            </w:r>
          </w:p>
        </w:tc>
        <w:tc>
          <w:tcPr>
            <w:tcW w:w="2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Vienna, VA</w:t>
            </w:r>
          </w:p>
        </w:tc>
        <w:tc>
          <w:tcPr>
            <w:tcW w:w="306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Santana Row - Santana West (3)</w:t>
            </w:r>
          </w:p>
        </w:tc>
        <w:tc>
          <w:tcPr>
            <w:tcW w:w="3920" w:type="dxa"/>
            <w:vAlign w:val="bottom"/>
            <w:shd w:val="clear" w:color="auto" w:fill="CCEEFF"/>
          </w:tcPr>
          <w:p>
            <w:pPr>
              <w:ind w:left="80"/>
              <w:spacing w:after="0"/>
              <w:rPr>
                <w:sz w:val="20"/>
                <w:szCs w:val="20"/>
                <w:color w:val="auto"/>
              </w:rPr>
            </w:pPr>
            <w:r>
              <w:rPr>
                <w:rFonts w:ascii="Arial" w:cs="Arial" w:eastAsia="Arial" w:hAnsi="Arial"/>
                <w:sz w:val="16"/>
                <w:szCs w:val="16"/>
                <w:color w:val="auto"/>
              </w:rPr>
              <w:t>San Jose, CA</w:t>
            </w:r>
          </w:p>
        </w:tc>
      </w:tr>
      <w:tr>
        <w:trPr>
          <w:trHeight w:val="33"/>
        </w:trPr>
        <w:tc>
          <w:tcPr>
            <w:tcW w:w="23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380" w:hanging="345"/>
        <w:spacing w:after="0"/>
        <w:tabs>
          <w:tab w:leader="none" w:pos="3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Assembly Row</w:t>
      </w:r>
    </w:p>
    <w:p>
      <w:pPr>
        <w:spacing w:after="0" w:line="84" w:lineRule="exact"/>
        <w:rPr>
          <w:rFonts w:ascii="Arial" w:cs="Arial" w:eastAsia="Arial" w:hAnsi="Arial"/>
          <w:sz w:val="15"/>
          <w:szCs w:val="15"/>
          <w:color w:val="auto"/>
        </w:rPr>
      </w:pPr>
    </w:p>
    <w:p>
      <w:pPr>
        <w:ind w:left="380" w:hanging="345"/>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Pike &amp; Rose</w:t>
      </w:r>
    </w:p>
    <w:p>
      <w:pPr>
        <w:spacing w:after="0" w:line="72" w:lineRule="exact"/>
        <w:rPr>
          <w:rFonts w:ascii="Arial" w:cs="Arial" w:eastAsia="Arial" w:hAnsi="Arial"/>
          <w:sz w:val="16"/>
          <w:szCs w:val="16"/>
          <w:color w:val="auto"/>
        </w:rPr>
      </w:pPr>
    </w:p>
    <w:p>
      <w:pPr>
        <w:ind w:left="380" w:hanging="345"/>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Santana Row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Remaining entitlements after Phase II include approximately 1.5 million square feet of commercial-use buildings and 329 residential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55245</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Remaining entitlements after Phase II include approximately 740,000 square feet of commercial-use buildings, and 741 residential units.</w:t>
      </w:r>
    </w:p>
    <w:p>
      <w:pPr>
        <w:spacing w:after="0" w:line="96"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Remaining entitlements include approximately 321,000 square feet of commercial space and 395 residential units, as well as approximately 604,000 square feet of commercial space on land we control across from Santana Row.</w:t>
      </w:r>
    </w:p>
    <w:p>
      <w:pPr>
        <w:spacing w:after="0" w:line="200" w:lineRule="exact"/>
        <w:rPr>
          <w:sz w:val="20"/>
          <w:szCs w:val="20"/>
          <w:color w:val="auto"/>
        </w:rPr>
      </w:pPr>
    </w:p>
    <w:p>
      <w:pPr>
        <w:sectPr>
          <w:pgSz w:w="11900" w:h="16838" w:orient="portrait"/>
          <w:cols w:equalWidth="0" w:num="2">
            <w:col w:w="1960" w:space="720"/>
            <w:col w:w="8740"/>
          </w:cols>
          <w:pgMar w:left="240" w:top="720" w:right="2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20" w:right="239"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Property Acquisitions, Dispositions, and Other Transactions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and 2020 Significant Acquisitions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23"/>
              <w:spacing w:after="0"/>
              <w:rPr>
                <w:sz w:val="20"/>
                <w:szCs w:val="20"/>
                <w:color w:val="auto"/>
              </w:rPr>
            </w:pPr>
            <w:r>
              <w:rPr>
                <w:rFonts w:ascii="Arial" w:cs="Arial" w:eastAsia="Arial" w:hAnsi="Arial"/>
                <w:sz w:val="16"/>
                <w:szCs w:val="16"/>
                <w:b w:val="1"/>
                <w:bCs w:val="1"/>
                <w:color w:val="auto"/>
                <w:w w:val="86"/>
              </w:rPr>
              <w:t>Purchase</w:t>
            </w:r>
          </w:p>
        </w:tc>
        <w:tc>
          <w:tcPr>
            <w:tcW w:w="2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04"/>
        </w:trPr>
        <w:tc>
          <w:tcPr>
            <w:tcW w:w="1580" w:type="dxa"/>
            <w:vAlign w:val="bottom"/>
          </w:tcPr>
          <w:p>
            <w:pPr>
              <w:ind w:left="40"/>
              <w:spacing w:after="0"/>
              <w:rPr>
                <w:sz w:val="20"/>
                <w:szCs w:val="20"/>
                <w:color w:val="auto"/>
              </w:rPr>
            </w:pPr>
            <w:r>
              <w:rPr>
                <w:rFonts w:ascii="Arial" w:cs="Arial" w:eastAsia="Arial" w:hAnsi="Arial"/>
                <w:sz w:val="16"/>
                <w:szCs w:val="16"/>
                <w:b w:val="1"/>
                <w:bCs w:val="1"/>
                <w:color w:val="auto"/>
              </w:rPr>
              <w:t>Date</w:t>
            </w:r>
          </w:p>
        </w:tc>
        <w:tc>
          <w:tcPr>
            <w:tcW w:w="2700" w:type="dxa"/>
            <w:vAlign w:val="bottom"/>
          </w:tcPr>
          <w:p>
            <w:pPr>
              <w:ind w:left="300"/>
              <w:spacing w:after="0"/>
              <w:rPr>
                <w:sz w:val="20"/>
                <w:szCs w:val="20"/>
                <w:color w:val="auto"/>
              </w:rPr>
            </w:pPr>
            <w:r>
              <w:rPr>
                <w:rFonts w:ascii="Arial" w:cs="Arial" w:eastAsia="Arial" w:hAnsi="Arial"/>
                <w:sz w:val="16"/>
                <w:szCs w:val="16"/>
                <w:b w:val="1"/>
                <w:bCs w:val="1"/>
                <w:color w:val="auto"/>
              </w:rPr>
              <w:t>Property</w:t>
            </w:r>
          </w:p>
        </w:tc>
        <w:tc>
          <w:tcPr>
            <w:tcW w:w="1920" w:type="dxa"/>
            <w:vAlign w:val="bottom"/>
          </w:tcPr>
          <w:p>
            <w:pPr>
              <w:ind w:left="220"/>
              <w:spacing w:after="0"/>
              <w:rPr>
                <w:sz w:val="20"/>
                <w:szCs w:val="20"/>
                <w:color w:val="auto"/>
              </w:rPr>
            </w:pPr>
            <w:r>
              <w:rPr>
                <w:rFonts w:ascii="Arial" w:cs="Arial" w:eastAsia="Arial" w:hAnsi="Arial"/>
                <w:sz w:val="16"/>
                <w:szCs w:val="16"/>
                <w:b w:val="1"/>
                <w:bCs w:val="1"/>
                <w:color w:val="auto"/>
              </w:rPr>
              <w:t>City/State</w:t>
            </w:r>
          </w:p>
        </w:tc>
        <w:tc>
          <w:tcPr>
            <w:tcW w:w="1340" w:type="dxa"/>
            <w:vAlign w:val="bottom"/>
          </w:tcPr>
          <w:p>
            <w:pPr>
              <w:jc w:val="right"/>
              <w:ind w:right="343"/>
              <w:spacing w:after="0"/>
              <w:rPr>
                <w:sz w:val="20"/>
                <w:szCs w:val="20"/>
                <w:color w:val="auto"/>
              </w:rPr>
            </w:pPr>
            <w:r>
              <w:rPr>
                <w:rFonts w:ascii="Arial" w:cs="Arial" w:eastAsia="Arial" w:hAnsi="Arial"/>
                <w:sz w:val="16"/>
                <w:szCs w:val="16"/>
                <w:b w:val="1"/>
                <w:bCs w:val="1"/>
                <w:color w:val="auto"/>
              </w:rPr>
              <w:t>GLA</w:t>
            </w:r>
          </w:p>
        </w:tc>
        <w:tc>
          <w:tcPr>
            <w:tcW w:w="160" w:type="dxa"/>
            <w:vAlign w:val="bottom"/>
          </w:tcPr>
          <w:p>
            <w:pPr>
              <w:spacing w:after="0"/>
              <w:rPr>
                <w:sz w:val="17"/>
                <w:szCs w:val="17"/>
                <w:color w:val="auto"/>
              </w:rPr>
            </w:pPr>
          </w:p>
        </w:tc>
        <w:tc>
          <w:tcPr>
            <w:tcW w:w="840" w:type="dxa"/>
            <w:vAlign w:val="bottom"/>
          </w:tcPr>
          <w:p>
            <w:pPr>
              <w:jc w:val="center"/>
              <w:ind w:right="3"/>
              <w:spacing w:after="0"/>
              <w:rPr>
                <w:sz w:val="20"/>
                <w:szCs w:val="20"/>
                <w:color w:val="auto"/>
              </w:rPr>
            </w:pPr>
            <w:r>
              <w:rPr>
                <w:rFonts w:ascii="Arial" w:cs="Arial" w:eastAsia="Arial" w:hAnsi="Arial"/>
                <w:sz w:val="16"/>
                <w:szCs w:val="16"/>
                <w:b w:val="1"/>
                <w:bCs w:val="1"/>
                <w:color w:val="auto"/>
                <w:w w:val="91"/>
              </w:rPr>
              <w:t>Price</w:t>
            </w:r>
          </w:p>
        </w:tc>
        <w:tc>
          <w:tcPr>
            <w:tcW w:w="2500" w:type="dxa"/>
            <w:vAlign w:val="bottom"/>
          </w:tcPr>
          <w:p>
            <w:pPr>
              <w:ind w:left="80"/>
              <w:spacing w:after="0"/>
              <w:rPr>
                <w:sz w:val="20"/>
                <w:szCs w:val="20"/>
                <w:color w:val="auto"/>
              </w:rPr>
            </w:pPr>
            <w:r>
              <w:rPr>
                <w:rFonts w:ascii="Arial" w:cs="Arial" w:eastAsia="Arial" w:hAnsi="Arial"/>
                <w:sz w:val="16"/>
                <w:szCs w:val="16"/>
                <w:b w:val="1"/>
                <w:bCs w:val="1"/>
                <w:color w:val="auto"/>
              </w:rPr>
              <w:t>Principal Tenants</w:t>
            </w:r>
          </w:p>
        </w:tc>
        <w:tc>
          <w:tcPr>
            <w:tcW w:w="380" w:type="dxa"/>
            <w:vAlign w:val="bottom"/>
          </w:tcPr>
          <w:p>
            <w:pPr>
              <w:spacing w:after="0"/>
              <w:rPr>
                <w:sz w:val="17"/>
                <w:szCs w:val="17"/>
                <w:color w:val="auto"/>
              </w:rPr>
            </w:pPr>
          </w:p>
        </w:tc>
      </w:tr>
      <w:tr>
        <w:trPr>
          <w:trHeight w:val="22"/>
        </w:trPr>
        <w:tc>
          <w:tcPr>
            <w:tcW w:w="15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58"/>
        </w:trPr>
        <w:tc>
          <w:tcPr>
            <w:tcW w:w="15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340" w:type="dxa"/>
            <w:vAlign w:val="bottom"/>
          </w:tcPr>
          <w:p>
            <w:pPr>
              <w:jc w:val="right"/>
              <w:ind w:right="63"/>
              <w:spacing w:after="0"/>
              <w:rPr>
                <w:sz w:val="20"/>
                <w:szCs w:val="20"/>
                <w:color w:val="auto"/>
              </w:rPr>
            </w:pPr>
            <w:r>
              <w:rPr>
                <w:rFonts w:ascii="Arial" w:cs="Arial" w:eastAsia="Arial" w:hAnsi="Arial"/>
                <w:sz w:val="14"/>
                <w:szCs w:val="14"/>
                <w:b w:val="1"/>
                <w:bCs w:val="1"/>
                <w:color w:val="auto"/>
              </w:rPr>
              <w:t>(in square feet)</w:t>
            </w:r>
          </w:p>
        </w:tc>
        <w:tc>
          <w:tcPr>
            <w:tcW w:w="160" w:type="dxa"/>
            <w:vAlign w:val="bottom"/>
          </w:tcPr>
          <w:p>
            <w:pPr>
              <w:spacing w:after="0"/>
              <w:rPr>
                <w:sz w:val="22"/>
                <w:szCs w:val="22"/>
                <w:color w:val="auto"/>
              </w:rPr>
            </w:pPr>
          </w:p>
        </w:tc>
        <w:tc>
          <w:tcPr>
            <w:tcW w:w="840" w:type="dxa"/>
            <w:vAlign w:val="bottom"/>
          </w:tcPr>
          <w:p>
            <w:pPr>
              <w:jc w:val="center"/>
              <w:ind w:right="3"/>
              <w:spacing w:after="0"/>
              <w:rPr>
                <w:sz w:val="20"/>
                <w:szCs w:val="20"/>
                <w:color w:val="auto"/>
              </w:rPr>
            </w:pPr>
            <w:r>
              <w:rPr>
                <w:rFonts w:ascii="Arial" w:cs="Arial" w:eastAsia="Arial" w:hAnsi="Arial"/>
                <w:sz w:val="14"/>
                <w:szCs w:val="14"/>
                <w:b w:val="1"/>
                <w:bCs w:val="1"/>
                <w:color w:val="auto"/>
                <w:w w:val="91"/>
              </w:rPr>
              <w:t>(in millions)</w:t>
            </w:r>
          </w:p>
        </w:tc>
        <w:tc>
          <w:tcPr>
            <w:tcW w:w="25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14"/>
        </w:trPr>
        <w:tc>
          <w:tcPr>
            <w:tcW w:w="1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February 8, 2019</w:t>
            </w:r>
          </w:p>
        </w:tc>
        <w:tc>
          <w:tcPr>
            <w:tcW w:w="2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Fairfax Junction</w:t>
            </w:r>
          </w:p>
        </w:tc>
        <w:tc>
          <w:tcPr>
            <w:tcW w:w="1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Fairfax, Virginia</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75,000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Aldi / CVS / Planet Fitness</w:t>
            </w:r>
          </w:p>
        </w:tc>
        <w:tc>
          <w:tcPr>
            <w:tcW w:w="380" w:type="dxa"/>
            <w:vAlign w:val="bottom"/>
            <w:shd w:val="clear" w:color="auto" w:fill="CCEEFF"/>
          </w:tcPr>
          <w:p>
            <w:pPr>
              <w:spacing w:after="0"/>
              <w:rPr>
                <w:sz w:val="18"/>
                <w:szCs w:val="18"/>
                <w:color w:val="auto"/>
              </w:rPr>
            </w:pPr>
          </w:p>
        </w:tc>
      </w:tr>
      <w:tr>
        <w:trPr>
          <w:trHeight w:val="62"/>
        </w:trPr>
        <w:tc>
          <w:tcPr>
            <w:tcW w:w="1580" w:type="dxa"/>
            <w:vAlign w:val="bottom"/>
            <w:shd w:val="clear" w:color="auto" w:fill="CCEEFF"/>
          </w:tcPr>
          <w:p>
            <w:pPr>
              <w:spacing w:after="0"/>
              <w:rPr>
                <w:sz w:val="5"/>
                <w:szCs w:val="5"/>
                <w:color w:val="auto"/>
              </w:rPr>
            </w:pPr>
          </w:p>
        </w:tc>
        <w:tc>
          <w:tcPr>
            <w:tcW w:w="270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5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r>
      <w:tr>
        <w:trPr>
          <w:trHeight w:val="208"/>
        </w:trPr>
        <w:tc>
          <w:tcPr>
            <w:tcW w:w="1580" w:type="dxa"/>
            <w:vAlign w:val="bottom"/>
          </w:tcPr>
          <w:p>
            <w:pPr>
              <w:ind w:left="40"/>
              <w:spacing w:after="0"/>
              <w:rPr>
                <w:sz w:val="20"/>
                <w:szCs w:val="20"/>
                <w:color w:val="auto"/>
              </w:rPr>
            </w:pPr>
            <w:r>
              <w:rPr>
                <w:rFonts w:ascii="Arial" w:cs="Arial" w:eastAsia="Arial" w:hAnsi="Arial"/>
                <w:sz w:val="16"/>
                <w:szCs w:val="16"/>
                <w:color w:val="auto"/>
              </w:rPr>
              <w:t>November 15, 2019</w:t>
            </w:r>
          </w:p>
        </w:tc>
        <w:tc>
          <w:tcPr>
            <w:tcW w:w="2700" w:type="dxa"/>
            <w:vAlign w:val="bottom"/>
          </w:tcPr>
          <w:p>
            <w:pPr>
              <w:ind w:left="300"/>
              <w:spacing w:after="0"/>
              <w:rPr>
                <w:sz w:val="20"/>
                <w:szCs w:val="20"/>
                <w:color w:val="auto"/>
              </w:rPr>
            </w:pPr>
            <w:r>
              <w:rPr>
                <w:rFonts w:ascii="Arial" w:cs="Arial" w:eastAsia="Arial" w:hAnsi="Arial"/>
                <w:sz w:val="16"/>
                <w:szCs w:val="16"/>
                <w:color w:val="auto"/>
              </w:rPr>
              <w:t>Georgetowne Shopping Center</w:t>
            </w:r>
          </w:p>
        </w:tc>
        <w:tc>
          <w:tcPr>
            <w:tcW w:w="1920" w:type="dxa"/>
            <w:vAlign w:val="bottom"/>
          </w:tcPr>
          <w:p>
            <w:pPr>
              <w:ind w:left="220"/>
              <w:spacing w:after="0"/>
              <w:rPr>
                <w:sz w:val="20"/>
                <w:szCs w:val="20"/>
                <w:color w:val="auto"/>
              </w:rPr>
            </w:pPr>
            <w:r>
              <w:rPr>
                <w:rFonts w:ascii="Arial" w:cs="Arial" w:eastAsia="Arial" w:hAnsi="Arial"/>
                <w:sz w:val="16"/>
                <w:szCs w:val="16"/>
                <w:color w:val="auto"/>
              </w:rPr>
              <w:t>Brooklyn, New York</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147,000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83.7</w:t>
            </w:r>
          </w:p>
        </w:tc>
        <w:tc>
          <w:tcPr>
            <w:tcW w:w="2500" w:type="dxa"/>
            <w:vAlign w:val="bottom"/>
          </w:tcPr>
          <w:p>
            <w:pPr>
              <w:ind w:left="80"/>
              <w:spacing w:after="0"/>
              <w:rPr>
                <w:sz w:val="20"/>
                <w:szCs w:val="20"/>
                <w:color w:val="auto"/>
              </w:rPr>
            </w:pPr>
            <w:r>
              <w:rPr>
                <w:rFonts w:ascii="Arial" w:cs="Arial" w:eastAsia="Arial" w:hAnsi="Arial"/>
                <w:sz w:val="16"/>
                <w:szCs w:val="16"/>
                <w:color w:val="auto"/>
                <w:w w:val="94"/>
              </w:rPr>
              <w:t>Fairway Market / Five Below / IHOP</w:t>
            </w:r>
          </w:p>
        </w:tc>
        <w:tc>
          <w:tcPr>
            <w:tcW w:w="380" w:type="dxa"/>
            <w:vAlign w:val="bottom"/>
          </w:tcPr>
          <w:p>
            <w:pPr>
              <w:spacing w:after="0"/>
              <w:rPr>
                <w:sz w:val="18"/>
                <w:szCs w:val="18"/>
                <w:color w:val="auto"/>
              </w:rPr>
            </w:pPr>
          </w:p>
        </w:tc>
      </w:tr>
      <w:tr>
        <w:trPr>
          <w:trHeight w:val="62"/>
        </w:trPr>
        <w:tc>
          <w:tcPr>
            <w:tcW w:w="15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380" w:type="dxa"/>
            <w:vAlign w:val="bottom"/>
          </w:tcPr>
          <w:p>
            <w:pPr>
              <w:spacing w:after="0"/>
              <w:rPr>
                <w:sz w:val="5"/>
                <w:szCs w:val="5"/>
                <w:color w:val="auto"/>
              </w:rPr>
            </w:pPr>
          </w:p>
        </w:tc>
      </w:tr>
      <w:tr>
        <w:trPr>
          <w:trHeight w:val="183"/>
        </w:trPr>
        <w:tc>
          <w:tcPr>
            <w:tcW w:w="1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Various 2019</w:t>
            </w:r>
          </w:p>
        </w:tc>
        <w:tc>
          <w:tcPr>
            <w:tcW w:w="27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8"/>
              </w:rPr>
              <w:t>Hoboken (37 mixed-use buildings)</w:t>
            </w:r>
          </w:p>
        </w:tc>
        <w:tc>
          <w:tcPr>
            <w:tcW w:w="1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Hoboken, New Jersey</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158,000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2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CVS / New York Sports Club /</w:t>
            </w:r>
          </w:p>
        </w:tc>
        <w:tc>
          <w:tcPr>
            <w:tcW w:w="3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w:t>
            </w:r>
          </w:p>
        </w:tc>
      </w:tr>
      <w:tr>
        <w:trPr>
          <w:trHeight w:val="202"/>
        </w:trPr>
        <w:tc>
          <w:tcPr>
            <w:tcW w:w="158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Sephora / Multiple Restaurants</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208"/>
        </w:trPr>
        <w:tc>
          <w:tcPr>
            <w:tcW w:w="1580" w:type="dxa"/>
            <w:vAlign w:val="bottom"/>
          </w:tcPr>
          <w:p>
            <w:pPr>
              <w:ind w:left="40"/>
              <w:spacing w:after="0"/>
              <w:rPr>
                <w:sz w:val="20"/>
                <w:szCs w:val="20"/>
                <w:color w:val="auto"/>
              </w:rPr>
            </w:pPr>
            <w:r>
              <w:rPr>
                <w:rFonts w:ascii="Arial" w:cs="Arial" w:eastAsia="Arial" w:hAnsi="Arial"/>
                <w:sz w:val="16"/>
                <w:szCs w:val="16"/>
                <w:color w:val="auto"/>
              </w:rPr>
              <w:t>January 10, 2020</w:t>
            </w:r>
          </w:p>
        </w:tc>
        <w:tc>
          <w:tcPr>
            <w:tcW w:w="2700" w:type="dxa"/>
            <w:vAlign w:val="bottom"/>
          </w:tcPr>
          <w:p>
            <w:pPr>
              <w:ind w:left="300"/>
              <w:spacing w:after="0"/>
              <w:rPr>
                <w:sz w:val="20"/>
                <w:szCs w:val="20"/>
                <w:color w:val="auto"/>
              </w:rPr>
            </w:pPr>
            <w:r>
              <w:rPr>
                <w:rFonts w:ascii="Arial" w:cs="Arial" w:eastAsia="Arial" w:hAnsi="Arial"/>
                <w:sz w:val="16"/>
                <w:szCs w:val="16"/>
                <w:color w:val="auto"/>
              </w:rPr>
              <w:t>Westfair Shopping Center</w:t>
            </w:r>
          </w:p>
        </w:tc>
        <w:tc>
          <w:tcPr>
            <w:tcW w:w="1920" w:type="dxa"/>
            <w:vAlign w:val="bottom"/>
          </w:tcPr>
          <w:p>
            <w:pPr>
              <w:ind w:left="220"/>
              <w:spacing w:after="0"/>
              <w:rPr>
                <w:sz w:val="20"/>
                <w:szCs w:val="20"/>
                <w:color w:val="auto"/>
              </w:rPr>
            </w:pPr>
            <w:r>
              <w:rPr>
                <w:rFonts w:ascii="Arial" w:cs="Arial" w:eastAsia="Arial" w:hAnsi="Arial"/>
                <w:sz w:val="16"/>
                <w:szCs w:val="16"/>
                <w:color w:val="auto"/>
              </w:rPr>
              <w:t>Fairfax, Virginia</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49,000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22.3</w:t>
            </w:r>
          </w:p>
        </w:tc>
        <w:tc>
          <w:tcPr>
            <w:tcW w:w="2500" w:type="dxa"/>
            <w:vAlign w:val="bottom"/>
          </w:tcPr>
          <w:p>
            <w:pPr>
              <w:ind w:left="80"/>
              <w:spacing w:after="0"/>
              <w:rPr>
                <w:sz w:val="20"/>
                <w:szCs w:val="20"/>
                <w:color w:val="auto"/>
              </w:rPr>
            </w:pPr>
            <w:r>
              <w:rPr>
                <w:rFonts w:ascii="Arial" w:cs="Arial" w:eastAsia="Arial" w:hAnsi="Arial"/>
                <w:sz w:val="16"/>
                <w:szCs w:val="16"/>
                <w:color w:val="auto"/>
              </w:rPr>
              <w:t>Guitar Center</w:t>
            </w:r>
          </w:p>
        </w:tc>
        <w:tc>
          <w:tcPr>
            <w:tcW w:w="380" w:type="dxa"/>
            <w:vAlign w:val="bottom"/>
          </w:tcPr>
          <w:p>
            <w:pPr>
              <w:jc w:val="right"/>
              <w:ind w:right="63"/>
              <w:spacing w:after="0"/>
              <w:rPr>
                <w:sz w:val="20"/>
                <w:szCs w:val="20"/>
                <w:color w:val="auto"/>
              </w:rPr>
            </w:pPr>
            <w:r>
              <w:rPr>
                <w:rFonts w:ascii="Arial" w:cs="Arial" w:eastAsia="Arial" w:hAnsi="Arial"/>
                <w:sz w:val="15"/>
                <w:szCs w:val="15"/>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664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51" w:lineRule="exact"/>
        <w:rPr>
          <w:sz w:val="20"/>
          <w:szCs w:val="20"/>
          <w:color w:val="auto"/>
        </w:rPr>
      </w:pPr>
    </w:p>
    <w:p>
      <w:pPr>
        <w:ind w:left="260" w:right="460" w:hanging="252"/>
        <w:spacing w:after="0" w:line="299" w:lineRule="auto"/>
        <w:tabs>
          <w:tab w:leader="none" w:pos="25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acquisitions were completed through a newly formed joint venture, in which we own a 90% interest. The purchase price includes new and assumed of mortgage debt totaling approximately $98.0 million. This property includes 123 residential units in addition to the GLA in the table above.</w:t>
      </w:r>
    </w:p>
    <w:p>
      <w:pPr>
        <w:ind w:left="260" w:right="180" w:hanging="252"/>
        <w:spacing w:after="0" w:line="274" w:lineRule="auto"/>
        <w:tabs>
          <w:tab w:leader="none" w:pos="2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acquisition was funded by 163,322 downREIT operating partnership units. This property is adjacent to, and will be operated as, part of our Fairfax Junction property.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Significant Dispositions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80" w:type="dxa"/>
            <w:vAlign w:val="bottom"/>
          </w:tcPr>
          <w:p>
            <w:pPr>
              <w:ind w:left="40"/>
              <w:spacing w:after="0"/>
              <w:rPr>
                <w:sz w:val="20"/>
                <w:szCs w:val="20"/>
                <w:color w:val="auto"/>
              </w:rPr>
            </w:pPr>
            <w:r>
              <w:rPr>
                <w:rFonts w:ascii="Arial" w:cs="Arial" w:eastAsia="Arial" w:hAnsi="Arial"/>
                <w:sz w:val="16"/>
                <w:szCs w:val="16"/>
                <w:b w:val="1"/>
                <w:bCs w:val="1"/>
                <w:color w:val="auto"/>
              </w:rPr>
              <w:t>Date</w:t>
            </w:r>
          </w:p>
        </w:tc>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Property</w:t>
            </w:r>
          </w:p>
        </w:tc>
        <w:tc>
          <w:tcPr>
            <w:tcW w:w="2820" w:type="dxa"/>
            <w:vAlign w:val="bottom"/>
          </w:tcPr>
          <w:p>
            <w:pPr>
              <w:ind w:left="480"/>
              <w:spacing w:after="0"/>
              <w:rPr>
                <w:sz w:val="20"/>
                <w:szCs w:val="20"/>
                <w:color w:val="auto"/>
              </w:rPr>
            </w:pPr>
            <w:r>
              <w:rPr>
                <w:rFonts w:ascii="Arial" w:cs="Arial" w:eastAsia="Arial" w:hAnsi="Arial"/>
                <w:sz w:val="16"/>
                <w:szCs w:val="16"/>
                <w:b w:val="1"/>
                <w:bCs w:val="1"/>
                <w:color w:val="auto"/>
              </w:rPr>
              <w:t>City/State</w:t>
            </w:r>
          </w:p>
        </w:tc>
        <w:tc>
          <w:tcPr>
            <w:tcW w:w="840" w:type="dxa"/>
            <w:vAlign w:val="bottom"/>
          </w:tcPr>
          <w:p>
            <w:pPr>
              <w:spacing w:after="0"/>
              <w:rPr>
                <w:sz w:val="17"/>
                <w:szCs w:val="17"/>
                <w:color w:val="auto"/>
              </w:rPr>
            </w:pPr>
          </w:p>
        </w:tc>
        <w:tc>
          <w:tcPr>
            <w:tcW w:w="1200" w:type="dxa"/>
            <w:vAlign w:val="bottom"/>
          </w:tcPr>
          <w:p>
            <w:pPr>
              <w:jc w:val="right"/>
              <w:ind w:right="263"/>
              <w:spacing w:after="0"/>
              <w:rPr>
                <w:sz w:val="20"/>
                <w:szCs w:val="20"/>
                <w:color w:val="auto"/>
              </w:rPr>
            </w:pPr>
            <w:r>
              <w:rPr>
                <w:rFonts w:ascii="Arial" w:cs="Arial" w:eastAsia="Arial" w:hAnsi="Arial"/>
                <w:sz w:val="16"/>
                <w:szCs w:val="16"/>
                <w:b w:val="1"/>
                <w:bCs w:val="1"/>
                <w:color w:val="auto"/>
                <w:w w:val="98"/>
              </w:rPr>
              <w:t>Sales Price</w:t>
            </w:r>
          </w:p>
        </w:tc>
        <w:tc>
          <w:tcPr>
            <w:tcW w:w="1860" w:type="dxa"/>
            <w:vAlign w:val="bottom"/>
          </w:tcPr>
          <w:p>
            <w:pPr>
              <w:spacing w:after="0"/>
              <w:rPr>
                <w:sz w:val="17"/>
                <w:szCs w:val="17"/>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58"/>
        </w:trPr>
        <w:tc>
          <w:tcPr>
            <w:tcW w:w="21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tcPr>
          <w:p>
            <w:pPr>
              <w:jc w:val="right"/>
              <w:ind w:right="263"/>
              <w:spacing w:after="0"/>
              <w:rPr>
                <w:sz w:val="20"/>
                <w:szCs w:val="20"/>
                <w:color w:val="auto"/>
              </w:rPr>
            </w:pPr>
            <w:r>
              <w:rPr>
                <w:rFonts w:ascii="Arial" w:cs="Arial" w:eastAsia="Arial" w:hAnsi="Arial"/>
                <w:sz w:val="14"/>
                <w:szCs w:val="14"/>
                <w:b w:val="1"/>
                <w:bCs w:val="1"/>
                <w:color w:val="auto"/>
              </w:rPr>
              <w:t>(in millions)</w:t>
            </w:r>
          </w:p>
        </w:tc>
        <w:tc>
          <w:tcPr>
            <w:tcW w:w="1860" w:type="dxa"/>
            <w:vAlign w:val="bottom"/>
          </w:tcPr>
          <w:p>
            <w:pPr>
              <w:spacing w:after="0"/>
              <w:rPr>
                <w:sz w:val="22"/>
                <w:szCs w:val="22"/>
                <w:color w:val="auto"/>
              </w:rPr>
            </w:pPr>
          </w:p>
        </w:tc>
      </w:tr>
      <w:tr>
        <w:trPr>
          <w:trHeight w:val="256"/>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28, 2019</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State Shopping Center</w:t>
            </w:r>
          </w:p>
        </w:tc>
        <w:tc>
          <w:tcPr>
            <w:tcW w:w="2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Bowie, Maryland</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72.0</w:t>
            </w:r>
          </w:p>
        </w:tc>
        <w:tc>
          <w:tcPr>
            <w:tcW w:w="1860" w:type="dxa"/>
            <w:vAlign w:val="bottom"/>
            <w:tcBorders>
              <w:bottom w:val="single" w:sz="8" w:color="CCEEFF"/>
            </w:tcBorders>
            <w:shd w:val="clear" w:color="auto" w:fill="CCEEFF"/>
          </w:tcPr>
          <w:p>
            <w:pPr>
              <w:spacing w:after="0"/>
              <w:rPr>
                <w:sz w:val="22"/>
                <w:szCs w:val="22"/>
                <w:color w:val="auto"/>
              </w:rPr>
            </w:pPr>
          </w:p>
        </w:tc>
      </w:tr>
      <w:tr>
        <w:trPr>
          <w:trHeight w:val="249"/>
        </w:trPr>
        <w:tc>
          <w:tcPr>
            <w:tcW w:w="2180" w:type="dxa"/>
            <w:vAlign w:val="bottom"/>
          </w:tcPr>
          <w:p>
            <w:pPr>
              <w:ind w:left="40"/>
              <w:spacing w:after="0"/>
              <w:rPr>
                <w:sz w:val="20"/>
                <w:szCs w:val="20"/>
                <w:color w:val="auto"/>
              </w:rPr>
            </w:pPr>
            <w:r>
              <w:rPr>
                <w:rFonts w:ascii="Arial" w:cs="Arial" w:eastAsia="Arial" w:hAnsi="Arial"/>
                <w:sz w:val="16"/>
                <w:szCs w:val="16"/>
                <w:color w:val="auto"/>
              </w:rPr>
              <w:t>May 29, 2019</w:t>
            </w:r>
          </w:p>
        </w:tc>
        <w:tc>
          <w:tcPr>
            <w:tcW w:w="2520" w:type="dxa"/>
            <w:vAlign w:val="bottom"/>
          </w:tcPr>
          <w:p>
            <w:pPr>
              <w:ind w:left="20"/>
              <w:spacing w:after="0"/>
              <w:rPr>
                <w:sz w:val="20"/>
                <w:szCs w:val="20"/>
                <w:color w:val="auto"/>
              </w:rPr>
            </w:pPr>
            <w:r>
              <w:rPr>
                <w:rFonts w:ascii="Arial" w:cs="Arial" w:eastAsia="Arial" w:hAnsi="Arial"/>
                <w:sz w:val="16"/>
                <w:szCs w:val="16"/>
                <w:color w:val="auto"/>
              </w:rPr>
              <w:t>Northeast (Parcel)</w:t>
            </w:r>
          </w:p>
        </w:tc>
        <w:tc>
          <w:tcPr>
            <w:tcW w:w="2820" w:type="dxa"/>
            <w:vAlign w:val="bottom"/>
          </w:tcPr>
          <w:p>
            <w:pPr>
              <w:ind w:left="480"/>
              <w:spacing w:after="0"/>
              <w:rPr>
                <w:sz w:val="20"/>
                <w:szCs w:val="20"/>
                <w:color w:val="auto"/>
              </w:rPr>
            </w:pPr>
            <w:r>
              <w:rPr>
                <w:rFonts w:ascii="Arial" w:cs="Arial" w:eastAsia="Arial" w:hAnsi="Arial"/>
                <w:sz w:val="16"/>
                <w:szCs w:val="16"/>
                <w:color w:val="auto"/>
              </w:rPr>
              <w:t>Philadelphia, Pennsylvania</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7.7</w:t>
            </w:r>
          </w:p>
        </w:tc>
        <w:tc>
          <w:tcPr>
            <w:tcW w:w="1860" w:type="dxa"/>
            <w:vAlign w:val="bottom"/>
          </w:tcPr>
          <w:p>
            <w:pPr>
              <w:spacing w:after="0"/>
              <w:rPr>
                <w:sz w:val="21"/>
                <w:szCs w:val="21"/>
                <w:color w:val="auto"/>
              </w:rPr>
            </w:pPr>
          </w:p>
        </w:tc>
      </w:tr>
      <w:tr>
        <w:trPr>
          <w:trHeight w:val="22"/>
        </w:trPr>
        <w:tc>
          <w:tcPr>
            <w:tcW w:w="2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5, 2019</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Hermosa Avenue</w:t>
            </w:r>
          </w:p>
        </w:tc>
        <w:tc>
          <w:tcPr>
            <w:tcW w:w="2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Hermosa Beach, California</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18.0</w:t>
            </w:r>
          </w:p>
        </w:tc>
        <w:tc>
          <w:tcPr>
            <w:tcW w:w="1860" w:type="dxa"/>
            <w:vAlign w:val="bottom"/>
            <w:tcBorders>
              <w:bottom w:val="single" w:sz="8" w:color="CCEEFF"/>
            </w:tcBorders>
            <w:shd w:val="clear" w:color="auto" w:fill="CCEEFF"/>
          </w:tcPr>
          <w:p>
            <w:pPr>
              <w:spacing w:after="0"/>
              <w:rPr>
                <w:sz w:val="21"/>
                <w:szCs w:val="21"/>
                <w:color w:val="auto"/>
              </w:rPr>
            </w:pPr>
          </w:p>
        </w:tc>
      </w:tr>
      <w:tr>
        <w:trPr>
          <w:trHeight w:val="249"/>
        </w:trPr>
        <w:tc>
          <w:tcPr>
            <w:tcW w:w="2180" w:type="dxa"/>
            <w:vAlign w:val="bottom"/>
          </w:tcPr>
          <w:p>
            <w:pPr>
              <w:ind w:left="40"/>
              <w:spacing w:after="0"/>
              <w:rPr>
                <w:sz w:val="20"/>
                <w:szCs w:val="20"/>
                <w:color w:val="auto"/>
              </w:rPr>
            </w:pPr>
            <w:r>
              <w:rPr>
                <w:rFonts w:ascii="Arial" w:cs="Arial" w:eastAsia="Arial" w:hAnsi="Arial"/>
                <w:sz w:val="16"/>
                <w:szCs w:val="16"/>
                <w:color w:val="auto"/>
              </w:rPr>
              <w:t>October 11, 2019</w:t>
            </w:r>
          </w:p>
        </w:tc>
        <w:tc>
          <w:tcPr>
            <w:tcW w:w="2520" w:type="dxa"/>
            <w:vAlign w:val="bottom"/>
          </w:tcPr>
          <w:p>
            <w:pPr>
              <w:ind w:left="20"/>
              <w:spacing w:after="0"/>
              <w:rPr>
                <w:sz w:val="20"/>
                <w:szCs w:val="20"/>
                <w:color w:val="auto"/>
              </w:rPr>
            </w:pPr>
            <w:r>
              <w:rPr>
                <w:rFonts w:ascii="Arial" w:cs="Arial" w:eastAsia="Arial" w:hAnsi="Arial"/>
                <w:sz w:val="16"/>
                <w:szCs w:val="16"/>
                <w:color w:val="auto"/>
              </w:rPr>
              <w:t>Plaza Pacoima</w:t>
            </w:r>
          </w:p>
        </w:tc>
        <w:tc>
          <w:tcPr>
            <w:tcW w:w="2820" w:type="dxa"/>
            <w:vAlign w:val="bottom"/>
          </w:tcPr>
          <w:p>
            <w:pPr>
              <w:ind w:left="480"/>
              <w:spacing w:after="0"/>
              <w:rPr>
                <w:sz w:val="20"/>
                <w:szCs w:val="20"/>
                <w:color w:val="auto"/>
              </w:rPr>
            </w:pPr>
            <w:r>
              <w:rPr>
                <w:rFonts w:ascii="Arial" w:cs="Arial" w:eastAsia="Arial" w:hAnsi="Arial"/>
                <w:sz w:val="16"/>
                <w:szCs w:val="16"/>
                <w:color w:val="auto"/>
              </w:rPr>
              <w:t>Pacoima, California</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51.3</w:t>
            </w:r>
          </w:p>
        </w:tc>
        <w:tc>
          <w:tcPr>
            <w:tcW w:w="1860" w:type="dxa"/>
            <w:vAlign w:val="bottom"/>
          </w:tcPr>
          <w:p>
            <w:pPr>
              <w:spacing w:after="0"/>
              <w:rPr>
                <w:sz w:val="21"/>
                <w:szCs w:val="21"/>
                <w:color w:val="auto"/>
              </w:rPr>
            </w:pPr>
          </w:p>
        </w:tc>
      </w:tr>
      <w:tr>
        <w:trPr>
          <w:trHeight w:val="22"/>
        </w:trPr>
        <w:tc>
          <w:tcPr>
            <w:tcW w:w="2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11, 2019</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San Antonio Center (11.7 acres)</w:t>
            </w:r>
          </w:p>
        </w:tc>
        <w:tc>
          <w:tcPr>
            <w:tcW w:w="2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Mountain View, California</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155.0</w:t>
            </w:r>
          </w:p>
        </w:tc>
        <w:tc>
          <w:tcPr>
            <w:tcW w:w="1860" w:type="dxa"/>
            <w:vAlign w:val="bottom"/>
            <w:tcBorders>
              <w:bottom w:val="single" w:sz="8" w:color="CCEEFF"/>
            </w:tcBorders>
            <w:shd w:val="clear" w:color="auto" w:fill="CCEEFF"/>
          </w:tcPr>
          <w:p>
            <w:pPr>
              <w:jc w:val="right"/>
              <w:ind w:right="1541"/>
              <w:spacing w:after="0"/>
              <w:rPr>
                <w:sz w:val="20"/>
                <w:szCs w:val="20"/>
                <w:color w:val="auto"/>
              </w:rPr>
            </w:pPr>
            <w:r>
              <w:rPr>
                <w:rFonts w:ascii="Arial" w:cs="Arial" w:eastAsia="Arial" w:hAnsi="Arial"/>
                <w:sz w:val="16"/>
                <w:szCs w:val="16"/>
                <w:color w:val="auto"/>
              </w:rPr>
              <w:t>(1)</w:t>
            </w:r>
          </w:p>
        </w:tc>
      </w:tr>
      <w:tr>
        <w:trPr>
          <w:trHeight w:val="20"/>
        </w:trPr>
        <w:tc>
          <w:tcPr>
            <w:tcW w:w="21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(1) Disposition was made in lieu of a threatened condemnation.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2019 Other Transactions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40"/>
              <w:spacing w:after="0"/>
              <w:rPr>
                <w:sz w:val="20"/>
                <w:szCs w:val="20"/>
                <w:color w:val="auto"/>
              </w:rPr>
            </w:pPr>
            <w:r>
              <w:rPr>
                <w:rFonts w:ascii="Arial" w:cs="Arial" w:eastAsia="Arial" w:hAnsi="Arial"/>
                <w:sz w:val="16"/>
                <w:szCs w:val="16"/>
                <w:b w:val="1"/>
                <w:bCs w:val="1"/>
                <w:color w:val="auto"/>
              </w:rPr>
              <w:t>Date</w:t>
            </w:r>
          </w:p>
        </w:tc>
        <w:tc>
          <w:tcPr>
            <w:tcW w:w="1740" w:type="dxa"/>
            <w:vAlign w:val="bottom"/>
          </w:tcPr>
          <w:p>
            <w:pPr>
              <w:ind w:left="440"/>
              <w:spacing w:after="0"/>
              <w:rPr>
                <w:sz w:val="20"/>
                <w:szCs w:val="20"/>
                <w:color w:val="auto"/>
              </w:rPr>
            </w:pPr>
            <w:r>
              <w:rPr>
                <w:rFonts w:ascii="Arial" w:cs="Arial" w:eastAsia="Arial" w:hAnsi="Arial"/>
                <w:sz w:val="16"/>
                <w:szCs w:val="16"/>
                <w:b w:val="1"/>
                <w:bCs w:val="1"/>
                <w:color w:val="auto"/>
              </w:rPr>
              <w:t>Type</w:t>
            </w:r>
          </w:p>
        </w:tc>
        <w:tc>
          <w:tcPr>
            <w:tcW w:w="2580" w:type="dxa"/>
            <w:vAlign w:val="bottom"/>
          </w:tcPr>
          <w:p>
            <w:pPr>
              <w:ind w:left="300"/>
              <w:spacing w:after="0"/>
              <w:rPr>
                <w:sz w:val="20"/>
                <w:szCs w:val="20"/>
                <w:color w:val="auto"/>
              </w:rPr>
            </w:pPr>
            <w:r>
              <w:rPr>
                <w:rFonts w:ascii="Arial" w:cs="Arial" w:eastAsia="Arial" w:hAnsi="Arial"/>
                <w:sz w:val="16"/>
                <w:szCs w:val="16"/>
                <w:b w:val="1"/>
                <w:bCs w:val="1"/>
                <w:color w:val="auto"/>
              </w:rPr>
              <w:t>Property</w:t>
            </w:r>
          </w:p>
        </w:tc>
        <w:tc>
          <w:tcPr>
            <w:tcW w:w="2460" w:type="dxa"/>
            <w:vAlign w:val="bottom"/>
          </w:tcPr>
          <w:p>
            <w:pPr>
              <w:ind w:left="360"/>
              <w:spacing w:after="0"/>
              <w:rPr>
                <w:sz w:val="20"/>
                <w:szCs w:val="20"/>
                <w:color w:val="auto"/>
              </w:rPr>
            </w:pPr>
            <w:r>
              <w:rPr>
                <w:rFonts w:ascii="Arial" w:cs="Arial" w:eastAsia="Arial" w:hAnsi="Arial"/>
                <w:sz w:val="16"/>
                <w:szCs w:val="16"/>
                <w:b w:val="1"/>
                <w:bCs w:val="1"/>
                <w:color w:val="auto"/>
              </w:rPr>
              <w:t>City/State</w:t>
            </w:r>
          </w:p>
        </w:tc>
        <w:tc>
          <w:tcPr>
            <w:tcW w:w="420" w:type="dxa"/>
            <w:vAlign w:val="bottom"/>
          </w:tcPr>
          <w:p>
            <w:pPr>
              <w:spacing w:after="0"/>
              <w:rPr>
                <w:sz w:val="17"/>
                <w:szCs w:val="17"/>
                <w:color w:val="auto"/>
              </w:rPr>
            </w:pPr>
          </w:p>
        </w:tc>
        <w:tc>
          <w:tcPr>
            <w:tcW w:w="2680" w:type="dxa"/>
            <w:vAlign w:val="bottom"/>
          </w:tcPr>
          <w:p>
            <w:pPr>
              <w:jc w:val="right"/>
              <w:ind w:right="1564"/>
              <w:spacing w:after="0"/>
              <w:rPr>
                <w:sz w:val="20"/>
                <w:szCs w:val="20"/>
                <w:color w:val="auto"/>
              </w:rPr>
            </w:pPr>
            <w:r>
              <w:rPr>
                <w:rFonts w:ascii="Arial" w:cs="Arial" w:eastAsia="Arial" w:hAnsi="Arial"/>
                <w:sz w:val="16"/>
                <w:szCs w:val="16"/>
                <w:b w:val="1"/>
                <w:bCs w:val="1"/>
                <w:color w:val="auto"/>
                <w:w w:val="88"/>
              </w:rPr>
              <w:t>Purchase Price</w:t>
            </w:r>
          </w:p>
        </w:tc>
      </w:tr>
      <w:tr>
        <w:trPr>
          <w:trHeight w:val="22"/>
        </w:trPr>
        <w:tc>
          <w:tcPr>
            <w:tcW w:w="1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258"/>
        </w:trPr>
        <w:tc>
          <w:tcPr>
            <w:tcW w:w="15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80" w:type="dxa"/>
            <w:vAlign w:val="bottom"/>
          </w:tcPr>
          <w:p>
            <w:pPr>
              <w:jc w:val="right"/>
              <w:ind w:right="170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2, 2019</w:t>
            </w:r>
          </w:p>
        </w:tc>
        <w:tc>
          <w:tcPr>
            <w:tcW w:w="1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Partner Buyout</w:t>
            </w:r>
          </w:p>
        </w:tc>
        <w:tc>
          <w:tcPr>
            <w:tcW w:w="2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Montrose Crossing</w:t>
            </w:r>
          </w:p>
        </w:tc>
        <w:tc>
          <w:tcPr>
            <w:tcW w:w="2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Rockville, Maryland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CCEEFF"/>
            </w:tcBorders>
            <w:shd w:val="clear" w:color="auto" w:fill="CCEEFF"/>
          </w:tcPr>
          <w:p>
            <w:pPr>
              <w:jc w:val="right"/>
              <w:ind w:right="1504"/>
              <w:spacing w:after="0"/>
              <w:rPr>
                <w:sz w:val="20"/>
                <w:szCs w:val="20"/>
                <w:color w:val="auto"/>
              </w:rPr>
            </w:pPr>
            <w:r>
              <w:rPr>
                <w:rFonts w:ascii="Arial" w:cs="Arial" w:eastAsia="Arial" w:hAnsi="Arial"/>
                <w:sz w:val="16"/>
                <w:szCs w:val="16"/>
                <w:color w:val="auto"/>
              </w:rPr>
              <w:t>10.0</w:t>
            </w:r>
          </w:p>
        </w:tc>
      </w:tr>
      <w:tr>
        <w:trPr>
          <w:trHeight w:val="249"/>
        </w:trPr>
        <w:tc>
          <w:tcPr>
            <w:tcW w:w="1540" w:type="dxa"/>
            <w:vAlign w:val="bottom"/>
          </w:tcPr>
          <w:p>
            <w:pPr>
              <w:ind w:left="40"/>
              <w:spacing w:after="0"/>
              <w:rPr>
                <w:sz w:val="20"/>
                <w:szCs w:val="20"/>
                <w:color w:val="auto"/>
              </w:rPr>
            </w:pPr>
            <w:r>
              <w:rPr>
                <w:rFonts w:ascii="Arial" w:cs="Arial" w:eastAsia="Arial" w:hAnsi="Arial"/>
                <w:sz w:val="16"/>
                <w:szCs w:val="16"/>
                <w:color w:val="auto"/>
              </w:rPr>
              <w:t>August 12, 2019</w:t>
            </w:r>
          </w:p>
        </w:tc>
        <w:tc>
          <w:tcPr>
            <w:tcW w:w="1740" w:type="dxa"/>
            <w:vAlign w:val="bottom"/>
          </w:tcPr>
          <w:p>
            <w:pPr>
              <w:ind w:left="440"/>
              <w:spacing w:after="0"/>
              <w:rPr>
                <w:sz w:val="20"/>
                <w:szCs w:val="20"/>
                <w:color w:val="auto"/>
              </w:rPr>
            </w:pPr>
            <w:r>
              <w:rPr>
                <w:rFonts w:ascii="Arial" w:cs="Arial" w:eastAsia="Arial" w:hAnsi="Arial"/>
                <w:sz w:val="16"/>
                <w:szCs w:val="16"/>
                <w:color w:val="auto"/>
              </w:rPr>
              <w:t>Lease Purchase</w:t>
            </w:r>
          </w:p>
        </w:tc>
        <w:tc>
          <w:tcPr>
            <w:tcW w:w="2580" w:type="dxa"/>
            <w:vAlign w:val="bottom"/>
          </w:tcPr>
          <w:p>
            <w:pPr>
              <w:ind w:left="300"/>
              <w:spacing w:after="0"/>
              <w:rPr>
                <w:sz w:val="20"/>
                <w:szCs w:val="20"/>
                <w:color w:val="auto"/>
              </w:rPr>
            </w:pPr>
            <w:r>
              <w:rPr>
                <w:rFonts w:ascii="Arial" w:cs="Arial" w:eastAsia="Arial" w:hAnsi="Arial"/>
                <w:sz w:val="16"/>
                <w:szCs w:val="16"/>
                <w:color w:val="auto"/>
              </w:rPr>
              <w:t>Assembly Square Marketplace</w:t>
            </w:r>
          </w:p>
        </w:tc>
        <w:tc>
          <w:tcPr>
            <w:tcW w:w="2460" w:type="dxa"/>
            <w:vAlign w:val="bottom"/>
          </w:tcPr>
          <w:p>
            <w:pPr>
              <w:ind w:left="360"/>
              <w:spacing w:after="0"/>
              <w:rPr>
                <w:sz w:val="20"/>
                <w:szCs w:val="20"/>
                <w:color w:val="auto"/>
              </w:rPr>
            </w:pPr>
            <w:r>
              <w:rPr>
                <w:rFonts w:ascii="Arial" w:cs="Arial" w:eastAsia="Arial" w:hAnsi="Arial"/>
                <w:sz w:val="16"/>
                <w:szCs w:val="16"/>
                <w:color w:val="auto"/>
              </w:rPr>
              <w:t>Sommerville, Massachusetts</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80" w:type="dxa"/>
            <w:vAlign w:val="bottom"/>
          </w:tcPr>
          <w:p>
            <w:pPr>
              <w:jc w:val="right"/>
              <w:ind w:right="1504"/>
              <w:spacing w:after="0"/>
              <w:rPr>
                <w:sz w:val="20"/>
                <w:szCs w:val="20"/>
                <w:color w:val="auto"/>
              </w:rPr>
            </w:pPr>
            <w:r>
              <w:rPr>
                <w:rFonts w:ascii="Arial" w:cs="Arial" w:eastAsia="Arial" w:hAnsi="Arial"/>
                <w:sz w:val="16"/>
                <w:szCs w:val="16"/>
                <w:color w:val="auto"/>
              </w:rPr>
              <w:t>14.5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15" w:right="239" w:bottom="1440" w:gutter="0" w:footer="0" w:header="0"/>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680" w:type="dxa"/>
            <w:vAlign w:val="bottom"/>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3"/>
                <w:szCs w:val="13"/>
                <w:b w:val="1"/>
                <w:bCs w:val="1"/>
                <w:color w:val="auto"/>
                <w:w w:val="92"/>
              </w:rPr>
              <w:t>Grocery</w:t>
            </w:r>
          </w:p>
        </w:tc>
        <w:tc>
          <w:tcPr>
            <w:tcW w:w="76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 PSF</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4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Grocery</w:t>
            </w:r>
          </w:p>
        </w:tc>
        <w:tc>
          <w:tcPr>
            <w:tcW w:w="1980" w:type="dxa"/>
            <w:vAlign w:val="bottom"/>
          </w:tcPr>
          <w:p>
            <w:pPr>
              <w:spacing w:after="0"/>
              <w:rPr>
                <w:sz w:val="11"/>
                <w:szCs w:val="11"/>
                <w:color w:val="auto"/>
              </w:rPr>
            </w:pPr>
          </w:p>
        </w:tc>
      </w:tr>
      <w:tr>
        <w:trPr>
          <w:trHeight w:val="174"/>
        </w:trPr>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Property Name</w:t>
            </w: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MSA Description</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Acreage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(3)</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(3)</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(4)</w:t>
            </w: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8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1"/>
        </w:trPr>
        <w:tc>
          <w:tcPr>
            <w:tcW w:w="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91"/>
              </w:rPr>
              <w:t>Washington Metropolitan Area</w:t>
            </w:r>
          </w:p>
        </w:tc>
        <w:tc>
          <w:tcPr>
            <w:tcW w:w="13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r>
      <w:tr>
        <w:trPr>
          <w:trHeight w:val="148"/>
        </w:trPr>
        <w:tc>
          <w:tcPr>
            <w:tcW w:w="1400" w:type="dxa"/>
            <w:vAlign w:val="bottom"/>
            <w:tcBorders>
              <w:top w:val="single" w:sz="8" w:color="CCEEFF"/>
            </w:tcBorders>
            <w:gridSpan w:val="2"/>
          </w:tcPr>
          <w:p>
            <w:pPr>
              <w:ind w:left="40"/>
              <w:spacing w:after="0" w:line="148" w:lineRule="exact"/>
              <w:rPr>
                <w:sz w:val="20"/>
                <w:szCs w:val="20"/>
                <w:color w:val="auto"/>
              </w:rPr>
            </w:pPr>
            <w:r>
              <w:rPr>
                <w:rFonts w:ascii="Arial" w:cs="Arial" w:eastAsia="Arial" w:hAnsi="Arial"/>
                <w:sz w:val="13"/>
                <w:szCs w:val="13"/>
                <w:color w:val="auto"/>
              </w:rPr>
              <w:t>Barcroft Plaza</w:t>
            </w:r>
          </w:p>
        </w:tc>
        <w:tc>
          <w:tcPr>
            <w:tcW w:w="3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line="148" w:lineRule="exact"/>
              <w:rPr>
                <w:sz w:val="20"/>
                <w:szCs w:val="20"/>
                <w:color w:val="auto"/>
              </w:rPr>
            </w:pPr>
            <w:r>
              <w:rPr>
                <w:rFonts w:ascii="Arial" w:cs="Arial" w:eastAsia="Arial" w:hAnsi="Arial"/>
                <w:sz w:val="13"/>
                <w:szCs w:val="13"/>
                <w:color w:val="auto"/>
              </w:rPr>
              <w:t>Washington-Arlington-</w:t>
            </w:r>
          </w:p>
        </w:tc>
        <w:tc>
          <w:tcPr>
            <w:tcW w:w="560" w:type="dxa"/>
            <w:vAlign w:val="bottom"/>
            <w:tcBorders>
              <w:top w:val="single" w:sz="8" w:color="CCEEFF"/>
            </w:tcBorders>
          </w:tcPr>
          <w:p>
            <w:pPr>
              <w:jc w:val="right"/>
              <w:ind w:right="38"/>
              <w:spacing w:after="0" w:line="148" w:lineRule="exact"/>
              <w:rPr>
                <w:sz w:val="20"/>
                <w:szCs w:val="20"/>
                <w:color w:val="auto"/>
              </w:rPr>
            </w:pPr>
            <w:r>
              <w:rPr>
                <w:rFonts w:ascii="Arial" w:cs="Arial" w:eastAsia="Arial" w:hAnsi="Arial"/>
                <w:sz w:val="13"/>
                <w:szCs w:val="13"/>
                <w:color w:val="auto"/>
                <w:w w:val="86"/>
              </w:rPr>
              <w:t>$ 48,735</w:t>
            </w:r>
          </w:p>
        </w:tc>
        <w:tc>
          <w:tcPr>
            <w:tcW w:w="10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560" w:type="dxa"/>
            <w:vAlign w:val="bottom"/>
            <w:tcBorders>
              <w:top w:val="single" w:sz="8" w:color="CCEEFF"/>
            </w:tcBorders>
          </w:tcPr>
          <w:p>
            <w:pPr>
              <w:jc w:val="right"/>
              <w:ind w:right="37"/>
              <w:spacing w:after="0" w:line="148" w:lineRule="exact"/>
              <w:rPr>
                <w:sz w:val="20"/>
                <w:szCs w:val="20"/>
                <w:color w:val="auto"/>
              </w:rPr>
            </w:pPr>
            <w:r>
              <w:rPr>
                <w:rFonts w:ascii="Arial" w:cs="Arial" w:eastAsia="Arial" w:hAnsi="Arial"/>
                <w:sz w:val="13"/>
                <w:szCs w:val="13"/>
                <w:color w:val="auto"/>
                <w:w w:val="93"/>
              </w:rPr>
              <w:t>114,000</w:t>
            </w:r>
          </w:p>
        </w:tc>
        <w:tc>
          <w:tcPr>
            <w:tcW w:w="48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Borders>
              <w:top w:val="single" w:sz="8" w:color="CCEEFF"/>
            </w:tcBorders>
          </w:tcPr>
          <w:p>
            <w:pPr>
              <w:jc w:val="right"/>
              <w:ind w:right="57"/>
              <w:spacing w:after="0" w:line="148" w:lineRule="exact"/>
              <w:rPr>
                <w:sz w:val="20"/>
                <w:szCs w:val="20"/>
                <w:color w:val="auto"/>
              </w:rPr>
            </w:pPr>
            <w:r>
              <w:rPr>
                <w:rFonts w:ascii="Arial" w:cs="Arial" w:eastAsia="Arial" w:hAnsi="Arial"/>
                <w:sz w:val="13"/>
                <w:szCs w:val="13"/>
                <w:color w:val="auto"/>
              </w:rPr>
              <w:t>$26.51</w:t>
            </w:r>
          </w:p>
        </w:tc>
        <w:tc>
          <w:tcPr>
            <w:tcW w:w="68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ind w:left="60"/>
              <w:spacing w:after="0" w:line="148" w:lineRule="exact"/>
              <w:rPr>
                <w:sz w:val="20"/>
                <w:szCs w:val="20"/>
                <w:color w:val="auto"/>
              </w:rPr>
            </w:pPr>
            <w:r>
              <w:rPr>
                <w:rFonts w:ascii="Arial" w:cs="Arial" w:eastAsia="Arial" w:hAnsi="Arial"/>
                <w:sz w:val="13"/>
                <w:szCs w:val="13"/>
                <w:color w:val="auto"/>
              </w:rPr>
              <w:t>46,000</w:t>
            </w:r>
          </w:p>
        </w:tc>
        <w:tc>
          <w:tcPr>
            <w:tcW w:w="760" w:type="dxa"/>
            <w:vAlign w:val="bottom"/>
            <w:tcBorders>
              <w:top w:val="single" w:sz="8" w:color="CCEEFF"/>
            </w:tcBorders>
          </w:tcPr>
          <w:p>
            <w:pPr>
              <w:ind w:left="20"/>
              <w:spacing w:after="0" w:line="148" w:lineRule="exact"/>
              <w:rPr>
                <w:sz w:val="20"/>
                <w:szCs w:val="20"/>
                <w:color w:val="auto"/>
              </w:rPr>
            </w:pPr>
            <w:r>
              <w:rPr>
                <w:rFonts w:ascii="Arial" w:cs="Arial" w:eastAsia="Arial" w:hAnsi="Arial"/>
                <w:sz w:val="13"/>
                <w:szCs w:val="13"/>
                <w:color w:val="auto"/>
                <w:w w:val="94"/>
              </w:rPr>
              <w:t>Harris Teeter</w:t>
            </w:r>
          </w:p>
        </w:tc>
        <w:tc>
          <w:tcPr>
            <w:tcW w:w="1980" w:type="dxa"/>
            <w:vAlign w:val="bottom"/>
            <w:tcBorders>
              <w:top w:val="single" w:sz="8" w:color="CCEEFF"/>
            </w:tcBorders>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Bethesda Row</w:t>
            </w:r>
          </w:p>
        </w:tc>
        <w:tc>
          <w:tcPr>
            <w:tcW w:w="3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Washington-Arlington-    233,625</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536,000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53.39</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w:t>
            </w: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40,000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Apple / Equinox / Anthropologie /</w:t>
            </w:r>
          </w:p>
        </w:tc>
      </w:tr>
      <w:tr>
        <w:trPr>
          <w:trHeight w:val="135"/>
        </w:trPr>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Multiple Restaurants</w:t>
            </w: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Congressional Plaza</w:t>
            </w:r>
          </w:p>
        </w:tc>
        <w:tc>
          <w:tcPr>
            <w:tcW w:w="380" w:type="dxa"/>
            <w:vAlign w:val="bottom"/>
          </w:tcPr>
          <w:p>
            <w:pPr>
              <w:jc w:val="right"/>
              <w:ind w:right="97"/>
              <w:spacing w:after="0" w:line="148" w:lineRule="exact"/>
              <w:rPr>
                <w:sz w:val="20"/>
                <w:szCs w:val="20"/>
                <w:color w:val="auto"/>
              </w:rPr>
            </w:pPr>
            <w:r>
              <w:rPr>
                <w:rFonts w:ascii="Arial" w:cs="Arial" w:eastAsia="Arial" w:hAnsi="Arial"/>
                <w:sz w:val="13"/>
                <w:szCs w:val="13"/>
                <w:color w:val="auto"/>
              </w:rPr>
              <w:t>(5)</w:t>
            </w:r>
          </w:p>
        </w:tc>
        <w:tc>
          <w:tcPr>
            <w:tcW w:w="1880" w:type="dxa"/>
            <w:vAlign w:val="bottom"/>
            <w:gridSpan w:val="2"/>
          </w:tcPr>
          <w:p>
            <w:pPr>
              <w:spacing w:after="0" w:line="148" w:lineRule="exact"/>
              <w:rPr>
                <w:sz w:val="20"/>
                <w:szCs w:val="20"/>
                <w:color w:val="auto"/>
              </w:rPr>
            </w:pPr>
            <w:r>
              <w:rPr>
                <w:rFonts w:ascii="Arial" w:cs="Arial" w:eastAsia="Arial" w:hAnsi="Arial"/>
                <w:sz w:val="13"/>
                <w:szCs w:val="13"/>
                <w:color w:val="auto"/>
                <w:w w:val="97"/>
              </w:rPr>
              <w:t>Washington-Arlington-    105,281</w:t>
            </w:r>
          </w:p>
        </w:tc>
        <w:tc>
          <w:tcPr>
            <w:tcW w:w="1080" w:type="dxa"/>
            <w:vAlign w:val="bottom"/>
          </w:tcPr>
          <w:p>
            <w:pPr>
              <w:spacing w:after="0"/>
              <w:rPr>
                <w:sz w:val="12"/>
                <w:szCs w:val="12"/>
                <w:color w:val="auto"/>
              </w:rPr>
            </w:pP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324,000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38.51</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194</w:t>
            </w: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The Fresh</w:t>
            </w:r>
          </w:p>
        </w:tc>
        <w:tc>
          <w:tcPr>
            <w:tcW w:w="1980" w:type="dxa"/>
            <w:vAlign w:val="bottom"/>
          </w:tcPr>
          <w:p>
            <w:pPr>
              <w:ind w:left="40"/>
              <w:spacing w:after="0" w:line="148" w:lineRule="exact"/>
              <w:rPr>
                <w:sz w:val="20"/>
                <w:szCs w:val="20"/>
                <w:color w:val="auto"/>
              </w:rPr>
            </w:pPr>
            <w:r>
              <w:rPr>
                <w:rFonts w:ascii="Arial" w:cs="Arial" w:eastAsia="Arial" w:hAnsi="Arial"/>
                <w:sz w:val="13"/>
                <w:szCs w:val="13"/>
                <w:color w:val="auto"/>
              </w:rPr>
              <w:t>Buy Buy Baby / Container Store /</w:t>
            </w: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3"/>
                <w:szCs w:val="13"/>
                <w:color w:val="auto"/>
              </w:rPr>
              <w:t>Market</w:t>
            </w:r>
          </w:p>
        </w:tc>
        <w:tc>
          <w:tcPr>
            <w:tcW w:w="1980" w:type="dxa"/>
            <w:vAlign w:val="bottom"/>
          </w:tcPr>
          <w:p>
            <w:pPr>
              <w:ind w:left="40"/>
              <w:spacing w:after="0" w:line="135" w:lineRule="exact"/>
              <w:rPr>
                <w:sz w:val="20"/>
                <w:szCs w:val="20"/>
                <w:color w:val="auto"/>
              </w:rPr>
            </w:pPr>
            <w:r>
              <w:rPr>
                <w:rFonts w:ascii="Arial" w:cs="Arial" w:eastAsia="Arial" w:hAnsi="Arial"/>
                <w:sz w:val="13"/>
                <w:szCs w:val="13"/>
                <w:color w:val="auto"/>
              </w:rPr>
              <w:t>Ulta</w:t>
            </w: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Courthouse Center</w:t>
            </w: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Washington-Arlington-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6,725</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24.26</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r>
      <w:tr>
        <w:trPr>
          <w:trHeight w:val="135"/>
        </w:trPr>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Fairfax Junction</w:t>
            </w:r>
          </w:p>
        </w:tc>
        <w:tc>
          <w:tcPr>
            <w:tcW w:w="380" w:type="dxa"/>
            <w:vAlign w:val="bottom"/>
          </w:tcPr>
          <w:p>
            <w:pPr>
              <w:spacing w:after="0"/>
              <w:rPr>
                <w:sz w:val="12"/>
                <w:szCs w:val="12"/>
                <w:color w:val="auto"/>
              </w:rPr>
            </w:pPr>
          </w:p>
        </w:tc>
        <w:tc>
          <w:tcPr>
            <w:tcW w:w="1320" w:type="dxa"/>
            <w:vAlign w:val="bottom"/>
          </w:tcPr>
          <w:p>
            <w:pPr>
              <w:spacing w:after="0" w:line="148" w:lineRule="exact"/>
              <w:rPr>
                <w:sz w:val="20"/>
                <w:szCs w:val="20"/>
                <w:color w:val="auto"/>
              </w:rPr>
            </w:pPr>
            <w:r>
              <w:rPr>
                <w:rFonts w:ascii="Arial" w:cs="Arial" w:eastAsia="Arial" w:hAnsi="Arial"/>
                <w:sz w:val="13"/>
                <w:szCs w:val="13"/>
                <w:color w:val="auto"/>
              </w:rPr>
              <w:t>Washington-Arlington-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21,575</w:t>
            </w:r>
          </w:p>
        </w:tc>
        <w:tc>
          <w:tcPr>
            <w:tcW w:w="1080" w:type="dxa"/>
            <w:vAlign w:val="bottom"/>
          </w:tcPr>
          <w:p>
            <w:pPr>
              <w:spacing w:after="0"/>
              <w:rPr>
                <w:sz w:val="12"/>
                <w:szCs w:val="12"/>
                <w:color w:val="auto"/>
              </w:rPr>
            </w:pP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75,000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21.23</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23,000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Aldi</w:t>
            </w:r>
          </w:p>
        </w:tc>
        <w:tc>
          <w:tcPr>
            <w:tcW w:w="1980" w:type="dxa"/>
            <w:vAlign w:val="bottom"/>
          </w:tcPr>
          <w:p>
            <w:pPr>
              <w:ind w:left="40"/>
              <w:spacing w:after="0" w:line="148" w:lineRule="exact"/>
              <w:rPr>
                <w:sz w:val="20"/>
                <w:szCs w:val="20"/>
                <w:color w:val="auto"/>
              </w:rPr>
            </w:pPr>
            <w:r>
              <w:rPr>
                <w:rFonts w:ascii="Arial" w:cs="Arial" w:eastAsia="Arial" w:hAnsi="Arial"/>
                <w:sz w:val="13"/>
                <w:szCs w:val="13"/>
                <w:color w:val="auto"/>
              </w:rPr>
              <w:t>CVS / Planet Fitness</w:t>
            </w: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Falls Plaza/Falls Plaza-</w:t>
            </w: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Washington-Arlington-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14,438</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144,000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35.68</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51,000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 / Staples</w:t>
            </w:r>
          </w:p>
        </w:tc>
      </w:tr>
      <w:tr>
        <w:trPr>
          <w:trHeight w:val="135"/>
        </w:trPr>
        <w:tc>
          <w:tcPr>
            <w:tcW w:w="14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East</w:t>
            </w: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Federal Plaza</w:t>
            </w:r>
          </w:p>
        </w:tc>
        <w:tc>
          <w:tcPr>
            <w:tcW w:w="380" w:type="dxa"/>
            <w:vAlign w:val="bottom"/>
          </w:tcPr>
          <w:p>
            <w:pPr>
              <w:spacing w:after="0"/>
              <w:rPr>
                <w:sz w:val="12"/>
                <w:szCs w:val="12"/>
                <w:color w:val="auto"/>
              </w:rPr>
            </w:pPr>
          </w:p>
        </w:tc>
        <w:tc>
          <w:tcPr>
            <w:tcW w:w="1320" w:type="dxa"/>
            <w:vAlign w:val="bottom"/>
          </w:tcPr>
          <w:p>
            <w:pPr>
              <w:spacing w:after="0" w:line="148" w:lineRule="exact"/>
              <w:rPr>
                <w:sz w:val="20"/>
                <w:szCs w:val="20"/>
                <w:color w:val="auto"/>
              </w:rPr>
            </w:pPr>
            <w:r>
              <w:rPr>
                <w:rFonts w:ascii="Arial" w:cs="Arial" w:eastAsia="Arial" w:hAnsi="Arial"/>
                <w:sz w:val="13"/>
                <w:szCs w:val="13"/>
                <w:color w:val="auto"/>
              </w:rPr>
              <w:t>Washington-Arlington-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70,507</w:t>
            </w:r>
          </w:p>
        </w:tc>
        <w:tc>
          <w:tcPr>
            <w:tcW w:w="1080" w:type="dxa"/>
            <w:vAlign w:val="bottom"/>
          </w:tcPr>
          <w:p>
            <w:pPr>
              <w:spacing w:after="0"/>
              <w:rPr>
                <w:sz w:val="12"/>
                <w:szCs w:val="12"/>
                <w:color w:val="auto"/>
              </w:rPr>
            </w:pP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250,000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38.23</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14,000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Trader Joe's</w:t>
            </w:r>
          </w:p>
        </w:tc>
        <w:tc>
          <w:tcPr>
            <w:tcW w:w="1980" w:type="dxa"/>
            <w:vAlign w:val="bottom"/>
          </w:tcPr>
          <w:p>
            <w:pPr>
              <w:ind w:left="40"/>
              <w:spacing w:after="0" w:line="148" w:lineRule="exact"/>
              <w:rPr>
                <w:sz w:val="20"/>
                <w:szCs w:val="20"/>
                <w:color w:val="auto"/>
              </w:rPr>
            </w:pPr>
            <w:r>
              <w:rPr>
                <w:rFonts w:ascii="Arial" w:cs="Arial" w:eastAsia="Arial" w:hAnsi="Arial"/>
                <w:sz w:val="13"/>
                <w:szCs w:val="13"/>
                <w:color w:val="auto"/>
                <w:w w:val="90"/>
              </w:rPr>
              <w:t>TJ Maxx / Micro Center / Ross Dress</w:t>
            </w: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ind w:left="40"/>
              <w:spacing w:after="0" w:line="135" w:lineRule="exact"/>
              <w:rPr>
                <w:sz w:val="20"/>
                <w:szCs w:val="20"/>
                <w:color w:val="auto"/>
              </w:rPr>
            </w:pPr>
            <w:r>
              <w:rPr>
                <w:rFonts w:ascii="Arial" w:cs="Arial" w:eastAsia="Arial" w:hAnsi="Arial"/>
                <w:sz w:val="13"/>
                <w:szCs w:val="13"/>
                <w:color w:val="auto"/>
              </w:rPr>
              <w:t>For Less</w:t>
            </w: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Washington-Arlington-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38,161</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119,000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30.83</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Marshalls / Nordstrom Rack / DSW /</w:t>
            </w:r>
          </w:p>
        </w:tc>
      </w:tr>
      <w:tr>
        <w:trPr>
          <w:trHeight w:val="135"/>
        </w:trPr>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Maggiano's</w:t>
            </w: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Gaithersburg Square</w:t>
            </w:r>
          </w:p>
        </w:tc>
        <w:tc>
          <w:tcPr>
            <w:tcW w:w="380" w:type="dxa"/>
            <w:vAlign w:val="bottom"/>
          </w:tcPr>
          <w:p>
            <w:pPr>
              <w:spacing w:after="0"/>
              <w:rPr>
                <w:sz w:val="12"/>
                <w:szCs w:val="12"/>
                <w:color w:val="auto"/>
              </w:rPr>
            </w:pPr>
          </w:p>
        </w:tc>
        <w:tc>
          <w:tcPr>
            <w:tcW w:w="1320" w:type="dxa"/>
            <w:vAlign w:val="bottom"/>
          </w:tcPr>
          <w:p>
            <w:pPr>
              <w:spacing w:after="0" w:line="148" w:lineRule="exact"/>
              <w:rPr>
                <w:sz w:val="20"/>
                <w:szCs w:val="20"/>
                <w:color w:val="auto"/>
              </w:rPr>
            </w:pPr>
            <w:r>
              <w:rPr>
                <w:rFonts w:ascii="Arial" w:cs="Arial" w:eastAsia="Arial" w:hAnsi="Arial"/>
                <w:sz w:val="13"/>
                <w:szCs w:val="13"/>
                <w:color w:val="auto"/>
              </w:rPr>
              <w:t>Washington-Arlington-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28,664</w:t>
            </w:r>
          </w:p>
        </w:tc>
        <w:tc>
          <w:tcPr>
            <w:tcW w:w="1080" w:type="dxa"/>
            <w:vAlign w:val="bottom"/>
          </w:tcPr>
          <w:p>
            <w:pPr>
              <w:spacing w:after="0"/>
              <w:rPr>
                <w:sz w:val="12"/>
                <w:szCs w:val="12"/>
                <w:color w:val="auto"/>
              </w:rPr>
            </w:pP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207,000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28.91</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80" w:type="dxa"/>
            <w:vAlign w:val="bottom"/>
          </w:tcPr>
          <w:p>
            <w:pPr>
              <w:ind w:left="40"/>
              <w:spacing w:after="0" w:line="148" w:lineRule="exact"/>
              <w:rPr>
                <w:sz w:val="20"/>
                <w:szCs w:val="20"/>
                <w:color w:val="auto"/>
              </w:rPr>
            </w:pPr>
            <w:r>
              <w:rPr>
                <w:rFonts w:ascii="Arial" w:cs="Arial" w:eastAsia="Arial" w:hAnsi="Arial"/>
                <w:sz w:val="13"/>
                <w:szCs w:val="13"/>
                <w:color w:val="auto"/>
                <w:w w:val="98"/>
              </w:rPr>
              <w:t>Bed, Bath &amp; Beyond / Ross Dress</w:t>
            </w: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ind w:left="40"/>
              <w:spacing w:after="0" w:line="135" w:lineRule="exact"/>
              <w:rPr>
                <w:sz w:val="20"/>
                <w:szCs w:val="20"/>
                <w:color w:val="auto"/>
              </w:rPr>
            </w:pPr>
            <w:r>
              <w:rPr>
                <w:rFonts w:ascii="Arial" w:cs="Arial" w:eastAsia="Arial" w:hAnsi="Arial"/>
                <w:sz w:val="13"/>
                <w:szCs w:val="13"/>
                <w:color w:val="auto"/>
              </w:rPr>
              <w:t>For Less / Ashley Furniture</w:t>
            </w: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Arial" w:cs="Arial" w:eastAsia="Arial" w:hAnsi="Arial"/>
                <w:sz w:val="13"/>
                <w:szCs w:val="13"/>
                <w:color w:val="auto"/>
              </w:rPr>
              <w:t>HomeStore / CVS</w:t>
            </w: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Graham Park Plaza</w:t>
            </w: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Washington-Arlington-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36,851</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132,000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37.04</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1980" w:type="dxa"/>
            <w:vAlign w:val="bottom"/>
            <w:shd w:val="clear" w:color="auto" w:fill="CCEEFF"/>
          </w:tcPr>
          <w:p>
            <w:pPr>
              <w:spacing w:after="0"/>
              <w:rPr>
                <w:sz w:val="13"/>
                <w:szCs w:val="13"/>
                <w:color w:val="auto"/>
              </w:rPr>
            </w:pPr>
          </w:p>
        </w:tc>
      </w:tr>
      <w:tr>
        <w:trPr>
          <w:trHeight w:val="135"/>
        </w:trPr>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Idylwood Plaza</w:t>
            </w:r>
          </w:p>
        </w:tc>
        <w:tc>
          <w:tcPr>
            <w:tcW w:w="380" w:type="dxa"/>
            <w:vAlign w:val="bottom"/>
          </w:tcPr>
          <w:p>
            <w:pPr>
              <w:spacing w:after="0"/>
              <w:rPr>
                <w:sz w:val="12"/>
                <w:szCs w:val="12"/>
                <w:color w:val="auto"/>
              </w:rPr>
            </w:pPr>
          </w:p>
        </w:tc>
        <w:tc>
          <w:tcPr>
            <w:tcW w:w="1320" w:type="dxa"/>
            <w:vAlign w:val="bottom"/>
          </w:tcPr>
          <w:p>
            <w:pPr>
              <w:spacing w:after="0" w:line="148" w:lineRule="exact"/>
              <w:rPr>
                <w:sz w:val="20"/>
                <w:szCs w:val="20"/>
                <w:color w:val="auto"/>
              </w:rPr>
            </w:pPr>
            <w:r>
              <w:rPr>
                <w:rFonts w:ascii="Arial" w:cs="Arial" w:eastAsia="Arial" w:hAnsi="Arial"/>
                <w:sz w:val="13"/>
                <w:szCs w:val="13"/>
                <w:color w:val="auto"/>
              </w:rPr>
              <w:t>Washington-Arlington-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17,113</w:t>
            </w:r>
          </w:p>
        </w:tc>
        <w:tc>
          <w:tcPr>
            <w:tcW w:w="1080" w:type="dxa"/>
            <w:vAlign w:val="bottom"/>
          </w:tcPr>
          <w:p>
            <w:pPr>
              <w:spacing w:after="0"/>
              <w:rPr>
                <w:sz w:val="12"/>
                <w:szCs w:val="12"/>
                <w:color w:val="auto"/>
              </w:rPr>
            </w:pP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73,000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48.71</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30,000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w w:val="93"/>
              </w:rPr>
              <w:t>Whole Foods</w:t>
            </w:r>
          </w:p>
        </w:tc>
        <w:tc>
          <w:tcPr>
            <w:tcW w:w="198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Washington-Arlington-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58,256</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359,000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22.75</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L.A. Fitness</w:t>
            </w:r>
          </w:p>
        </w:tc>
      </w:tr>
      <w:tr>
        <w:trPr>
          <w:trHeight w:val="135"/>
        </w:trPr>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Leesburg Plaza</w:t>
            </w:r>
          </w:p>
        </w:tc>
        <w:tc>
          <w:tcPr>
            <w:tcW w:w="380" w:type="dxa"/>
            <w:vAlign w:val="bottom"/>
          </w:tcPr>
          <w:p>
            <w:pPr>
              <w:spacing w:after="0"/>
              <w:rPr>
                <w:sz w:val="12"/>
                <w:szCs w:val="12"/>
                <w:color w:val="auto"/>
              </w:rPr>
            </w:pPr>
          </w:p>
        </w:tc>
        <w:tc>
          <w:tcPr>
            <w:tcW w:w="1320" w:type="dxa"/>
            <w:vAlign w:val="bottom"/>
          </w:tcPr>
          <w:p>
            <w:pPr>
              <w:spacing w:after="0" w:line="148" w:lineRule="exact"/>
              <w:rPr>
                <w:sz w:val="20"/>
                <w:szCs w:val="20"/>
                <w:color w:val="auto"/>
              </w:rPr>
            </w:pPr>
            <w:r>
              <w:rPr>
                <w:rFonts w:ascii="Arial" w:cs="Arial" w:eastAsia="Arial" w:hAnsi="Arial"/>
                <w:sz w:val="13"/>
                <w:szCs w:val="13"/>
                <w:color w:val="auto"/>
              </w:rPr>
              <w:t>Washington-Arlington-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37,071</w:t>
            </w:r>
          </w:p>
        </w:tc>
        <w:tc>
          <w:tcPr>
            <w:tcW w:w="1080" w:type="dxa"/>
            <w:vAlign w:val="bottom"/>
          </w:tcPr>
          <w:p>
            <w:pPr>
              <w:spacing w:after="0"/>
              <w:rPr>
                <w:sz w:val="12"/>
                <w:szCs w:val="12"/>
                <w:color w:val="auto"/>
              </w:rPr>
            </w:pP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236,000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86%</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23.58</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Giant Food</w:t>
            </w:r>
          </w:p>
        </w:tc>
        <w:tc>
          <w:tcPr>
            <w:tcW w:w="1980" w:type="dxa"/>
            <w:vAlign w:val="bottom"/>
          </w:tcPr>
          <w:p>
            <w:pPr>
              <w:ind w:left="40"/>
              <w:spacing w:after="0" w:line="148" w:lineRule="exact"/>
              <w:rPr>
                <w:sz w:val="20"/>
                <w:szCs w:val="20"/>
                <w:color w:val="auto"/>
              </w:rPr>
            </w:pPr>
            <w:r>
              <w:rPr>
                <w:rFonts w:ascii="Arial" w:cs="Arial" w:eastAsia="Arial" w:hAnsi="Arial"/>
                <w:sz w:val="13"/>
                <w:szCs w:val="13"/>
                <w:color w:val="auto"/>
              </w:rPr>
              <w:t>Petsmart / Office Depot</w:t>
            </w: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Montrose Crossing</w:t>
            </w:r>
          </w:p>
        </w:tc>
        <w:tc>
          <w:tcPr>
            <w:tcW w:w="3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Washington-Arlington-    162,553</w:t>
            </w:r>
          </w:p>
        </w:tc>
        <w:tc>
          <w:tcPr>
            <w:tcW w:w="108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67,492</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371,000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32.35</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73,000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Giant Food</w:t>
            </w:r>
          </w:p>
        </w:tc>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Old Navy / Barnes &amp;</w:t>
            </w:r>
          </w:p>
        </w:tc>
      </w:tr>
      <w:tr>
        <w:trPr>
          <w:trHeight w:val="135"/>
        </w:trPr>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Noble / Bob's Discount Furniture</w:t>
            </w: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380" w:type="dxa"/>
            <w:vAlign w:val="bottom"/>
          </w:tcPr>
          <w:p>
            <w:pPr>
              <w:jc w:val="right"/>
              <w:ind w:right="97"/>
              <w:spacing w:after="0" w:line="148" w:lineRule="exact"/>
              <w:rPr>
                <w:sz w:val="20"/>
                <w:szCs w:val="20"/>
                <w:color w:val="auto"/>
              </w:rPr>
            </w:pPr>
            <w:r>
              <w:rPr>
                <w:rFonts w:ascii="Arial" w:cs="Arial" w:eastAsia="Arial" w:hAnsi="Arial"/>
                <w:sz w:val="13"/>
                <w:szCs w:val="13"/>
                <w:color w:val="auto"/>
              </w:rPr>
              <w:t>(6)</w:t>
            </w:r>
          </w:p>
        </w:tc>
        <w:tc>
          <w:tcPr>
            <w:tcW w:w="1320" w:type="dxa"/>
            <w:vAlign w:val="bottom"/>
          </w:tcPr>
          <w:p>
            <w:pPr>
              <w:spacing w:after="0" w:line="148" w:lineRule="exact"/>
              <w:rPr>
                <w:sz w:val="20"/>
                <w:szCs w:val="20"/>
                <w:color w:val="auto"/>
              </w:rPr>
            </w:pPr>
            <w:r>
              <w:rPr>
                <w:rFonts w:ascii="Arial" w:cs="Arial" w:eastAsia="Arial" w:hAnsi="Arial"/>
                <w:sz w:val="13"/>
                <w:szCs w:val="13"/>
                <w:color w:val="auto"/>
              </w:rPr>
              <w:t>Washington-Arlington-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86,511</w:t>
            </w:r>
          </w:p>
        </w:tc>
        <w:tc>
          <w:tcPr>
            <w:tcW w:w="1080" w:type="dxa"/>
            <w:vAlign w:val="bottom"/>
          </w:tcPr>
          <w:p>
            <w:pPr>
              <w:spacing w:after="0"/>
              <w:rPr>
                <w:sz w:val="12"/>
                <w:szCs w:val="12"/>
                <w:color w:val="auto"/>
              </w:rPr>
            </w:pP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569,000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18.73</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62,000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Shoppers</w:t>
            </w:r>
          </w:p>
        </w:tc>
        <w:tc>
          <w:tcPr>
            <w:tcW w:w="1980" w:type="dxa"/>
            <w:vAlign w:val="bottom"/>
          </w:tcPr>
          <w:p>
            <w:pPr>
              <w:ind w:left="40"/>
              <w:spacing w:after="0" w:line="148" w:lineRule="exact"/>
              <w:rPr>
                <w:sz w:val="20"/>
                <w:szCs w:val="20"/>
                <w:color w:val="auto"/>
              </w:rPr>
            </w:pPr>
            <w:r>
              <w:rPr>
                <w:rFonts w:ascii="Arial" w:cs="Arial" w:eastAsia="Arial" w:hAnsi="Arial"/>
                <w:sz w:val="13"/>
                <w:szCs w:val="13"/>
                <w:color w:val="auto"/>
                <w:w w:val="95"/>
              </w:rPr>
              <w:t>TJ Maxx / Home Depot / Bed, Bath</w:t>
            </w:r>
          </w:p>
        </w:tc>
      </w:tr>
      <w:tr>
        <w:trPr>
          <w:trHeight w:val="135"/>
        </w:trPr>
        <w:tc>
          <w:tcPr>
            <w:tcW w:w="14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Valley/7770 Richmond</w:t>
            </w: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3"/>
                <w:szCs w:val="13"/>
                <w:color w:val="auto"/>
              </w:rPr>
              <w:t>Food</w:t>
            </w:r>
          </w:p>
        </w:tc>
        <w:tc>
          <w:tcPr>
            <w:tcW w:w="1980" w:type="dxa"/>
            <w:vAlign w:val="bottom"/>
          </w:tcPr>
          <w:p>
            <w:pPr>
              <w:ind w:left="40"/>
              <w:spacing w:after="0" w:line="135" w:lineRule="exact"/>
              <w:rPr>
                <w:sz w:val="20"/>
                <w:szCs w:val="20"/>
                <w:color w:val="auto"/>
              </w:rPr>
            </w:pPr>
            <w:r>
              <w:rPr>
                <w:rFonts w:ascii="Arial" w:cs="Arial" w:eastAsia="Arial" w:hAnsi="Arial"/>
                <w:sz w:val="13"/>
                <w:szCs w:val="13"/>
                <w:color w:val="auto"/>
              </w:rPr>
              <w:t>&amp; Beyond / Results Fitness</w:t>
            </w:r>
          </w:p>
        </w:tc>
      </w:tr>
      <w:tr>
        <w:trPr>
          <w:trHeight w:val="168"/>
        </w:trPr>
        <w:tc>
          <w:tcPr>
            <w:tcW w:w="1400" w:type="dxa"/>
            <w:vAlign w:val="bottom"/>
            <w:gridSpan w:val="2"/>
          </w:tcPr>
          <w:p>
            <w:pPr>
              <w:ind w:left="40"/>
              <w:spacing w:after="0"/>
              <w:rPr>
                <w:sz w:val="20"/>
                <w:szCs w:val="20"/>
                <w:color w:val="auto"/>
              </w:rPr>
            </w:pPr>
            <w:r>
              <w:rPr>
                <w:rFonts w:ascii="Arial" w:cs="Arial" w:eastAsia="Arial" w:hAnsi="Arial"/>
                <w:sz w:val="13"/>
                <w:szCs w:val="13"/>
                <w:color w:val="auto"/>
              </w:rPr>
              <w:t>Hwy</w:t>
            </w: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3"/>
                <w:szCs w:val="13"/>
                <w:color w:val="auto"/>
              </w:rPr>
              <w:t>Warehouse</w:t>
            </w:r>
          </w:p>
        </w:tc>
        <w:tc>
          <w:tcPr>
            <w:tcW w:w="1980" w:type="dxa"/>
            <w:vAlign w:val="bottom"/>
          </w:tcPr>
          <w:p>
            <w:pPr>
              <w:spacing w:after="0"/>
              <w:rPr>
                <w:sz w:val="14"/>
                <w:szCs w:val="14"/>
                <w:color w:val="auto"/>
              </w:rPr>
            </w:pP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Old Keene Mill</w:t>
            </w: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Washington-Arlington-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12,729</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40.27</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24,000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Whole Foods</w:t>
            </w:r>
          </w:p>
        </w:tc>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 / Planet Fitness</w:t>
            </w:r>
          </w:p>
        </w:tc>
      </w:tr>
      <w:tr>
        <w:trPr>
          <w:trHeight w:val="135"/>
        </w:trPr>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Pan Am</w:t>
            </w:r>
          </w:p>
        </w:tc>
        <w:tc>
          <w:tcPr>
            <w:tcW w:w="380" w:type="dxa"/>
            <w:vAlign w:val="bottom"/>
          </w:tcPr>
          <w:p>
            <w:pPr>
              <w:spacing w:after="0"/>
              <w:rPr>
                <w:sz w:val="12"/>
                <w:szCs w:val="12"/>
                <w:color w:val="auto"/>
              </w:rPr>
            </w:pPr>
          </w:p>
        </w:tc>
        <w:tc>
          <w:tcPr>
            <w:tcW w:w="1320" w:type="dxa"/>
            <w:vAlign w:val="bottom"/>
          </w:tcPr>
          <w:p>
            <w:pPr>
              <w:spacing w:after="0" w:line="148" w:lineRule="exact"/>
              <w:rPr>
                <w:sz w:val="20"/>
                <w:szCs w:val="20"/>
                <w:color w:val="auto"/>
              </w:rPr>
            </w:pPr>
            <w:r>
              <w:rPr>
                <w:rFonts w:ascii="Arial" w:cs="Arial" w:eastAsia="Arial" w:hAnsi="Arial"/>
                <w:sz w:val="13"/>
                <w:szCs w:val="13"/>
                <w:color w:val="auto"/>
              </w:rPr>
              <w:t>Washington-Arlington-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29,937</w:t>
            </w:r>
          </w:p>
        </w:tc>
        <w:tc>
          <w:tcPr>
            <w:tcW w:w="1080" w:type="dxa"/>
            <w:vAlign w:val="bottom"/>
          </w:tcPr>
          <w:p>
            <w:pPr>
              <w:spacing w:after="0"/>
              <w:rPr>
                <w:sz w:val="12"/>
                <w:szCs w:val="12"/>
                <w:color w:val="auto"/>
              </w:rPr>
            </w:pP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227,000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26.08</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65,000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Safeway</w:t>
            </w:r>
          </w:p>
        </w:tc>
        <w:tc>
          <w:tcPr>
            <w:tcW w:w="1980" w:type="dxa"/>
            <w:vAlign w:val="bottom"/>
          </w:tcPr>
          <w:p>
            <w:pPr>
              <w:ind w:left="40"/>
              <w:spacing w:after="0" w:line="148" w:lineRule="exact"/>
              <w:rPr>
                <w:sz w:val="20"/>
                <w:szCs w:val="20"/>
                <w:color w:val="auto"/>
              </w:rPr>
            </w:pPr>
            <w:r>
              <w:rPr>
                <w:rFonts w:ascii="Arial" w:cs="Arial" w:eastAsia="Arial" w:hAnsi="Arial"/>
                <w:sz w:val="13"/>
                <w:szCs w:val="13"/>
                <w:color w:val="auto"/>
              </w:rPr>
              <w:t>Micro Center / CVS / Michaels</w:t>
            </w: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Pentagon Row</w:t>
            </w:r>
          </w:p>
        </w:tc>
        <w:tc>
          <w:tcPr>
            <w:tcW w:w="3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Washington-Arlington-    106,338</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298,000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35.61</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Harris Teeter</w:t>
            </w:r>
          </w:p>
        </w:tc>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 / Bed, Bath &amp; Beyond /</w:t>
            </w:r>
          </w:p>
        </w:tc>
      </w:tr>
      <w:tr>
        <w:trPr>
          <w:trHeight w:val="135"/>
        </w:trPr>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DSW</w:t>
            </w: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Pike &amp; Rose</w:t>
            </w:r>
          </w:p>
        </w:tc>
        <w:tc>
          <w:tcPr>
            <w:tcW w:w="380" w:type="dxa"/>
            <w:vAlign w:val="bottom"/>
          </w:tcPr>
          <w:p>
            <w:pPr>
              <w:jc w:val="right"/>
              <w:ind w:right="97"/>
              <w:spacing w:after="0" w:line="148" w:lineRule="exact"/>
              <w:rPr>
                <w:sz w:val="20"/>
                <w:szCs w:val="20"/>
                <w:color w:val="auto"/>
              </w:rPr>
            </w:pPr>
            <w:r>
              <w:rPr>
                <w:rFonts w:ascii="Arial" w:cs="Arial" w:eastAsia="Arial" w:hAnsi="Arial"/>
                <w:sz w:val="13"/>
                <w:szCs w:val="13"/>
                <w:color w:val="auto"/>
              </w:rPr>
              <w:t>(7)</w:t>
            </w:r>
          </w:p>
        </w:tc>
        <w:tc>
          <w:tcPr>
            <w:tcW w:w="1880" w:type="dxa"/>
            <w:vAlign w:val="bottom"/>
            <w:gridSpan w:val="2"/>
          </w:tcPr>
          <w:p>
            <w:pPr>
              <w:spacing w:after="0" w:line="148" w:lineRule="exact"/>
              <w:rPr>
                <w:sz w:val="20"/>
                <w:szCs w:val="20"/>
                <w:color w:val="auto"/>
              </w:rPr>
            </w:pPr>
            <w:r>
              <w:rPr>
                <w:rFonts w:ascii="Arial" w:cs="Arial" w:eastAsia="Arial" w:hAnsi="Arial"/>
                <w:sz w:val="13"/>
                <w:szCs w:val="13"/>
                <w:color w:val="auto"/>
                <w:w w:val="97"/>
              </w:rPr>
              <w:t>Washington-Arlington-    621,488</w:t>
            </w:r>
          </w:p>
        </w:tc>
        <w:tc>
          <w:tcPr>
            <w:tcW w:w="1080" w:type="dxa"/>
            <w:vAlign w:val="bottom"/>
          </w:tcPr>
          <w:p>
            <w:pPr>
              <w:spacing w:after="0"/>
              <w:rPr>
                <w:sz w:val="12"/>
                <w:szCs w:val="12"/>
                <w:color w:val="auto"/>
              </w:rPr>
            </w:pP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469,000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40.09</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765</w:t>
            </w: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80" w:type="dxa"/>
            <w:vAlign w:val="bottom"/>
          </w:tcPr>
          <w:p>
            <w:pPr>
              <w:ind w:left="40"/>
              <w:spacing w:after="0" w:line="148" w:lineRule="exact"/>
              <w:rPr>
                <w:sz w:val="20"/>
                <w:szCs w:val="20"/>
                <w:color w:val="auto"/>
              </w:rPr>
            </w:pPr>
            <w:r>
              <w:rPr>
                <w:rFonts w:ascii="Arial" w:cs="Arial" w:eastAsia="Arial" w:hAnsi="Arial"/>
                <w:sz w:val="13"/>
                <w:szCs w:val="13"/>
                <w:color w:val="auto"/>
                <w:w w:val="92"/>
              </w:rPr>
              <w:t>iPic Theater / Porsche / Uniqlo / REI</w:t>
            </w: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ind w:left="40"/>
              <w:spacing w:after="0" w:line="135" w:lineRule="exact"/>
              <w:rPr>
                <w:sz w:val="20"/>
                <w:szCs w:val="20"/>
                <w:color w:val="auto"/>
              </w:rPr>
            </w:pPr>
            <w:r>
              <w:rPr>
                <w:rFonts w:ascii="Arial" w:cs="Arial" w:eastAsia="Arial" w:hAnsi="Arial"/>
                <w:sz w:val="13"/>
                <w:szCs w:val="13"/>
                <w:color w:val="auto"/>
                <w:w w:val="99"/>
              </w:rPr>
              <w:t>/ Pinstripes / Multiple Restaurants</w:t>
            </w: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Pike 7 Plaza</w:t>
            </w: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Washington-Arlington-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49,338</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172,000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47.78</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TJ Maxx / DSW / Crunch Fitness /</w:t>
            </w:r>
          </w:p>
        </w:tc>
      </w:tr>
      <w:tr>
        <w:trPr>
          <w:trHeight w:val="135"/>
        </w:trPr>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Staples</w:t>
            </w: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Plaza del Mercado</w:t>
            </w:r>
          </w:p>
        </w:tc>
        <w:tc>
          <w:tcPr>
            <w:tcW w:w="380" w:type="dxa"/>
            <w:vAlign w:val="bottom"/>
          </w:tcPr>
          <w:p>
            <w:pPr>
              <w:spacing w:after="0"/>
              <w:rPr>
                <w:sz w:val="12"/>
                <w:szCs w:val="12"/>
                <w:color w:val="auto"/>
              </w:rPr>
            </w:pPr>
          </w:p>
        </w:tc>
        <w:tc>
          <w:tcPr>
            <w:tcW w:w="1320" w:type="dxa"/>
            <w:vAlign w:val="bottom"/>
          </w:tcPr>
          <w:p>
            <w:pPr>
              <w:spacing w:after="0" w:line="148" w:lineRule="exact"/>
              <w:rPr>
                <w:sz w:val="20"/>
                <w:szCs w:val="20"/>
                <w:color w:val="auto"/>
              </w:rPr>
            </w:pPr>
            <w:r>
              <w:rPr>
                <w:rFonts w:ascii="Arial" w:cs="Arial" w:eastAsia="Arial" w:hAnsi="Arial"/>
                <w:sz w:val="13"/>
                <w:szCs w:val="13"/>
                <w:color w:val="auto"/>
              </w:rPr>
              <w:t>Washington-Arlington-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46,717</w:t>
            </w:r>
          </w:p>
        </w:tc>
        <w:tc>
          <w:tcPr>
            <w:tcW w:w="1080" w:type="dxa"/>
            <w:vAlign w:val="bottom"/>
          </w:tcPr>
          <w:p>
            <w:pPr>
              <w:spacing w:after="0"/>
              <w:rPr>
                <w:sz w:val="12"/>
                <w:szCs w:val="12"/>
                <w:color w:val="auto"/>
              </w:rPr>
            </w:pP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117,000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31.50</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18,000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Aldi</w:t>
            </w:r>
          </w:p>
        </w:tc>
        <w:tc>
          <w:tcPr>
            <w:tcW w:w="1980" w:type="dxa"/>
            <w:vAlign w:val="bottom"/>
          </w:tcPr>
          <w:p>
            <w:pPr>
              <w:ind w:left="40"/>
              <w:spacing w:after="0" w:line="148" w:lineRule="exact"/>
              <w:rPr>
                <w:sz w:val="20"/>
                <w:szCs w:val="20"/>
                <w:color w:val="auto"/>
              </w:rPr>
            </w:pPr>
            <w:r>
              <w:rPr>
                <w:rFonts w:ascii="Arial" w:cs="Arial" w:eastAsia="Arial" w:hAnsi="Arial"/>
                <w:sz w:val="13"/>
                <w:szCs w:val="13"/>
                <w:color w:val="auto"/>
              </w:rPr>
              <w:t>CVS / L.A. Fitness</w:t>
            </w: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Quince Orchard</w:t>
            </w: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Washington-Arlington-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41,532</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266,000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24.50</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19,000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Aldi</w:t>
            </w:r>
          </w:p>
        </w:tc>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HomeGoods / L.A. Fitness / Staples</w:t>
            </w:r>
          </w:p>
        </w:tc>
      </w:tr>
      <w:tr>
        <w:trPr>
          <w:trHeight w:val="135"/>
        </w:trPr>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Rockville Town Square</w:t>
            </w:r>
          </w:p>
        </w:tc>
        <w:tc>
          <w:tcPr>
            <w:tcW w:w="380" w:type="dxa"/>
            <w:vAlign w:val="bottom"/>
          </w:tcPr>
          <w:p>
            <w:pPr>
              <w:jc w:val="right"/>
              <w:ind w:right="97"/>
              <w:spacing w:after="0" w:line="148" w:lineRule="exact"/>
              <w:rPr>
                <w:sz w:val="20"/>
                <w:szCs w:val="20"/>
                <w:color w:val="auto"/>
              </w:rPr>
            </w:pPr>
            <w:r>
              <w:rPr>
                <w:rFonts w:ascii="Arial" w:cs="Arial" w:eastAsia="Arial" w:hAnsi="Arial"/>
                <w:sz w:val="13"/>
                <w:szCs w:val="13"/>
                <w:color w:val="auto"/>
              </w:rPr>
              <w:t>(8)</w:t>
            </w:r>
          </w:p>
        </w:tc>
        <w:tc>
          <w:tcPr>
            <w:tcW w:w="1320" w:type="dxa"/>
            <w:vAlign w:val="bottom"/>
          </w:tcPr>
          <w:p>
            <w:pPr>
              <w:spacing w:after="0" w:line="148" w:lineRule="exact"/>
              <w:rPr>
                <w:sz w:val="20"/>
                <w:szCs w:val="20"/>
                <w:color w:val="auto"/>
              </w:rPr>
            </w:pPr>
            <w:r>
              <w:rPr>
                <w:rFonts w:ascii="Arial" w:cs="Arial" w:eastAsia="Arial" w:hAnsi="Arial"/>
                <w:sz w:val="13"/>
                <w:szCs w:val="13"/>
                <w:color w:val="auto"/>
              </w:rPr>
              <w:t>Washington-Arlington-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52,287</w:t>
            </w: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auto"/>
              </w:rPr>
              <w:t>4,414</w:t>
            </w: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186,000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84%</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84%</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30.49</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Dawson's</w:t>
            </w:r>
          </w:p>
        </w:tc>
        <w:tc>
          <w:tcPr>
            <w:tcW w:w="1980" w:type="dxa"/>
            <w:vAlign w:val="bottom"/>
          </w:tcPr>
          <w:p>
            <w:pPr>
              <w:ind w:left="40"/>
              <w:spacing w:after="0" w:line="148" w:lineRule="exact"/>
              <w:rPr>
                <w:sz w:val="20"/>
                <w:szCs w:val="20"/>
                <w:color w:val="auto"/>
              </w:rPr>
            </w:pPr>
            <w:r>
              <w:rPr>
                <w:rFonts w:ascii="Arial" w:cs="Arial" w:eastAsia="Arial" w:hAnsi="Arial"/>
                <w:sz w:val="13"/>
                <w:szCs w:val="13"/>
                <w:color w:val="auto"/>
              </w:rPr>
              <w:t>CVS / Gold's Gym / Multiple</w:t>
            </w: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3"/>
                <w:szCs w:val="13"/>
                <w:color w:val="auto"/>
              </w:rPr>
              <w:t>Market</w:t>
            </w:r>
          </w:p>
        </w:tc>
        <w:tc>
          <w:tcPr>
            <w:tcW w:w="1980" w:type="dxa"/>
            <w:vAlign w:val="bottom"/>
          </w:tcPr>
          <w:p>
            <w:pPr>
              <w:ind w:left="40"/>
              <w:spacing w:after="0" w:line="135" w:lineRule="exact"/>
              <w:rPr>
                <w:sz w:val="20"/>
                <w:szCs w:val="20"/>
                <w:color w:val="auto"/>
              </w:rPr>
            </w:pPr>
            <w:r>
              <w:rPr>
                <w:rFonts w:ascii="Arial" w:cs="Arial" w:eastAsia="Arial" w:hAnsi="Arial"/>
                <w:sz w:val="13"/>
                <w:szCs w:val="13"/>
                <w:color w:val="auto"/>
              </w:rPr>
              <w:t>Restaurants</w:t>
            </w: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Rollingwood Apartments</w:t>
            </w: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Washington-Arlington-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11,373</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N/A</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282</w:t>
            </w:r>
          </w:p>
        </w:tc>
        <w:tc>
          <w:tcPr>
            <w:tcW w:w="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r>
      <w:tr>
        <w:trPr>
          <w:trHeight w:val="135"/>
        </w:trPr>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Sam's Park &amp; Shop</w:t>
            </w:r>
          </w:p>
        </w:tc>
        <w:tc>
          <w:tcPr>
            <w:tcW w:w="380" w:type="dxa"/>
            <w:vAlign w:val="bottom"/>
          </w:tcPr>
          <w:p>
            <w:pPr>
              <w:spacing w:after="0"/>
              <w:rPr>
                <w:sz w:val="12"/>
                <w:szCs w:val="12"/>
                <w:color w:val="auto"/>
              </w:rPr>
            </w:pPr>
          </w:p>
        </w:tc>
        <w:tc>
          <w:tcPr>
            <w:tcW w:w="1320" w:type="dxa"/>
            <w:vAlign w:val="bottom"/>
          </w:tcPr>
          <w:p>
            <w:pPr>
              <w:spacing w:after="0" w:line="148" w:lineRule="exact"/>
              <w:rPr>
                <w:sz w:val="20"/>
                <w:szCs w:val="20"/>
                <w:color w:val="auto"/>
              </w:rPr>
            </w:pPr>
            <w:r>
              <w:rPr>
                <w:rFonts w:ascii="Arial" w:cs="Arial" w:eastAsia="Arial" w:hAnsi="Arial"/>
                <w:sz w:val="13"/>
                <w:szCs w:val="13"/>
                <w:color w:val="auto"/>
              </w:rPr>
              <w:t>Washington-Arlington-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14,181</w:t>
            </w:r>
          </w:p>
        </w:tc>
        <w:tc>
          <w:tcPr>
            <w:tcW w:w="1080" w:type="dxa"/>
            <w:vAlign w:val="bottom"/>
          </w:tcPr>
          <w:p>
            <w:pPr>
              <w:spacing w:after="0"/>
              <w:rPr>
                <w:sz w:val="12"/>
                <w:szCs w:val="12"/>
                <w:color w:val="auto"/>
              </w:rPr>
            </w:pP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51,000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39.22</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80" w:type="dxa"/>
            <w:vAlign w:val="bottom"/>
          </w:tcPr>
          <w:p>
            <w:pPr>
              <w:ind w:left="40"/>
              <w:spacing w:after="0" w:line="148" w:lineRule="exact"/>
              <w:rPr>
                <w:sz w:val="20"/>
                <w:szCs w:val="20"/>
                <w:color w:val="auto"/>
              </w:rPr>
            </w:pPr>
            <w:r>
              <w:rPr>
                <w:rFonts w:ascii="Arial" w:cs="Arial" w:eastAsia="Arial" w:hAnsi="Arial"/>
                <w:sz w:val="13"/>
                <w:szCs w:val="13"/>
                <w:color w:val="auto"/>
              </w:rPr>
              <w:t>Target</w:t>
            </w: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6"/>
        </w:trPr>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7"/>
              </w:rPr>
              <w:t>Tower Shopping Center</w:t>
            </w: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Washington-Arlington-</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22,485</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112,000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26.01</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26,000</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 Mart</w:t>
            </w:r>
          </w:p>
        </w:tc>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Talbots / Total Wine &amp; More</w:t>
            </w:r>
          </w:p>
        </w:tc>
      </w:tr>
      <w:tr>
        <w:trPr>
          <w:trHeight w:val="135"/>
        </w:trPr>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WV</w:t>
            </w: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48"/>
        </w:trPr>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Tyson's Station</w:t>
            </w:r>
          </w:p>
        </w:tc>
        <w:tc>
          <w:tcPr>
            <w:tcW w:w="380" w:type="dxa"/>
            <w:vAlign w:val="bottom"/>
          </w:tcPr>
          <w:p>
            <w:pPr>
              <w:spacing w:after="0"/>
              <w:rPr>
                <w:sz w:val="12"/>
                <w:szCs w:val="12"/>
                <w:color w:val="auto"/>
              </w:rPr>
            </w:pPr>
          </w:p>
        </w:tc>
        <w:tc>
          <w:tcPr>
            <w:tcW w:w="1320" w:type="dxa"/>
            <w:vAlign w:val="bottom"/>
          </w:tcPr>
          <w:p>
            <w:pPr>
              <w:spacing w:after="0" w:line="148" w:lineRule="exact"/>
              <w:rPr>
                <w:sz w:val="20"/>
                <w:szCs w:val="20"/>
                <w:color w:val="auto"/>
              </w:rPr>
            </w:pPr>
            <w:r>
              <w:rPr>
                <w:rFonts w:ascii="Arial" w:cs="Arial" w:eastAsia="Arial" w:hAnsi="Arial"/>
                <w:sz w:val="13"/>
                <w:szCs w:val="13"/>
                <w:color w:val="auto"/>
              </w:rPr>
              <w:t>Washington-Arlington-</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5,011</w:t>
            </w:r>
          </w:p>
        </w:tc>
        <w:tc>
          <w:tcPr>
            <w:tcW w:w="1080" w:type="dxa"/>
            <w:vAlign w:val="bottom"/>
          </w:tcPr>
          <w:p>
            <w:pPr>
              <w:spacing w:after="0"/>
              <w:rPr>
                <w:sz w:val="12"/>
                <w:szCs w:val="12"/>
                <w:color w:val="auto"/>
              </w:rPr>
            </w:pPr>
          </w:p>
        </w:tc>
        <w:tc>
          <w:tcPr>
            <w:tcW w:w="5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w:t>
            </w: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85%</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46.72</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11,000</w:t>
            </w:r>
          </w:p>
        </w:tc>
        <w:tc>
          <w:tcPr>
            <w:tcW w:w="760" w:type="dxa"/>
            <w:vAlign w:val="bottom"/>
          </w:tcPr>
          <w:p>
            <w:pPr>
              <w:ind w:left="20"/>
              <w:spacing w:after="0" w:line="148" w:lineRule="exact"/>
              <w:rPr>
                <w:sz w:val="20"/>
                <w:szCs w:val="20"/>
                <w:color w:val="auto"/>
              </w:rPr>
            </w:pPr>
            <w:r>
              <w:rPr>
                <w:rFonts w:ascii="Arial" w:cs="Arial" w:eastAsia="Arial" w:hAnsi="Arial"/>
                <w:sz w:val="13"/>
                <w:szCs w:val="13"/>
                <w:color w:val="auto"/>
              </w:rPr>
              <w:t>Trader Joe's</w:t>
            </w:r>
          </w:p>
        </w:tc>
        <w:tc>
          <w:tcPr>
            <w:tcW w:w="198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line="135" w:lineRule="exact"/>
              <w:rPr>
                <w:sz w:val="20"/>
                <w:szCs w:val="20"/>
                <w:color w:val="auto"/>
              </w:rPr>
            </w:pPr>
            <w:r>
              <w:rPr>
                <w:rFonts w:ascii="Arial" w:cs="Arial" w:eastAsia="Arial" w:hAnsi="Arial"/>
                <w:sz w:val="13"/>
                <w:szCs w:val="13"/>
                <w:color w:val="auto"/>
                <w:w w:val="94"/>
              </w:rPr>
              <w:t>Alexandria, DC-VA-MD-</w:t>
            </w: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spacing w:after="0"/>
              <w:rPr>
                <w:sz w:val="11"/>
                <w:szCs w:val="11"/>
                <w:color w:val="auto"/>
              </w:rPr>
            </w:pPr>
          </w:p>
        </w:tc>
      </w:tr>
      <w:tr>
        <w:trPr>
          <w:trHeight w:val="160"/>
        </w:trPr>
        <w:tc>
          <w:tcPr>
            <w:tcW w:w="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WV</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8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20" w:right="239" w:bottom="1027" w:gutter="0" w:footer="0" w:header="0"/>
        </w:sectPr>
      </w:pP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20" w:right="239" w:bottom="1027"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Real</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ind w:left="40"/>
              <w:spacing w:after="0"/>
              <w:rPr>
                <w:sz w:val="20"/>
                <w:szCs w:val="20"/>
                <w:color w:val="auto"/>
              </w:rPr>
            </w:pPr>
            <w:r>
              <w:rPr>
                <w:rFonts w:ascii="Arial" w:cs="Arial" w:eastAsia="Arial" w:hAnsi="Arial"/>
                <w:sz w:val="13"/>
                <w:szCs w:val="13"/>
                <w:b w:val="1"/>
                <w:bCs w:val="1"/>
                <w:color w:val="auto"/>
                <w:w w:val="81"/>
              </w:rPr>
              <w:t>Average</w:t>
            </w:r>
          </w:p>
        </w:tc>
        <w:tc>
          <w:tcPr>
            <w:tcW w:w="70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b w:val="1"/>
                <w:bCs w:val="1"/>
                <w:color w:val="auto"/>
                <w:w w:val="92"/>
              </w:rPr>
              <w:t>Grocery</w:t>
            </w:r>
          </w:p>
        </w:tc>
        <w:tc>
          <w:tcPr>
            <w:tcW w:w="76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Leased</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4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Rent</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2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6"/>
              </w:rPr>
              <w:t>Anchor</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1960" w:type="dxa"/>
            <w:vAlign w:val="bottom"/>
          </w:tcPr>
          <w:p>
            <w:pPr>
              <w:spacing w:after="0"/>
              <w:rPr>
                <w:sz w:val="11"/>
                <w:szCs w:val="11"/>
                <w:color w:val="auto"/>
              </w:rPr>
            </w:pPr>
          </w:p>
        </w:tc>
      </w:tr>
      <w:tr>
        <w:trPr>
          <w:trHeight w:val="174"/>
        </w:trPr>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MSA Description</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Acreage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(3)</w:t>
            </w: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w:t>
            </w: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3"/>
              </w:rPr>
              <w:t>PSF (4)</w:t>
            </w: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Anchor</w:t>
            </w: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6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6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48"/>
        </w:trPr>
        <w:tc>
          <w:tcPr>
            <w:tcW w:w="134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Village at Shirlington</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(8)</w:t>
            </w:r>
          </w:p>
        </w:tc>
        <w:tc>
          <w:tcPr>
            <w:tcW w:w="13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20" w:type="dxa"/>
            <w:vAlign w:val="bottom"/>
            <w:shd w:val="clear" w:color="auto" w:fill="CCEEFF"/>
          </w:tcPr>
          <w:p>
            <w:pPr>
              <w:jc w:val="right"/>
              <w:ind w:right="18"/>
              <w:spacing w:after="0" w:line="148" w:lineRule="exact"/>
              <w:rPr>
                <w:sz w:val="20"/>
                <w:szCs w:val="20"/>
                <w:color w:val="auto"/>
              </w:rPr>
            </w:pPr>
            <w:r>
              <w:rPr>
                <w:rFonts w:ascii="Arial" w:cs="Arial" w:eastAsia="Arial" w:hAnsi="Arial"/>
                <w:sz w:val="13"/>
                <w:szCs w:val="13"/>
                <w:color w:val="auto"/>
              </w:rPr>
              <w:t>69,396</w:t>
            </w:r>
          </w:p>
        </w:tc>
        <w:tc>
          <w:tcPr>
            <w:tcW w:w="1060" w:type="dxa"/>
            <w:vAlign w:val="bottom"/>
            <w:shd w:val="clear" w:color="auto" w:fill="CCEEFF"/>
          </w:tcPr>
          <w:p>
            <w:pPr>
              <w:jc w:val="right"/>
              <w:ind w:right="118"/>
              <w:spacing w:after="0" w:line="148" w:lineRule="exact"/>
              <w:rPr>
                <w:sz w:val="20"/>
                <w:szCs w:val="20"/>
                <w:color w:val="auto"/>
              </w:rPr>
            </w:pPr>
            <w:r>
              <w:rPr>
                <w:rFonts w:ascii="Arial" w:cs="Arial" w:eastAsia="Arial" w:hAnsi="Arial"/>
                <w:sz w:val="13"/>
                <w:szCs w:val="13"/>
                <w:color w:val="auto"/>
              </w:rPr>
              <w:t>6,767</w:t>
            </w: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16</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258,000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39.36</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28,000</w:t>
            </w:r>
          </w:p>
        </w:tc>
        <w:tc>
          <w:tcPr>
            <w:tcW w:w="7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Harris Teeter</w:t>
            </w:r>
          </w:p>
        </w:tc>
        <w:tc>
          <w:tcPr>
            <w:tcW w:w="19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AMC / Carlyle Grand Café</w:t>
            </w:r>
          </w:p>
        </w:tc>
      </w:tr>
      <w:tr>
        <w:trPr>
          <w:trHeight w:val="135"/>
        </w:trPr>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Alexandria, DC-VA-</w:t>
            </w:r>
          </w:p>
        </w:tc>
        <w:tc>
          <w:tcPr>
            <w:tcW w:w="6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MD-WV</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Wildwood Shopping</w:t>
            </w:r>
          </w:p>
        </w:tc>
        <w:tc>
          <w:tcPr>
            <w:tcW w:w="40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Washington-Arlington-</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26,077</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87,000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480" w:type="dxa"/>
            <w:vAlign w:val="bottom"/>
          </w:tcPr>
          <w:p>
            <w:pPr>
              <w:ind w:left="40"/>
              <w:spacing w:after="0" w:line="148" w:lineRule="exact"/>
              <w:rPr>
                <w:sz w:val="20"/>
                <w:szCs w:val="20"/>
                <w:color w:val="auto"/>
              </w:rPr>
            </w:pPr>
            <w:r>
              <w:rPr>
                <w:rFonts w:ascii="Arial" w:cs="Arial" w:eastAsia="Arial" w:hAnsi="Arial"/>
                <w:sz w:val="13"/>
                <w:szCs w:val="13"/>
                <w:color w:val="auto"/>
              </w:rPr>
              <w:t>102.53</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20,000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Balducci's</w:t>
            </w: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CVS / Flower Child</w:t>
            </w:r>
          </w:p>
        </w:tc>
      </w:tr>
      <w:tr>
        <w:trPr>
          <w:trHeight w:val="135"/>
        </w:trPr>
        <w:tc>
          <w:tcPr>
            <w:tcW w:w="134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Center</w:t>
            </w:r>
          </w:p>
        </w:tc>
        <w:tc>
          <w:tcPr>
            <w:tcW w:w="400" w:type="dxa"/>
            <w:vAlign w:val="bottom"/>
          </w:tcPr>
          <w:p>
            <w:pPr>
              <w:spacing w:after="0"/>
              <w:rPr>
                <w:sz w:val="11"/>
                <w:szCs w:val="11"/>
                <w:color w:val="auto"/>
              </w:rPr>
            </w:pPr>
          </w:p>
        </w:tc>
        <w:tc>
          <w:tcPr>
            <w:tcW w:w="1340" w:type="dxa"/>
            <w:vAlign w:val="bottom"/>
          </w:tcPr>
          <w:p>
            <w:pPr>
              <w:ind w:left="20"/>
              <w:spacing w:after="0" w:line="135" w:lineRule="exact"/>
              <w:rPr>
                <w:sz w:val="20"/>
                <w:szCs w:val="20"/>
                <w:color w:val="auto"/>
              </w:rPr>
            </w:pPr>
            <w:r>
              <w:rPr>
                <w:rFonts w:ascii="Arial" w:cs="Arial" w:eastAsia="Arial" w:hAnsi="Arial"/>
                <w:sz w:val="13"/>
                <w:szCs w:val="13"/>
                <w:color w:val="auto"/>
              </w:rPr>
              <w:t>Alexandria, DC-VA-</w:t>
            </w: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60" w:type="dxa"/>
            <w:vAlign w:val="bottom"/>
          </w:tcPr>
          <w:p>
            <w:pPr>
              <w:spacing w:after="0"/>
              <w:rPr>
                <w:sz w:val="11"/>
                <w:szCs w:val="11"/>
                <w:color w:val="auto"/>
              </w:rPr>
            </w:pPr>
          </w:p>
        </w:tc>
      </w:tr>
      <w:tr>
        <w:trPr>
          <w:trHeight w:val="170"/>
        </w:trPr>
        <w:tc>
          <w:tcPr>
            <w:tcW w:w="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MD-WV</w:t>
            </w: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Total Washington Metropolitan Area</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w w:val="89"/>
              </w:rPr>
              <w:t>2,074,955</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429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5,932,000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34.64</w:t>
            </w: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89"/>
              </w:rPr>
              <w:t>California</w:t>
            </w:r>
          </w:p>
        </w:tc>
        <w:tc>
          <w:tcPr>
            <w:tcW w:w="680" w:type="dxa"/>
            <w:vAlign w:val="bottom"/>
            <w:tcBorders>
              <w:bottom w:val="single" w:sz="8" w:color="CCEEFF"/>
            </w:tcBorders>
            <w:gridSpan w:val="2"/>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Azalea</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Los Angeles-Long</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107,333</w:t>
            </w:r>
          </w:p>
        </w:tc>
        <w:tc>
          <w:tcPr>
            <w:tcW w:w="1060" w:type="dxa"/>
            <w:vAlign w:val="bottom"/>
          </w:tcPr>
          <w:p>
            <w:pPr>
              <w:jc w:val="right"/>
              <w:ind w:right="118"/>
              <w:spacing w:after="0" w:line="148" w:lineRule="exact"/>
              <w:rPr>
                <w:sz w:val="20"/>
                <w:szCs w:val="20"/>
                <w:color w:val="auto"/>
              </w:rPr>
            </w:pPr>
            <w:r>
              <w:rPr>
                <w:rFonts w:ascii="Arial" w:cs="Arial" w:eastAsia="Arial" w:hAnsi="Arial"/>
                <w:sz w:val="13"/>
                <w:szCs w:val="13"/>
                <w:color w:val="auto"/>
              </w:rPr>
              <w:t>40,000</w:t>
            </w: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29.03</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w w:val="99"/>
              </w:rPr>
              <w:t>Marshalls / Ross Dress for Less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Beach-Anaheim, CA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Ulta / Michaels</w:t>
            </w: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Bell Gardens</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 Angeles-Long</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110,942</w:t>
            </w: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12,677</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22.24</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67,000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Food 4 Less</w:t>
            </w: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Marshalls / Ross Dress for Less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Beach-Anaheim, CA</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Bob's Discount Furniture</w:t>
            </w: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Colorado Blvd</w:t>
            </w:r>
          </w:p>
        </w:tc>
        <w:tc>
          <w:tcPr>
            <w:tcW w:w="40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Los Angeles-Long</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19,708</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61,000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47.20</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Pottery Barn / Banana Republic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Beach-Anaheim, CA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True Foods Kitchen</w:t>
            </w: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0"/>
              </w:rPr>
              <w:t>Crow Canyon Commons</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San Francisco-Oakland-</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90,212</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29.59</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32,000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Sprouts</w:t>
            </w: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Wine &amp; More / Rite Aid</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Hayward, CA</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East Bay Bridge</w:t>
            </w:r>
          </w:p>
        </w:tc>
        <w:tc>
          <w:tcPr>
            <w:tcW w:w="40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w w:val="92"/>
              </w:rPr>
              <w:t>San Francisco-Oakland-</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178,943</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32</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441,000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18.53</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59,000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w w:val="99"/>
              </w:rPr>
              <w:t>Pak-N-Save</w:t>
            </w: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w w:val="98"/>
              </w:rPr>
              <w:t>Home Depot / Target / Nordstrom</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Hayward, CA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Rack</w:t>
            </w: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7"/>
              </w:rPr>
              <w:t>Escondido Promenade</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San Diego-Carlsbad, CA</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52,888</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28.98</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TJ Maxx / Dick’s Sporting Goods /</w:t>
            </w:r>
          </w:p>
        </w:tc>
      </w:tr>
      <w:tr>
        <w:trPr>
          <w:trHeight w:val="135"/>
        </w:trPr>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Ross Dress For Less / Bob's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Discount Furniture</w:t>
            </w: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Fourth Street</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w w:val="92"/>
              </w:rPr>
              <w:t>San Francisco-Oakland-</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26,232</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71,000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73%</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73%</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30.69</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CB2</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Hayward, CA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89"/>
              </w:rPr>
              <w:t>Freedom Plaza (formerly</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 (7)</w:t>
            </w: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 Angeles-Long</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38,878</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32.07</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Blink Fitness</w:t>
            </w:r>
          </w:p>
        </w:tc>
      </w:tr>
      <w:tr>
        <w:trPr>
          <w:trHeight w:val="135"/>
        </w:trPr>
        <w:tc>
          <w:tcPr>
            <w:tcW w:w="1340" w:type="dxa"/>
            <w:vAlign w:val="bottom"/>
            <w:gridSpan w:val="4"/>
            <w:shd w:val="clear" w:color="auto" w:fill="CCEEFF"/>
          </w:tcPr>
          <w:p>
            <w:pPr>
              <w:ind w:left="40"/>
              <w:spacing w:after="0" w:line="135" w:lineRule="exact"/>
              <w:rPr>
                <w:sz w:val="20"/>
                <w:szCs w:val="20"/>
                <w:color w:val="auto"/>
              </w:rPr>
            </w:pPr>
            <w:r>
              <w:rPr>
                <w:rFonts w:ascii="Arial" w:cs="Arial" w:eastAsia="Arial" w:hAnsi="Arial"/>
                <w:sz w:val="13"/>
                <w:szCs w:val="13"/>
                <w:color w:val="auto"/>
                <w:w w:val="90"/>
              </w:rPr>
              <w:t>known as Jordan Downs</w:t>
            </w: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Beach-Anaheim, CA</w:t>
            </w:r>
          </w:p>
        </w:tc>
        <w:tc>
          <w:tcPr>
            <w:tcW w:w="6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r>
      <w:tr>
        <w:trPr>
          <w:trHeight w:val="17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Hastings Ranch Plaza</w:t>
            </w:r>
          </w:p>
        </w:tc>
        <w:tc>
          <w:tcPr>
            <w:tcW w:w="40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Los Angeles-Long</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22,831</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273,000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7.36</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Marshalls / HomeGoods / CVS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Beach-Anaheim, CA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Sears</w:t>
            </w: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 Angeles-Long</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51,965</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36.71</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 / L.A. Fitness / La La</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Beach-Anaheim, CA</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Land</w:t>
            </w: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Kings Court</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(6)</w:t>
            </w: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San Jose-Sunnyvale-</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11,580</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41.27</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31,000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Lunardi's</w:t>
            </w: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Santa Clara, CA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Jose-Sunnyvale-</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35,533</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42.21</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Anthropologie / Banana Republic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Santa Clara, CA</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Gap</w:t>
            </w: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Olivo at Mission Hills</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Los Angeles-Long</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79,649</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139,000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31.38</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w w:val="87"/>
              </w:rPr>
              <w:t>Target / 24 Hour Fitness / Ross Dress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Beach-Anaheim, CA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For Less</w:t>
            </w: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Plaza Del Sol</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 Angeles-Long</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17,936</w:t>
            </w: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8,230</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23.27</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Beach-Anaheim, CA</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w w:val="93"/>
              </w:rPr>
              <w:t>Plaza El Segundo / The</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Los Angeles-Long</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292,762</w:t>
            </w:r>
          </w:p>
        </w:tc>
        <w:tc>
          <w:tcPr>
            <w:tcW w:w="1060" w:type="dxa"/>
            <w:vAlign w:val="bottom"/>
          </w:tcPr>
          <w:p>
            <w:pPr>
              <w:jc w:val="right"/>
              <w:ind w:right="118"/>
              <w:spacing w:after="0" w:line="148" w:lineRule="exact"/>
              <w:rPr>
                <w:sz w:val="20"/>
                <w:szCs w:val="20"/>
                <w:color w:val="auto"/>
              </w:rPr>
            </w:pPr>
            <w:r>
              <w:rPr>
                <w:rFonts w:ascii="Arial" w:cs="Arial" w:eastAsia="Arial" w:hAnsi="Arial"/>
                <w:sz w:val="13"/>
                <w:szCs w:val="13"/>
                <w:color w:val="auto"/>
              </w:rPr>
              <w:t>125,000</w:t>
            </w: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502,000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44.23</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66,000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w w:val="91"/>
              </w:rPr>
              <w:t>Whole Foods</w:t>
            </w: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Nordstrom Rack / HomeGoods /</w:t>
            </w:r>
          </w:p>
        </w:tc>
      </w:tr>
      <w:tr>
        <w:trPr>
          <w:trHeight w:val="135"/>
        </w:trPr>
        <w:tc>
          <w:tcPr>
            <w:tcW w:w="134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Point</w:t>
            </w:r>
          </w:p>
        </w:tc>
        <w:tc>
          <w:tcPr>
            <w:tcW w:w="400" w:type="dxa"/>
            <w:vAlign w:val="bottom"/>
          </w:tcPr>
          <w:p>
            <w:pPr>
              <w:spacing w:after="0"/>
              <w:rPr>
                <w:sz w:val="11"/>
                <w:szCs w:val="11"/>
                <w:color w:val="auto"/>
              </w:rPr>
            </w:pPr>
          </w:p>
        </w:tc>
        <w:tc>
          <w:tcPr>
            <w:tcW w:w="1340" w:type="dxa"/>
            <w:vAlign w:val="bottom"/>
          </w:tcPr>
          <w:p>
            <w:pPr>
              <w:ind w:left="20"/>
              <w:spacing w:after="0" w:line="135" w:lineRule="exact"/>
              <w:rPr>
                <w:sz w:val="20"/>
                <w:szCs w:val="20"/>
                <w:color w:val="auto"/>
              </w:rPr>
            </w:pPr>
            <w:r>
              <w:rPr>
                <w:rFonts w:ascii="Arial" w:cs="Arial" w:eastAsia="Arial" w:hAnsi="Arial"/>
                <w:sz w:val="13"/>
                <w:szCs w:val="13"/>
                <w:color w:val="auto"/>
              </w:rPr>
              <w:t>Beach-Anaheim, CA</w:t>
            </w: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60" w:type="dxa"/>
            <w:vAlign w:val="bottom"/>
          </w:tcPr>
          <w:p>
            <w:pPr>
              <w:ind w:left="40"/>
              <w:spacing w:after="0" w:line="135" w:lineRule="exact"/>
              <w:rPr>
                <w:sz w:val="20"/>
                <w:szCs w:val="20"/>
                <w:color w:val="auto"/>
              </w:rPr>
            </w:pPr>
            <w:r>
              <w:rPr>
                <w:rFonts w:ascii="Arial" w:cs="Arial" w:eastAsia="Arial" w:hAnsi="Arial"/>
                <w:sz w:val="13"/>
                <w:szCs w:val="13"/>
                <w:color w:val="auto"/>
              </w:rPr>
              <w:t>Dick's Sporting Goods / Multiple</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Restaurants</w:t>
            </w: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San Antonio Center</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Jose-Sunnyvale-</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46,003</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15.90</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11,000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Trader Joe's</w:t>
            </w: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Walmart / 24 Hour Fitness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Santa Clara, CA</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Santana Row</w:t>
            </w:r>
          </w:p>
        </w:tc>
        <w:tc>
          <w:tcPr>
            <w:tcW w:w="40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San Jose-Sunnyvale-</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w w:val="89"/>
              </w:rPr>
              <w:t>1,050,264</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45</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895,000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55.26</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662</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w w:val="98"/>
              </w:rPr>
              <w:t>Crate &amp; Barrel / H&amp;M / Best Buy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Santa Clara, CA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Multiple Restaurants</w:t>
            </w: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Sylmar Towne Center</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 Angeles-Long</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43,837</w:t>
            </w: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16,630</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15.92</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43,000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Food 4 Less</w:t>
            </w: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Beach-Anaheim, CA</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w w:val="92"/>
              </w:rPr>
              <w:t>Third Street Promenade</w:t>
            </w:r>
          </w:p>
        </w:tc>
        <w:tc>
          <w:tcPr>
            <w:tcW w:w="40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Los Angeles-Long</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81,217</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209,000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90.68</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w w:val="89"/>
              </w:rPr>
              <w:t>adidas / Banana Republic / Old Navy</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Beach-Anaheim, CA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 J. Crew</w:t>
            </w: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Westgate Center</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 Jose-Sunnyvale-</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157,473</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19.72</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Target / Nordstrom Rack / Nike</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Santa Clara, CA</w:t>
            </w:r>
          </w:p>
        </w:tc>
        <w:tc>
          <w:tcPr>
            <w:tcW w:w="620" w:type="dxa"/>
            <w:vAlign w:val="bottom"/>
            <w:tcBorders>
              <w:bottom w:val="single" w:sz="8" w:color="auto"/>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Factory / TJ Maxx</w:t>
            </w: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Total California</w:t>
            </w:r>
          </w:p>
        </w:tc>
        <w:tc>
          <w:tcPr>
            <w:tcW w:w="620" w:type="dxa"/>
            <w:vAlign w:val="bottom"/>
          </w:tcPr>
          <w:p>
            <w:pPr>
              <w:jc w:val="right"/>
              <w:ind w:right="18"/>
              <w:spacing w:after="0"/>
              <w:rPr>
                <w:sz w:val="20"/>
                <w:szCs w:val="20"/>
                <w:color w:val="auto"/>
              </w:rPr>
            </w:pPr>
            <w:r>
              <w:rPr>
                <w:rFonts w:ascii="Arial" w:cs="Arial" w:eastAsia="Arial" w:hAnsi="Arial"/>
                <w:sz w:val="13"/>
                <w:szCs w:val="13"/>
                <w:color w:val="auto"/>
                <w:w w:val="89"/>
              </w:rPr>
              <w:t>2,516,186</w:t>
            </w:r>
          </w:p>
        </w:tc>
        <w:tc>
          <w:tcPr>
            <w:tcW w:w="106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364</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5,119,000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jc w:val="right"/>
              <w:spacing w:after="0"/>
              <w:rPr>
                <w:sz w:val="20"/>
                <w:szCs w:val="20"/>
                <w:color w:val="auto"/>
              </w:rPr>
            </w:pPr>
            <w:r>
              <w:rPr>
                <w:rFonts w:ascii="Arial" w:cs="Arial" w:eastAsia="Arial" w:hAnsi="Arial"/>
                <w:sz w:val="13"/>
                <w:szCs w:val="13"/>
                <w:color w:val="auto"/>
              </w:rPr>
              <w:t>95%</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34.10</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43"/>
        </w:trPr>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16"/>
        </w:trPr>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149"/>
        </w:trPr>
        <w:tc>
          <w:tcPr>
            <w:tcW w:w="40" w:type="dxa"/>
            <w:vAlign w:val="bottom"/>
          </w:tcPr>
          <w:p>
            <w:pPr>
              <w:spacing w:after="0"/>
              <w:rPr>
                <w:sz w:val="12"/>
                <w:szCs w:val="12"/>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w w:val="92"/>
              </w:rPr>
              <w:t>NY Metro/New Jersey</w:t>
            </w: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148"/>
        </w:trPr>
        <w:tc>
          <w:tcPr>
            <w:tcW w:w="134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Brick Plaza</w:t>
            </w: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New York-Newark-</w:t>
            </w:r>
          </w:p>
        </w:tc>
        <w:tc>
          <w:tcPr>
            <w:tcW w:w="620" w:type="dxa"/>
            <w:vAlign w:val="bottom"/>
            <w:shd w:val="clear" w:color="auto" w:fill="CCEEFF"/>
          </w:tcPr>
          <w:p>
            <w:pPr>
              <w:jc w:val="right"/>
              <w:ind w:right="18"/>
              <w:spacing w:after="0" w:line="148" w:lineRule="exact"/>
              <w:rPr>
                <w:sz w:val="20"/>
                <w:szCs w:val="20"/>
                <w:color w:val="auto"/>
              </w:rPr>
            </w:pPr>
            <w:r>
              <w:rPr>
                <w:rFonts w:ascii="Arial" w:cs="Arial" w:eastAsia="Arial" w:hAnsi="Arial"/>
                <w:sz w:val="13"/>
                <w:szCs w:val="13"/>
                <w:color w:val="auto"/>
              </w:rPr>
              <w:t>96,765</w:t>
            </w: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46</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409,000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82%</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82%</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22.50</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14,000</w:t>
            </w:r>
          </w:p>
        </w:tc>
        <w:tc>
          <w:tcPr>
            <w:tcW w:w="7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7"/>
              </w:rPr>
              <w:t>Trader Joe's</w:t>
            </w:r>
          </w:p>
        </w:tc>
        <w:tc>
          <w:tcPr>
            <w:tcW w:w="19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AMC / HomeGoods / Ulta / L.A.</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Jersey City, NY-NJ-PA</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Fitness</w:t>
            </w: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Brook 35</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90"/>
              </w:rPr>
              <w:t>(5) (6)</w:t>
            </w: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New York-Newark-</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48,275</w:t>
            </w:r>
          </w:p>
        </w:tc>
        <w:tc>
          <w:tcPr>
            <w:tcW w:w="1060" w:type="dxa"/>
            <w:vAlign w:val="bottom"/>
          </w:tcPr>
          <w:p>
            <w:pPr>
              <w:jc w:val="right"/>
              <w:ind w:right="118"/>
              <w:spacing w:after="0" w:line="148" w:lineRule="exact"/>
              <w:rPr>
                <w:sz w:val="20"/>
                <w:szCs w:val="20"/>
                <w:color w:val="auto"/>
              </w:rPr>
            </w:pPr>
            <w:r>
              <w:rPr>
                <w:rFonts w:ascii="Arial" w:cs="Arial" w:eastAsia="Arial" w:hAnsi="Arial"/>
                <w:sz w:val="13"/>
                <w:szCs w:val="13"/>
                <w:color w:val="auto"/>
              </w:rPr>
              <w:t>11,500</w:t>
            </w: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99,000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38.58</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w w:val="95"/>
              </w:rPr>
              <w:t>Banana Republic / Gap / Williams-</w:t>
            </w:r>
          </w:p>
        </w:tc>
      </w:tr>
      <w:tr>
        <w:trPr>
          <w:trHeight w:val="160"/>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w w:val="98"/>
              </w:rPr>
              <w:t>Jersey City, NY-NJ-PA</w:t>
            </w: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Sonoma</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20" w:right="239" w:bottom="1440" w:gutter="0" w:footer="0" w:header="0"/>
        </w:sectPr>
      </w:pPr>
    </w:p>
    <w:bookmarkStart w:id="26" w:name="page27"/>
    <w:bookmarkEnd w:id="26"/>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1"/>
              </w:rPr>
              <w:t>Average</w:t>
            </w:r>
          </w:p>
        </w:tc>
        <w:tc>
          <w:tcPr>
            <w:tcW w:w="70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b w:val="1"/>
                <w:bCs w:val="1"/>
                <w:color w:val="auto"/>
                <w:w w:val="92"/>
              </w:rPr>
              <w:t>Grocery</w:t>
            </w:r>
          </w:p>
        </w:tc>
        <w:tc>
          <w:tcPr>
            <w:tcW w:w="76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Leased</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2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6"/>
              </w:rPr>
              <w:t>Anchor</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1960" w:type="dxa"/>
            <w:vAlign w:val="bottom"/>
          </w:tcPr>
          <w:p>
            <w:pPr>
              <w:spacing w:after="0"/>
              <w:rPr>
                <w:sz w:val="11"/>
                <w:szCs w:val="11"/>
                <w:color w:val="auto"/>
              </w:rPr>
            </w:pPr>
          </w:p>
        </w:tc>
      </w:tr>
      <w:tr>
        <w:trPr>
          <w:trHeight w:val="174"/>
        </w:trPr>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MSA Description</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Acreage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(3)</w:t>
            </w: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Anchor</w:t>
            </w:r>
          </w:p>
        </w:tc>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6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6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48"/>
        </w:trPr>
        <w:tc>
          <w:tcPr>
            <w:tcW w:w="130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Darien</w:t>
            </w:r>
          </w:p>
        </w:tc>
        <w:tc>
          <w:tcPr>
            <w:tcW w:w="4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Bridgeport-Stamford-</w:t>
            </w:r>
          </w:p>
        </w:tc>
        <w:tc>
          <w:tcPr>
            <w:tcW w:w="62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57,105</w:t>
            </w: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9</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29.66</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w:t>
            </w:r>
          </w:p>
        </w:tc>
        <w:tc>
          <w:tcPr>
            <w:tcW w:w="5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45,000</w:t>
            </w:r>
          </w:p>
        </w:tc>
        <w:tc>
          <w:tcPr>
            <w:tcW w:w="7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Stop &amp; Shop</w:t>
            </w:r>
          </w:p>
        </w:tc>
        <w:tc>
          <w:tcPr>
            <w:tcW w:w="19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Equinox / Walgreens</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Norwalk, CT</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Fresh Meadows</w:t>
            </w:r>
          </w:p>
        </w:tc>
        <w:tc>
          <w:tcPr>
            <w:tcW w:w="440" w:type="dxa"/>
            <w:vAlign w:val="bottom"/>
          </w:tcPr>
          <w:p>
            <w:pPr>
              <w:spacing w:after="0"/>
              <w:rPr>
                <w:sz w:val="12"/>
                <w:szCs w:val="12"/>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New York-Newark-</w:t>
            </w:r>
          </w:p>
        </w:tc>
        <w:tc>
          <w:tcPr>
            <w:tcW w:w="6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93,177</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404,000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35.40</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15,000</w:t>
            </w:r>
          </w:p>
        </w:tc>
        <w:tc>
          <w:tcPr>
            <w:tcW w:w="27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Island of Gold AMC / Kohl's / Michaels</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color w:val="auto"/>
                <w:w w:val="97"/>
              </w:rPr>
              <w:t>Jersey City, NY-NJ-PA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0"/>
              </w:rPr>
              <w:t>Georgetowne Shopping</w:t>
            </w:r>
          </w:p>
        </w:tc>
        <w:tc>
          <w:tcPr>
            <w:tcW w:w="4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 York-Newark-</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81,787</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39.98</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43,000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Fairway</w:t>
            </w: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Five Below / IHOP</w:t>
            </w:r>
          </w:p>
        </w:tc>
      </w:tr>
      <w:tr>
        <w:trPr>
          <w:trHeight w:val="176"/>
        </w:trPr>
        <w:tc>
          <w:tcPr>
            <w:tcW w:w="1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4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7"/>
              </w:rPr>
              <w:t>Jersey City, NY-NJ-PA</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Market</w:t>
            </w:r>
          </w:p>
        </w:tc>
        <w:tc>
          <w:tcPr>
            <w:tcW w:w="1960" w:type="dxa"/>
            <w:vAlign w:val="bottom"/>
            <w:shd w:val="clear" w:color="auto" w:fill="CCEEFF"/>
          </w:tcPr>
          <w:p>
            <w:pPr>
              <w:spacing w:after="0"/>
              <w:rPr>
                <w:sz w:val="15"/>
                <w:szCs w:val="15"/>
                <w:color w:val="auto"/>
              </w:rPr>
            </w:pPr>
          </w:p>
        </w:tc>
      </w:tr>
      <w:tr>
        <w:trPr>
          <w:trHeight w:val="148"/>
        </w:trPr>
        <w:tc>
          <w:tcPr>
            <w:tcW w:w="13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Greenlawn Plaza</w:t>
            </w:r>
          </w:p>
        </w:tc>
        <w:tc>
          <w:tcPr>
            <w:tcW w:w="440" w:type="dxa"/>
            <w:vAlign w:val="bottom"/>
          </w:tcPr>
          <w:p>
            <w:pPr>
              <w:spacing w:after="0"/>
              <w:rPr>
                <w:sz w:val="12"/>
                <w:szCs w:val="12"/>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New York-Newark-</w:t>
            </w:r>
          </w:p>
        </w:tc>
        <w:tc>
          <w:tcPr>
            <w:tcW w:w="6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31,871</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106,000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19.02</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46,000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Greenlawn</w:t>
            </w:r>
          </w:p>
        </w:tc>
        <w:tc>
          <w:tcPr>
            <w:tcW w:w="1960" w:type="dxa"/>
            <w:vAlign w:val="bottom"/>
          </w:tcPr>
          <w:p>
            <w:pPr>
              <w:ind w:left="60"/>
              <w:spacing w:after="0" w:line="148" w:lineRule="exact"/>
              <w:rPr>
                <w:sz w:val="20"/>
                <w:szCs w:val="20"/>
                <w:color w:val="auto"/>
              </w:rPr>
            </w:pPr>
            <w:r>
              <w:rPr>
                <w:rFonts w:ascii="Arial" w:cs="Arial" w:eastAsia="Arial" w:hAnsi="Arial"/>
                <w:sz w:val="13"/>
                <w:szCs w:val="13"/>
                <w:color w:val="auto"/>
              </w:rPr>
              <w:t>Tuesday Morning</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color w:val="auto"/>
                <w:w w:val="97"/>
              </w:rPr>
              <w:t>Jersey City, NY-NJ-PA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Farms</w:t>
            </w:r>
          </w:p>
        </w:tc>
        <w:tc>
          <w:tcPr>
            <w:tcW w:w="1960" w:type="dxa"/>
            <w:vAlign w:val="bottom"/>
          </w:tcPr>
          <w:p>
            <w:pPr>
              <w:spacing w:after="0"/>
              <w:rPr>
                <w:sz w:val="14"/>
                <w:szCs w:val="14"/>
                <w:color w:val="auto"/>
              </w:rPr>
            </w:pPr>
          </w:p>
        </w:tc>
      </w:tr>
      <w:tr>
        <w:trPr>
          <w:trHeight w:val="156"/>
        </w:trPr>
        <w:tc>
          <w:tcPr>
            <w:tcW w:w="1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Greenwich Avenue</w:t>
            </w:r>
          </w:p>
        </w:tc>
        <w:tc>
          <w:tcPr>
            <w:tcW w:w="4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Bridgeport-Stamford-</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23,748</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96.19</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Saks Fifth Avenue</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Norwalk, CT</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Hauppauge</w:t>
            </w:r>
          </w:p>
        </w:tc>
        <w:tc>
          <w:tcPr>
            <w:tcW w:w="440" w:type="dxa"/>
            <w:vAlign w:val="bottom"/>
          </w:tcPr>
          <w:p>
            <w:pPr>
              <w:spacing w:after="0"/>
              <w:rPr>
                <w:sz w:val="12"/>
                <w:szCs w:val="12"/>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New York-Newark-</w:t>
            </w:r>
          </w:p>
        </w:tc>
        <w:tc>
          <w:tcPr>
            <w:tcW w:w="6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29,441</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133,000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33.60</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61,000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Shop Rite</w:t>
            </w:r>
          </w:p>
        </w:tc>
        <w:tc>
          <w:tcPr>
            <w:tcW w:w="19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color w:val="auto"/>
                <w:w w:val="97"/>
              </w:rPr>
              <w:t>Jersey City, NY-NJ-PA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Hoboken</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 York-Newark-</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197,242</w:t>
            </w: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97,951</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54.99</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New York Sports Club /</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w:t>
            </w: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7"/>
              </w:rPr>
              <w:t>Jersey City, NY-NJ-PA</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Sephora / Multiple Restaurants</w:t>
            </w:r>
          </w:p>
        </w:tc>
      </w:tr>
      <w:tr>
        <w:trPr>
          <w:trHeight w:val="148"/>
        </w:trPr>
        <w:tc>
          <w:tcPr>
            <w:tcW w:w="13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Huntington</w:t>
            </w:r>
          </w:p>
        </w:tc>
        <w:tc>
          <w:tcPr>
            <w:tcW w:w="440" w:type="dxa"/>
            <w:vAlign w:val="bottom"/>
          </w:tcPr>
          <w:p>
            <w:pPr>
              <w:spacing w:after="0"/>
              <w:rPr>
                <w:sz w:val="12"/>
                <w:szCs w:val="12"/>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New York-Newark-</w:t>
            </w:r>
          </w:p>
        </w:tc>
        <w:tc>
          <w:tcPr>
            <w:tcW w:w="6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46,686</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263,000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81%</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23.84</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ind w:left="60"/>
              <w:spacing w:after="0" w:line="148" w:lineRule="exact"/>
              <w:rPr>
                <w:sz w:val="20"/>
                <w:szCs w:val="20"/>
                <w:color w:val="auto"/>
              </w:rPr>
            </w:pPr>
            <w:r>
              <w:rPr>
                <w:rFonts w:ascii="Arial" w:cs="Arial" w:eastAsia="Arial" w:hAnsi="Arial"/>
                <w:sz w:val="13"/>
                <w:szCs w:val="13"/>
                <w:color w:val="auto"/>
                <w:w w:val="97"/>
              </w:rPr>
              <w:t>Nordstrom Rack / Buy Buy Baby /</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color w:val="auto"/>
                <w:w w:val="97"/>
              </w:rPr>
              <w:t>Jersey City, NY-NJ-PA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ind w:left="60"/>
              <w:spacing w:after="0"/>
              <w:rPr>
                <w:sz w:val="20"/>
                <w:szCs w:val="20"/>
                <w:color w:val="auto"/>
              </w:rPr>
            </w:pPr>
            <w:r>
              <w:rPr>
                <w:rFonts w:ascii="Arial" w:cs="Arial" w:eastAsia="Arial" w:hAnsi="Arial"/>
                <w:sz w:val="13"/>
                <w:szCs w:val="13"/>
                <w:color w:val="auto"/>
              </w:rPr>
              <w:t>Michaels / Ulta</w:t>
            </w:r>
          </w:p>
        </w:tc>
      </w:tr>
      <w:tr>
        <w:trPr>
          <w:trHeight w:val="156"/>
        </w:trPr>
        <w:tc>
          <w:tcPr>
            <w:tcW w:w="1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Huntington Square</w:t>
            </w:r>
          </w:p>
        </w:tc>
        <w:tc>
          <w:tcPr>
            <w:tcW w:w="4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 York-Newark-</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13,223</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29.46</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Barnes &amp; Noble</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7"/>
              </w:rPr>
              <w:t>Jersey City, NY-NJ-PA</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Melville Mall</w:t>
            </w:r>
          </w:p>
        </w:tc>
        <w:tc>
          <w:tcPr>
            <w:tcW w:w="440" w:type="dxa"/>
            <w:vAlign w:val="bottom"/>
          </w:tcPr>
          <w:p>
            <w:pPr>
              <w:spacing w:after="0"/>
              <w:rPr>
                <w:sz w:val="12"/>
                <w:szCs w:val="12"/>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New York-Newark-</w:t>
            </w:r>
          </w:p>
        </w:tc>
        <w:tc>
          <w:tcPr>
            <w:tcW w:w="6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99,954</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239,000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26.10</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53,000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Uncle</w:t>
            </w:r>
          </w:p>
        </w:tc>
        <w:tc>
          <w:tcPr>
            <w:tcW w:w="1960" w:type="dxa"/>
            <w:vAlign w:val="bottom"/>
          </w:tcPr>
          <w:p>
            <w:pPr>
              <w:ind w:left="60"/>
              <w:spacing w:after="0" w:line="148" w:lineRule="exact"/>
              <w:rPr>
                <w:sz w:val="20"/>
                <w:szCs w:val="20"/>
                <w:color w:val="auto"/>
              </w:rPr>
            </w:pPr>
            <w:r>
              <w:rPr>
                <w:rFonts w:ascii="Arial" w:cs="Arial" w:eastAsia="Arial" w:hAnsi="Arial"/>
                <w:sz w:val="13"/>
                <w:szCs w:val="13"/>
                <w:color w:val="auto"/>
                <w:w w:val="93"/>
              </w:rPr>
              <w:t>Marshalls / Dick's Sporting Goods /</w:t>
            </w: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7"/>
              </w:rPr>
              <w:t>Jersey City, NY-NJ-PA</w:t>
            </w: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color w:val="auto"/>
              </w:rPr>
              <w:t>Giuseppe's</w:t>
            </w:r>
          </w:p>
        </w:tc>
        <w:tc>
          <w:tcPr>
            <w:tcW w:w="1960" w:type="dxa"/>
            <w:vAlign w:val="bottom"/>
          </w:tcPr>
          <w:p>
            <w:pPr>
              <w:ind w:left="60"/>
              <w:spacing w:after="0" w:line="135" w:lineRule="exact"/>
              <w:rPr>
                <w:sz w:val="20"/>
                <w:szCs w:val="20"/>
                <w:color w:val="auto"/>
              </w:rPr>
            </w:pPr>
            <w:r>
              <w:rPr>
                <w:rFonts w:ascii="Arial" w:cs="Arial" w:eastAsia="Arial" w:hAnsi="Arial"/>
                <w:sz w:val="13"/>
                <w:szCs w:val="13"/>
                <w:color w:val="auto"/>
                <w:w w:val="93"/>
              </w:rPr>
              <w:t>Field &amp; Stream / Macy's Backstage</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w w:val="98"/>
              </w:rPr>
              <w:t>Marketplace</w:t>
            </w:r>
          </w:p>
        </w:tc>
        <w:tc>
          <w:tcPr>
            <w:tcW w:w="1960" w:type="dxa"/>
            <w:vAlign w:val="bottom"/>
          </w:tcPr>
          <w:p>
            <w:pPr>
              <w:spacing w:after="0"/>
              <w:rPr>
                <w:sz w:val="14"/>
                <w:szCs w:val="14"/>
                <w:color w:val="auto"/>
              </w:rPr>
            </w:pPr>
          </w:p>
        </w:tc>
      </w:tr>
      <w:tr>
        <w:trPr>
          <w:trHeight w:val="156"/>
        </w:trPr>
        <w:tc>
          <w:tcPr>
            <w:tcW w:w="1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Mercer Mall</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Trenton, NJ</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129,139</w:t>
            </w: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55,390</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24.86</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75,000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Shop Rite</w:t>
            </w: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7"/>
              </w:rPr>
              <w:t>Ross Dress For Less / Nordstrom</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8"/>
              </w:rPr>
              <w:t>Rack / Bed, Bath &amp; Beyond / REI</w:t>
            </w:r>
          </w:p>
        </w:tc>
      </w:tr>
      <w:tr>
        <w:trPr>
          <w:trHeight w:val="148"/>
        </w:trPr>
        <w:tc>
          <w:tcPr>
            <w:tcW w:w="13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The Grove at</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90"/>
              </w:rPr>
              <w:t>(5) (6)</w:t>
            </w:r>
          </w:p>
        </w:tc>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New York-Newark-</w:t>
            </w:r>
          </w:p>
        </w:tc>
        <w:tc>
          <w:tcPr>
            <w:tcW w:w="6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126,550</w:t>
            </w:r>
          </w:p>
        </w:tc>
        <w:tc>
          <w:tcPr>
            <w:tcW w:w="1060" w:type="dxa"/>
            <w:vAlign w:val="bottom"/>
          </w:tcPr>
          <w:p>
            <w:pPr>
              <w:jc w:val="right"/>
              <w:ind w:right="118"/>
              <w:spacing w:after="0" w:line="148" w:lineRule="exact"/>
              <w:rPr>
                <w:sz w:val="20"/>
                <w:szCs w:val="20"/>
                <w:color w:val="auto"/>
              </w:rPr>
            </w:pPr>
            <w:r>
              <w:rPr>
                <w:rFonts w:ascii="Arial" w:cs="Arial" w:eastAsia="Arial" w:hAnsi="Arial"/>
                <w:sz w:val="13"/>
                <w:szCs w:val="13"/>
                <w:color w:val="auto"/>
              </w:rPr>
              <w:t>43,600</w:t>
            </w: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192,000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48.29</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ind w:left="60"/>
              <w:spacing w:after="0" w:line="148" w:lineRule="exact"/>
              <w:rPr>
                <w:sz w:val="20"/>
                <w:szCs w:val="20"/>
                <w:color w:val="auto"/>
              </w:rPr>
            </w:pPr>
            <w:r>
              <w:rPr>
                <w:rFonts w:ascii="Arial" w:cs="Arial" w:eastAsia="Arial" w:hAnsi="Arial"/>
                <w:sz w:val="13"/>
                <w:szCs w:val="13"/>
                <w:color w:val="auto"/>
                <w:w w:val="92"/>
              </w:rPr>
              <w:t>Lululemon / Anthropologie / Pottery</w:t>
            </w:r>
          </w:p>
        </w:tc>
      </w:tr>
      <w:tr>
        <w:trPr>
          <w:trHeight w:val="168"/>
        </w:trPr>
        <w:tc>
          <w:tcPr>
            <w:tcW w:w="1300" w:type="dxa"/>
            <w:vAlign w:val="bottom"/>
            <w:gridSpan w:val="2"/>
          </w:tcPr>
          <w:p>
            <w:pPr>
              <w:ind w:left="40"/>
              <w:spacing w:after="0"/>
              <w:rPr>
                <w:sz w:val="20"/>
                <w:szCs w:val="20"/>
                <w:color w:val="auto"/>
              </w:rPr>
            </w:pPr>
            <w:r>
              <w:rPr>
                <w:rFonts w:ascii="Arial" w:cs="Arial" w:eastAsia="Arial" w:hAnsi="Arial"/>
                <w:sz w:val="13"/>
                <w:szCs w:val="13"/>
                <w:color w:val="auto"/>
              </w:rPr>
              <w:t>Shrewsbury</w:t>
            </w:r>
          </w:p>
        </w:tc>
        <w:tc>
          <w:tcPr>
            <w:tcW w:w="4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color w:val="auto"/>
                <w:w w:val="97"/>
              </w:rPr>
              <w:t>Jersey City, NY-NJ-PA</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ind w:left="60"/>
              <w:spacing w:after="0"/>
              <w:rPr>
                <w:sz w:val="20"/>
                <w:szCs w:val="20"/>
                <w:color w:val="auto"/>
              </w:rPr>
            </w:pPr>
            <w:r>
              <w:rPr>
                <w:rFonts w:ascii="Arial" w:cs="Arial" w:eastAsia="Arial" w:hAnsi="Arial"/>
                <w:sz w:val="13"/>
                <w:szCs w:val="13"/>
                <w:color w:val="auto"/>
              </w:rPr>
              <w:t>Barn / Williams-Sonoma</w:t>
            </w:r>
          </w:p>
        </w:tc>
      </w:tr>
      <w:tr>
        <w:trPr>
          <w:trHeight w:val="156"/>
        </w:trPr>
        <w:tc>
          <w:tcPr>
            <w:tcW w:w="1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Troy</w:t>
            </w:r>
          </w:p>
        </w:tc>
        <w:tc>
          <w:tcPr>
            <w:tcW w:w="4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 York-Newark-</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40,974</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23.30</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Target / L.A. Fitness / Michaels</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7"/>
              </w:rPr>
              <w:t>Jersey City, NY-NJ-PA</w:t>
            </w:r>
          </w:p>
        </w:tc>
        <w:tc>
          <w:tcPr>
            <w:tcW w:w="620" w:type="dxa"/>
            <w:vAlign w:val="bottom"/>
            <w:tcBorders>
              <w:bottom w:val="single" w:sz="8" w:color="auto"/>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Total NY Metro/New Jersey</w:t>
            </w:r>
          </w:p>
        </w:tc>
        <w:tc>
          <w:tcPr>
            <w:tcW w:w="620" w:type="dxa"/>
            <w:vAlign w:val="bottom"/>
          </w:tcPr>
          <w:p>
            <w:pPr>
              <w:jc w:val="right"/>
              <w:ind w:right="18"/>
              <w:spacing w:after="0"/>
              <w:rPr>
                <w:sz w:val="20"/>
                <w:szCs w:val="20"/>
                <w:color w:val="auto"/>
              </w:rPr>
            </w:pPr>
            <w:r>
              <w:rPr>
                <w:rFonts w:ascii="Arial" w:cs="Arial" w:eastAsia="Arial" w:hAnsi="Arial"/>
                <w:sz w:val="13"/>
                <w:szCs w:val="13"/>
                <w:color w:val="auto"/>
                <w:w w:val="89"/>
              </w:rPr>
              <w:t>1,115,937</w:t>
            </w:r>
          </w:p>
        </w:tc>
        <w:tc>
          <w:tcPr>
            <w:tcW w:w="106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274</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3,113,000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580" w:type="dxa"/>
            <w:vAlign w:val="bottom"/>
          </w:tcPr>
          <w:p>
            <w:pPr>
              <w:jc w:val="right"/>
              <w:spacing w:after="0"/>
              <w:rPr>
                <w:sz w:val="20"/>
                <w:szCs w:val="20"/>
                <w:color w:val="auto"/>
              </w:rPr>
            </w:pPr>
            <w:r>
              <w:rPr>
                <w:rFonts w:ascii="Arial" w:cs="Arial" w:eastAsia="Arial" w:hAnsi="Arial"/>
                <w:sz w:val="13"/>
                <w:szCs w:val="13"/>
                <w:color w:val="auto"/>
              </w:rPr>
              <w:t>92%</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31.48</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43"/>
        </w:trPr>
        <w:tc>
          <w:tcPr>
            <w:tcW w:w="40" w:type="dxa"/>
            <w:vAlign w:val="bottom"/>
          </w:tcPr>
          <w:p>
            <w:pPr>
              <w:spacing w:after="0"/>
              <w:rPr>
                <w:sz w:val="3"/>
                <w:szCs w:val="3"/>
                <w:color w:val="auto"/>
              </w:rPr>
            </w:pPr>
          </w:p>
        </w:tc>
        <w:tc>
          <w:tcPr>
            <w:tcW w:w="1780" w:type="dxa"/>
            <w:vAlign w:val="bottom"/>
            <w:gridSpan w:val="3"/>
          </w:tcPr>
          <w:p>
            <w:pPr>
              <w:spacing w:after="0"/>
              <w:rPr>
                <w:sz w:val="3"/>
                <w:szCs w:val="3"/>
                <w:color w:val="auto"/>
              </w:rPr>
            </w:pPr>
          </w:p>
        </w:tc>
        <w:tc>
          <w:tcPr>
            <w:tcW w:w="1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16"/>
        </w:trPr>
        <w:tc>
          <w:tcPr>
            <w:tcW w:w="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149"/>
        </w:trPr>
        <w:tc>
          <w:tcPr>
            <w:tcW w:w="40" w:type="dxa"/>
            <w:vAlign w:val="bottom"/>
          </w:tcPr>
          <w:p>
            <w:pPr>
              <w:spacing w:after="0"/>
              <w:rPr>
                <w:sz w:val="12"/>
                <w:szCs w:val="12"/>
                <w:color w:val="auto"/>
              </w:rPr>
            </w:pPr>
          </w:p>
        </w:tc>
        <w:tc>
          <w:tcPr>
            <w:tcW w:w="3040" w:type="dxa"/>
            <w:vAlign w:val="bottom"/>
            <w:gridSpan w:val="4"/>
          </w:tcPr>
          <w:p>
            <w:pPr>
              <w:jc w:val="right"/>
              <w:ind w:right="1260"/>
              <w:spacing w:after="0"/>
              <w:rPr>
                <w:sz w:val="20"/>
                <w:szCs w:val="20"/>
                <w:color w:val="auto"/>
              </w:rPr>
            </w:pPr>
            <w:r>
              <w:rPr>
                <w:rFonts w:ascii="Arial" w:cs="Arial" w:eastAsia="Arial" w:hAnsi="Arial"/>
                <w:sz w:val="13"/>
                <w:szCs w:val="13"/>
                <w:b w:val="1"/>
                <w:bCs w:val="1"/>
                <w:color w:val="auto"/>
                <w:w w:val="92"/>
              </w:rPr>
              <w:t>Philadelphia Metropolitan Area</w:t>
            </w: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48"/>
        </w:trPr>
        <w:tc>
          <w:tcPr>
            <w:tcW w:w="4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148"/>
        </w:trPr>
        <w:tc>
          <w:tcPr>
            <w:tcW w:w="130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Andorra</w:t>
            </w:r>
          </w:p>
        </w:tc>
        <w:tc>
          <w:tcPr>
            <w:tcW w:w="4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9"/>
              </w:rPr>
              <w:t>Philadelphia-Camden-</w:t>
            </w:r>
          </w:p>
        </w:tc>
        <w:tc>
          <w:tcPr>
            <w:tcW w:w="62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26,496</w:t>
            </w: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22</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83%</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14.52</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24,000</w:t>
            </w:r>
          </w:p>
        </w:tc>
        <w:tc>
          <w:tcPr>
            <w:tcW w:w="7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Acme</w:t>
            </w:r>
          </w:p>
        </w:tc>
        <w:tc>
          <w:tcPr>
            <w:tcW w:w="19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Kohl's / L.A. Fitness / Staples</w:t>
            </w:r>
          </w:p>
        </w:tc>
      </w:tr>
      <w:tr>
        <w:trPr>
          <w:trHeight w:val="135"/>
        </w:trPr>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Wilmington, PA-NJ-DE-</w:t>
            </w:r>
          </w:p>
        </w:tc>
        <w:tc>
          <w:tcPr>
            <w:tcW w:w="6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Markets</w:t>
            </w:r>
          </w:p>
        </w:tc>
        <w:tc>
          <w:tcPr>
            <w:tcW w:w="19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Bala Cynwyd</w:t>
            </w:r>
          </w:p>
        </w:tc>
        <w:tc>
          <w:tcPr>
            <w:tcW w:w="440" w:type="dxa"/>
            <w:vAlign w:val="bottom"/>
          </w:tcPr>
          <w:p>
            <w:pPr>
              <w:spacing w:after="0"/>
              <w:rPr>
                <w:sz w:val="12"/>
                <w:szCs w:val="12"/>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9"/>
              </w:rPr>
              <w:t>Philadelphia-Camden-</w:t>
            </w:r>
          </w:p>
        </w:tc>
        <w:tc>
          <w:tcPr>
            <w:tcW w:w="6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57,206</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294,000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25.03</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45,000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Acme</w:t>
            </w:r>
          </w:p>
        </w:tc>
        <w:tc>
          <w:tcPr>
            <w:tcW w:w="1960" w:type="dxa"/>
            <w:vAlign w:val="bottom"/>
          </w:tcPr>
          <w:p>
            <w:pPr>
              <w:ind w:left="60"/>
              <w:spacing w:after="0" w:line="148" w:lineRule="exact"/>
              <w:rPr>
                <w:sz w:val="20"/>
                <w:szCs w:val="20"/>
                <w:color w:val="auto"/>
              </w:rPr>
            </w:pPr>
            <w:r>
              <w:rPr>
                <w:rFonts w:ascii="Arial" w:cs="Arial" w:eastAsia="Arial" w:hAnsi="Arial"/>
                <w:sz w:val="13"/>
                <w:szCs w:val="13"/>
                <w:color w:val="auto"/>
              </w:rPr>
              <w:t>Lord &amp; Taylor / Michaels / L.A.</w:t>
            </w: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4"/>
              </w:rPr>
              <w:t>Wilmington, PA-NJ-DE-</w:t>
            </w: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color w:val="auto"/>
              </w:rPr>
              <w:t>Markets</w:t>
            </w:r>
          </w:p>
        </w:tc>
        <w:tc>
          <w:tcPr>
            <w:tcW w:w="1960" w:type="dxa"/>
            <w:vAlign w:val="bottom"/>
          </w:tcPr>
          <w:p>
            <w:pPr>
              <w:ind w:left="60"/>
              <w:spacing w:after="0" w:line="135" w:lineRule="exact"/>
              <w:rPr>
                <w:sz w:val="20"/>
                <w:szCs w:val="20"/>
                <w:color w:val="auto"/>
              </w:rPr>
            </w:pPr>
            <w:r>
              <w:rPr>
                <w:rFonts w:ascii="Arial" w:cs="Arial" w:eastAsia="Arial" w:hAnsi="Arial"/>
                <w:sz w:val="13"/>
                <w:szCs w:val="13"/>
                <w:color w:val="auto"/>
              </w:rPr>
              <w:t>Fitness</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Ellisburg</w:t>
            </w:r>
          </w:p>
        </w:tc>
        <w:tc>
          <w:tcPr>
            <w:tcW w:w="4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Philadelphia-Camden-</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34,614</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16.70</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47,000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Whole Foods</w:t>
            </w: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Buy Baby / Stein Mart</w:t>
            </w:r>
          </w:p>
        </w:tc>
      </w:tr>
      <w:tr>
        <w:trPr>
          <w:trHeight w:val="135"/>
        </w:trPr>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Wilmington, PA-NJ-DE-</w:t>
            </w:r>
          </w:p>
        </w:tc>
        <w:tc>
          <w:tcPr>
            <w:tcW w:w="6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Flourtown</w:t>
            </w:r>
          </w:p>
        </w:tc>
        <w:tc>
          <w:tcPr>
            <w:tcW w:w="440" w:type="dxa"/>
            <w:vAlign w:val="bottom"/>
          </w:tcPr>
          <w:p>
            <w:pPr>
              <w:spacing w:after="0"/>
              <w:rPr>
                <w:sz w:val="12"/>
                <w:szCs w:val="12"/>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9"/>
              </w:rPr>
              <w:t>Philadelphia-Camden-</w:t>
            </w:r>
          </w:p>
        </w:tc>
        <w:tc>
          <w:tcPr>
            <w:tcW w:w="6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17,083</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156,000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23.11</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75,000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Giant Food</w:t>
            </w:r>
          </w:p>
        </w:tc>
        <w:tc>
          <w:tcPr>
            <w:tcW w:w="1960" w:type="dxa"/>
            <w:vAlign w:val="bottom"/>
          </w:tcPr>
          <w:p>
            <w:pPr>
              <w:ind w:left="60"/>
              <w:spacing w:after="0" w:line="148" w:lineRule="exact"/>
              <w:rPr>
                <w:sz w:val="20"/>
                <w:szCs w:val="20"/>
                <w:color w:val="auto"/>
              </w:rPr>
            </w:pPr>
            <w:r>
              <w:rPr>
                <w:rFonts w:ascii="Arial" w:cs="Arial" w:eastAsia="Arial" w:hAnsi="Arial"/>
                <w:sz w:val="13"/>
                <w:szCs w:val="13"/>
                <w:color w:val="auto"/>
              </w:rPr>
              <w:t>Movie Tavern</w:t>
            </w: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4"/>
              </w:rPr>
              <w:t>Wilmington, PA-NJ-DE-</w:t>
            </w: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Langhorne Square</w:t>
            </w:r>
          </w:p>
        </w:tc>
        <w:tc>
          <w:tcPr>
            <w:tcW w:w="4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Philadelphia-Camden-</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22,686</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17.22</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55,000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Redner's</w:t>
            </w: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Planet Fitness</w:t>
            </w:r>
          </w:p>
        </w:tc>
      </w:tr>
      <w:tr>
        <w:trPr>
          <w:trHeight w:val="135"/>
        </w:trPr>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Wilmington, PA-NJ-DE-</w:t>
            </w:r>
          </w:p>
        </w:tc>
        <w:tc>
          <w:tcPr>
            <w:tcW w:w="6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Warehouse</w:t>
            </w:r>
          </w:p>
        </w:tc>
        <w:tc>
          <w:tcPr>
            <w:tcW w:w="19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Markets</w:t>
            </w:r>
          </w:p>
        </w:tc>
        <w:tc>
          <w:tcPr>
            <w:tcW w:w="1960" w:type="dxa"/>
            <w:vAlign w:val="bottom"/>
            <w:shd w:val="clear" w:color="auto" w:fill="CCEEFF"/>
          </w:tcPr>
          <w:p>
            <w:pPr>
              <w:spacing w:after="0"/>
              <w:rPr>
                <w:sz w:val="15"/>
                <w:szCs w:val="15"/>
                <w:color w:val="auto"/>
              </w:rPr>
            </w:pPr>
          </w:p>
        </w:tc>
      </w:tr>
      <w:tr>
        <w:trPr>
          <w:trHeight w:val="148"/>
        </w:trPr>
        <w:tc>
          <w:tcPr>
            <w:tcW w:w="13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Lawrence Park</w:t>
            </w:r>
          </w:p>
        </w:tc>
        <w:tc>
          <w:tcPr>
            <w:tcW w:w="440" w:type="dxa"/>
            <w:vAlign w:val="bottom"/>
          </w:tcPr>
          <w:p>
            <w:pPr>
              <w:spacing w:after="0"/>
              <w:rPr>
                <w:sz w:val="12"/>
                <w:szCs w:val="12"/>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9"/>
              </w:rPr>
              <w:t>Philadelphia-Camden-</w:t>
            </w:r>
          </w:p>
        </w:tc>
        <w:tc>
          <w:tcPr>
            <w:tcW w:w="6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34,262</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363,000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85%</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22.38</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53,000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Acme</w:t>
            </w:r>
          </w:p>
        </w:tc>
        <w:tc>
          <w:tcPr>
            <w:tcW w:w="1960" w:type="dxa"/>
            <w:vAlign w:val="bottom"/>
          </w:tcPr>
          <w:p>
            <w:pPr>
              <w:ind w:left="60"/>
              <w:spacing w:after="0" w:line="148" w:lineRule="exact"/>
              <w:rPr>
                <w:sz w:val="20"/>
                <w:szCs w:val="20"/>
                <w:color w:val="auto"/>
              </w:rPr>
            </w:pPr>
            <w:r>
              <w:rPr>
                <w:rFonts w:ascii="Arial" w:cs="Arial" w:eastAsia="Arial" w:hAnsi="Arial"/>
                <w:sz w:val="13"/>
                <w:szCs w:val="13"/>
                <w:color w:val="auto"/>
                <w:w w:val="95"/>
              </w:rPr>
              <w:t>TJ Maxx / HomeGoods / Barnes &amp;</w:t>
            </w: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4"/>
              </w:rPr>
              <w:t>Wilmington, PA-NJ-DE-</w:t>
            </w: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color w:val="auto"/>
              </w:rPr>
              <w:t>Markets</w:t>
            </w:r>
          </w:p>
        </w:tc>
        <w:tc>
          <w:tcPr>
            <w:tcW w:w="1960" w:type="dxa"/>
            <w:vAlign w:val="bottom"/>
          </w:tcPr>
          <w:p>
            <w:pPr>
              <w:ind w:left="60"/>
              <w:spacing w:after="0" w:line="135" w:lineRule="exact"/>
              <w:rPr>
                <w:sz w:val="20"/>
                <w:szCs w:val="20"/>
                <w:color w:val="auto"/>
              </w:rPr>
            </w:pPr>
            <w:r>
              <w:rPr>
                <w:rFonts w:ascii="Arial" w:cs="Arial" w:eastAsia="Arial" w:hAnsi="Arial"/>
                <w:sz w:val="13"/>
                <w:szCs w:val="13"/>
                <w:color w:val="auto"/>
              </w:rPr>
              <w:t>Noble</w:t>
            </w: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Northeast</w:t>
            </w:r>
          </w:p>
        </w:tc>
        <w:tc>
          <w:tcPr>
            <w:tcW w:w="4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Philadelphia-Camden-</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31,744</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20.26</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Ulta / A.C. Moore</w:t>
            </w:r>
          </w:p>
        </w:tc>
      </w:tr>
      <w:tr>
        <w:trPr>
          <w:trHeight w:val="135"/>
        </w:trPr>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Wilmington, PA-NJ-DE-</w:t>
            </w:r>
          </w:p>
        </w:tc>
        <w:tc>
          <w:tcPr>
            <w:tcW w:w="6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Town Center of New</w:t>
            </w:r>
          </w:p>
        </w:tc>
        <w:tc>
          <w:tcPr>
            <w:tcW w:w="440" w:type="dxa"/>
            <w:vAlign w:val="bottom"/>
          </w:tcPr>
          <w:p>
            <w:pPr>
              <w:spacing w:after="0"/>
              <w:rPr>
                <w:sz w:val="12"/>
                <w:szCs w:val="12"/>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9"/>
              </w:rPr>
              <w:t>Philadelphia-Camden-</w:t>
            </w:r>
          </w:p>
        </w:tc>
        <w:tc>
          <w:tcPr>
            <w:tcW w:w="6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16,455</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124,000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9.31</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36,000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Giant Food</w:t>
            </w:r>
          </w:p>
        </w:tc>
        <w:tc>
          <w:tcPr>
            <w:tcW w:w="1960" w:type="dxa"/>
            <w:vAlign w:val="bottom"/>
          </w:tcPr>
          <w:p>
            <w:pPr>
              <w:ind w:left="60"/>
              <w:spacing w:after="0" w:line="148" w:lineRule="exact"/>
              <w:rPr>
                <w:sz w:val="20"/>
                <w:szCs w:val="20"/>
                <w:color w:val="auto"/>
              </w:rPr>
            </w:pPr>
            <w:r>
              <w:rPr>
                <w:rFonts w:ascii="Arial" w:cs="Arial" w:eastAsia="Arial" w:hAnsi="Arial"/>
                <w:sz w:val="13"/>
                <w:szCs w:val="13"/>
                <w:color w:val="auto"/>
              </w:rPr>
              <w:t>Rite Aid / Dollar Tree</w:t>
            </w:r>
          </w:p>
        </w:tc>
      </w:tr>
      <w:tr>
        <w:trPr>
          <w:trHeight w:val="135"/>
        </w:trPr>
        <w:tc>
          <w:tcPr>
            <w:tcW w:w="13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Britain</w:t>
            </w:r>
          </w:p>
        </w:tc>
        <w:tc>
          <w:tcPr>
            <w:tcW w:w="44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4"/>
              </w:rPr>
              <w:t>Wilmington, PA-NJ-DE-</w:t>
            </w: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6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Willow Grove</w:t>
            </w:r>
          </w:p>
        </w:tc>
        <w:tc>
          <w:tcPr>
            <w:tcW w:w="4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Philadelphia-Camden-</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30,203</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18.15</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Marshalls / HomeGoods / Barnes &amp;</w:t>
            </w:r>
          </w:p>
        </w:tc>
      </w:tr>
      <w:tr>
        <w:trPr>
          <w:trHeight w:val="135"/>
        </w:trPr>
        <w:tc>
          <w:tcPr>
            <w:tcW w:w="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Wilmington, PA-NJ-DE-</w:t>
            </w:r>
          </w:p>
        </w:tc>
        <w:tc>
          <w:tcPr>
            <w:tcW w:w="6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6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Noble</w:t>
            </w:r>
          </w:p>
        </w:tc>
      </w:tr>
      <w:tr>
        <w:trPr>
          <w:trHeight w:val="176"/>
        </w:trPr>
        <w:tc>
          <w:tcPr>
            <w:tcW w:w="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Wynnewood</w:t>
            </w:r>
          </w:p>
        </w:tc>
        <w:tc>
          <w:tcPr>
            <w:tcW w:w="440" w:type="dxa"/>
            <w:vAlign w:val="bottom"/>
          </w:tcPr>
          <w:p>
            <w:pPr>
              <w:spacing w:after="0"/>
              <w:rPr>
                <w:sz w:val="12"/>
                <w:szCs w:val="12"/>
                <w:color w:val="auto"/>
              </w:rPr>
            </w:pPr>
          </w:p>
        </w:tc>
        <w:tc>
          <w:tcPr>
            <w:tcW w:w="13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9"/>
              </w:rPr>
              <w:t>Philadelphia-Camden-</w:t>
            </w:r>
          </w:p>
        </w:tc>
        <w:tc>
          <w:tcPr>
            <w:tcW w:w="62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43,086</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251,000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28.66</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w:t>
            </w: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98,000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Giant Food</w:t>
            </w:r>
          </w:p>
        </w:tc>
        <w:tc>
          <w:tcPr>
            <w:tcW w:w="1960" w:type="dxa"/>
            <w:vAlign w:val="bottom"/>
          </w:tcPr>
          <w:p>
            <w:pPr>
              <w:ind w:left="60"/>
              <w:spacing w:after="0" w:line="148" w:lineRule="exact"/>
              <w:rPr>
                <w:sz w:val="20"/>
                <w:szCs w:val="20"/>
                <w:color w:val="auto"/>
              </w:rPr>
            </w:pPr>
            <w:r>
              <w:rPr>
                <w:rFonts w:ascii="Arial" w:cs="Arial" w:eastAsia="Arial" w:hAnsi="Arial"/>
                <w:sz w:val="13"/>
                <w:szCs w:val="13"/>
                <w:color w:val="auto"/>
                <w:w w:val="99"/>
              </w:rPr>
              <w:t>Bed, Bath &amp; Beyond / Old Navy /</w:t>
            </w:r>
          </w:p>
        </w:tc>
      </w:tr>
      <w:tr>
        <w:trPr>
          <w:trHeight w:val="135"/>
        </w:trPr>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4"/>
              </w:rPr>
              <w:t>Wilmington, PA-NJ-DE-</w:t>
            </w: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60" w:type="dxa"/>
            <w:vAlign w:val="bottom"/>
          </w:tcPr>
          <w:p>
            <w:pPr>
              <w:ind w:left="60"/>
              <w:spacing w:after="0" w:line="135" w:lineRule="exact"/>
              <w:rPr>
                <w:sz w:val="20"/>
                <w:szCs w:val="20"/>
                <w:color w:val="auto"/>
              </w:rPr>
            </w:pPr>
            <w:r>
              <w:rPr>
                <w:rFonts w:ascii="Arial" w:cs="Arial" w:eastAsia="Arial" w:hAnsi="Arial"/>
                <w:sz w:val="13"/>
                <w:szCs w:val="13"/>
                <w:color w:val="auto"/>
              </w:rPr>
              <w:t>DSW</w:t>
            </w:r>
          </w:p>
        </w:tc>
      </w:tr>
      <w:tr>
        <w:trPr>
          <w:trHeight w:val="170"/>
        </w:trPr>
        <w:tc>
          <w:tcPr>
            <w:tcW w:w="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MD</w:t>
            </w: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0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Total Philadelphia Metropolitan Area</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313,835</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2,388,000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20.33</w:t>
            </w: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43"/>
        </w:trPr>
        <w:tc>
          <w:tcPr>
            <w:tcW w:w="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20"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Real</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1"/>
              </w:rPr>
              <w:t>Average</w:t>
            </w:r>
          </w:p>
        </w:tc>
        <w:tc>
          <w:tcPr>
            <w:tcW w:w="70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b w:val="1"/>
                <w:bCs w:val="1"/>
                <w:color w:val="auto"/>
                <w:w w:val="92"/>
              </w:rPr>
              <w:t>Grocery</w:t>
            </w:r>
          </w:p>
        </w:tc>
        <w:tc>
          <w:tcPr>
            <w:tcW w:w="76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Leased</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20" w:type="dxa"/>
            <w:vAlign w:val="bottom"/>
          </w:tcPr>
          <w:p>
            <w:pPr>
              <w:ind w:left="60"/>
              <w:spacing w:after="0" w:line="135" w:lineRule="exact"/>
              <w:rPr>
                <w:sz w:val="20"/>
                <w:szCs w:val="20"/>
                <w:color w:val="auto"/>
              </w:rPr>
            </w:pPr>
            <w:r>
              <w:rPr>
                <w:rFonts w:ascii="Arial" w:cs="Arial" w:eastAsia="Arial" w:hAnsi="Arial"/>
                <w:sz w:val="13"/>
                <w:szCs w:val="13"/>
                <w:b w:val="1"/>
                <w:bCs w:val="1"/>
                <w:color w:val="auto"/>
                <w:w w:val="96"/>
              </w:rPr>
              <w:t>Anchor</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1960" w:type="dxa"/>
            <w:vAlign w:val="bottom"/>
          </w:tcPr>
          <w:p>
            <w:pPr>
              <w:spacing w:after="0"/>
              <w:rPr>
                <w:sz w:val="11"/>
                <w:szCs w:val="11"/>
                <w:color w:val="auto"/>
              </w:rPr>
            </w:pPr>
          </w:p>
        </w:tc>
      </w:tr>
      <w:tr>
        <w:trPr>
          <w:trHeight w:val="174"/>
        </w:trPr>
        <w:tc>
          <w:tcPr>
            <w:tcW w:w="132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Property Name</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MSA Description</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Acreage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(3)</w:t>
            </w: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Units</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Anchor</w:t>
            </w: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6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6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28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New England</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Assembly Row /</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(7)</w:t>
            </w: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Boston-Cambridge-</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790,168</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65</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805,000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32.31</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447</w:t>
            </w: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18,000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w w:val="97"/>
              </w:rPr>
              <w:t>Trader Joe's</w:t>
            </w: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TJ Maxx / AMC / LEGOLAND</w:t>
            </w:r>
          </w:p>
        </w:tc>
      </w:tr>
      <w:tr>
        <w:trPr>
          <w:trHeight w:val="135"/>
        </w:trPr>
        <w:tc>
          <w:tcPr>
            <w:tcW w:w="1320" w:type="dxa"/>
            <w:vAlign w:val="bottom"/>
            <w:gridSpan w:val="6"/>
          </w:tcPr>
          <w:p>
            <w:pPr>
              <w:ind w:left="40"/>
              <w:spacing w:after="0" w:line="135" w:lineRule="exact"/>
              <w:rPr>
                <w:sz w:val="20"/>
                <w:szCs w:val="20"/>
                <w:color w:val="auto"/>
              </w:rPr>
            </w:pPr>
            <w:r>
              <w:rPr>
                <w:rFonts w:ascii="Arial" w:cs="Arial" w:eastAsia="Arial" w:hAnsi="Arial"/>
                <w:sz w:val="13"/>
                <w:szCs w:val="13"/>
                <w:color w:val="auto"/>
              </w:rPr>
              <w:t>Assembly Square</w:t>
            </w:r>
          </w:p>
        </w:tc>
        <w:tc>
          <w:tcPr>
            <w:tcW w:w="420" w:type="dxa"/>
            <w:vAlign w:val="bottom"/>
          </w:tcPr>
          <w:p>
            <w:pPr>
              <w:spacing w:after="0"/>
              <w:rPr>
                <w:sz w:val="11"/>
                <w:szCs w:val="11"/>
                <w:color w:val="auto"/>
              </w:rPr>
            </w:pPr>
          </w:p>
        </w:tc>
        <w:tc>
          <w:tcPr>
            <w:tcW w:w="1340" w:type="dxa"/>
            <w:vAlign w:val="bottom"/>
          </w:tcPr>
          <w:p>
            <w:pPr>
              <w:ind w:left="20"/>
              <w:spacing w:after="0" w:line="135" w:lineRule="exact"/>
              <w:rPr>
                <w:sz w:val="20"/>
                <w:szCs w:val="20"/>
                <w:color w:val="auto"/>
              </w:rPr>
            </w:pPr>
            <w:r>
              <w:rPr>
                <w:rFonts w:ascii="Arial" w:cs="Arial" w:eastAsia="Arial" w:hAnsi="Arial"/>
                <w:sz w:val="13"/>
                <w:szCs w:val="13"/>
                <w:color w:val="auto"/>
              </w:rPr>
              <w:t>Newton, MA-NH</w:t>
            </w: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60" w:type="dxa"/>
            <w:vAlign w:val="bottom"/>
          </w:tcPr>
          <w:p>
            <w:pPr>
              <w:ind w:left="40"/>
              <w:spacing w:after="0" w:line="135" w:lineRule="exact"/>
              <w:rPr>
                <w:sz w:val="20"/>
                <w:szCs w:val="20"/>
                <w:color w:val="auto"/>
              </w:rPr>
            </w:pPr>
            <w:r>
              <w:rPr>
                <w:rFonts w:ascii="Arial" w:cs="Arial" w:eastAsia="Arial" w:hAnsi="Arial"/>
                <w:sz w:val="13"/>
                <w:szCs w:val="13"/>
                <w:color w:val="auto"/>
              </w:rPr>
              <w:t>Discovery Center / Multiple</w:t>
            </w:r>
          </w:p>
        </w:tc>
      </w:tr>
      <w:tr>
        <w:trPr>
          <w:trHeight w:val="168"/>
        </w:trPr>
        <w:tc>
          <w:tcPr>
            <w:tcW w:w="1320" w:type="dxa"/>
            <w:vAlign w:val="bottom"/>
            <w:gridSpan w:val="6"/>
          </w:tcPr>
          <w:p>
            <w:pPr>
              <w:ind w:left="40"/>
              <w:spacing w:after="0"/>
              <w:rPr>
                <w:sz w:val="20"/>
                <w:szCs w:val="20"/>
                <w:color w:val="auto"/>
              </w:rPr>
            </w:pPr>
            <w:r>
              <w:rPr>
                <w:rFonts w:ascii="Arial" w:cs="Arial" w:eastAsia="Arial" w:hAnsi="Arial"/>
                <w:sz w:val="13"/>
                <w:szCs w:val="13"/>
                <w:color w:val="auto"/>
              </w:rPr>
              <w:t>Marketplace</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Restaurants</w:t>
            </w: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Boston-Cambridge-</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30,437</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16.89</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46,000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Roche Bros.</w:t>
            </w: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Burlington</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Newton, MA-NH</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Chelsea Commons</w:t>
            </w:r>
          </w:p>
        </w:tc>
        <w:tc>
          <w:tcPr>
            <w:tcW w:w="42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Boston-Cambridge-</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30,281</w:t>
            </w:r>
          </w:p>
        </w:tc>
        <w:tc>
          <w:tcPr>
            <w:tcW w:w="1060" w:type="dxa"/>
            <w:vAlign w:val="bottom"/>
          </w:tcPr>
          <w:p>
            <w:pPr>
              <w:jc w:val="right"/>
              <w:ind w:right="118"/>
              <w:spacing w:after="0" w:line="148" w:lineRule="exact"/>
              <w:rPr>
                <w:sz w:val="20"/>
                <w:szCs w:val="20"/>
                <w:color w:val="auto"/>
              </w:rPr>
            </w:pPr>
            <w:r>
              <w:rPr>
                <w:rFonts w:ascii="Arial" w:cs="Arial" w:eastAsia="Arial" w:hAnsi="Arial"/>
                <w:sz w:val="13"/>
                <w:szCs w:val="13"/>
                <w:color w:val="auto"/>
              </w:rPr>
              <w:t>5,597</w:t>
            </w: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37</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12.74</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Newton, MA-NH</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Boston-Cambridge-</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46,447</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17.18</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80,000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Star Market</w:t>
            </w: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Planet Fitness</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Newton, MA-NH</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Linden Square</w:t>
            </w:r>
          </w:p>
        </w:tc>
        <w:tc>
          <w:tcPr>
            <w:tcW w:w="42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Boston-Cambridge-</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150,364</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49.43</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w:t>
            </w: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50,000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w w:val="97"/>
              </w:rPr>
              <w:t>Roche Bros.</w:t>
            </w: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Newton, MA-NH</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Providence-Warwick,</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9,369</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15.31</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48,000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Stop &amp; Shop</w:t>
            </w:r>
          </w:p>
        </w:tc>
        <w:tc>
          <w:tcPr>
            <w:tcW w:w="19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RI-MA</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42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Boston-Cambridge-</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17,942</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18.63</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50,000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w w:val="98"/>
              </w:rPr>
              <w:t>Big Y Foods</w:t>
            </w: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Newton, MA-NH</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Saugus Plaza</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Boston-Cambridge-</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17,175</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17.18</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55,000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Super Stop &amp;</w:t>
            </w: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Floor &amp; Décor</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Newton, MA-NH</w:t>
            </w:r>
          </w:p>
        </w:tc>
        <w:tc>
          <w:tcPr>
            <w:tcW w:w="620" w:type="dxa"/>
            <w:vAlign w:val="bottom"/>
            <w:tcBorders>
              <w:bottom w:val="single" w:sz="8" w:color="auto"/>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Shop</w:t>
            </w:r>
          </w:p>
        </w:tc>
        <w:tc>
          <w:tcPr>
            <w:tcW w:w="196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Total New England</w:t>
            </w:r>
          </w:p>
        </w:tc>
        <w:tc>
          <w:tcPr>
            <w:tcW w:w="620" w:type="dxa"/>
            <w:vAlign w:val="bottom"/>
          </w:tcPr>
          <w:p>
            <w:pPr>
              <w:jc w:val="right"/>
              <w:ind w:right="18"/>
              <w:spacing w:after="0"/>
              <w:rPr>
                <w:sz w:val="20"/>
                <w:szCs w:val="20"/>
                <w:color w:val="auto"/>
              </w:rPr>
            </w:pPr>
            <w:r>
              <w:rPr>
                <w:rFonts w:ascii="Arial" w:cs="Arial" w:eastAsia="Arial" w:hAnsi="Arial"/>
                <w:sz w:val="13"/>
                <w:szCs w:val="13"/>
                <w:color w:val="auto"/>
                <w:w w:val="89"/>
              </w:rPr>
              <w:t>1,092,183</w:t>
            </w:r>
          </w:p>
        </w:tc>
        <w:tc>
          <w:tcPr>
            <w:tcW w:w="106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215</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1,978,000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jc w:val="right"/>
              <w:spacing w:after="0"/>
              <w:rPr>
                <w:sz w:val="20"/>
                <w:szCs w:val="20"/>
                <w:color w:val="auto"/>
              </w:rPr>
            </w:pPr>
            <w:r>
              <w:rPr>
                <w:rFonts w:ascii="Arial" w:cs="Arial" w:eastAsia="Arial" w:hAnsi="Arial"/>
                <w:sz w:val="13"/>
                <w:szCs w:val="13"/>
                <w:color w:val="auto"/>
              </w:rPr>
              <w:t>96%</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26.63</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43"/>
        </w:trPr>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16"/>
        </w:trPr>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149"/>
        </w:trPr>
        <w:tc>
          <w:tcPr>
            <w:tcW w:w="40" w:type="dxa"/>
            <w:vAlign w:val="bottom"/>
          </w:tcPr>
          <w:p>
            <w:pPr>
              <w:spacing w:after="0"/>
              <w:rPr>
                <w:sz w:val="12"/>
                <w:szCs w:val="12"/>
                <w:color w:val="auto"/>
              </w:rPr>
            </w:pPr>
          </w:p>
        </w:tc>
        <w:tc>
          <w:tcPr>
            <w:tcW w:w="1280" w:type="dxa"/>
            <w:vAlign w:val="bottom"/>
            <w:gridSpan w:val="5"/>
          </w:tcPr>
          <w:p>
            <w:pPr>
              <w:ind w:left="60"/>
              <w:spacing w:after="0"/>
              <w:rPr>
                <w:sz w:val="20"/>
                <w:szCs w:val="20"/>
                <w:color w:val="auto"/>
              </w:rPr>
            </w:pPr>
            <w:r>
              <w:rPr>
                <w:rFonts w:ascii="Arial" w:cs="Arial" w:eastAsia="Arial" w:hAnsi="Arial"/>
                <w:sz w:val="13"/>
                <w:szCs w:val="13"/>
                <w:b w:val="1"/>
                <w:bCs w:val="1"/>
                <w:color w:val="auto"/>
              </w:rPr>
              <w:t>South Florida</w:t>
            </w: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48"/>
        </w:trPr>
        <w:tc>
          <w:tcPr>
            <w:tcW w:w="132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Cocowalk</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(5) (9)</w:t>
            </w:r>
          </w:p>
        </w:tc>
        <w:tc>
          <w:tcPr>
            <w:tcW w:w="13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6"/>
              </w:rPr>
              <w:t>Miami-Fort Lauderdale-</w:t>
            </w:r>
          </w:p>
        </w:tc>
        <w:tc>
          <w:tcPr>
            <w:tcW w:w="620" w:type="dxa"/>
            <w:vAlign w:val="bottom"/>
            <w:shd w:val="clear" w:color="auto" w:fill="CCEEFF"/>
          </w:tcPr>
          <w:p>
            <w:pPr>
              <w:jc w:val="right"/>
              <w:ind w:right="18"/>
              <w:spacing w:after="0" w:line="148" w:lineRule="exact"/>
              <w:rPr>
                <w:sz w:val="20"/>
                <w:szCs w:val="20"/>
                <w:color w:val="auto"/>
              </w:rPr>
            </w:pPr>
            <w:r>
              <w:rPr>
                <w:rFonts w:ascii="Arial" w:cs="Arial" w:eastAsia="Arial" w:hAnsi="Arial"/>
                <w:sz w:val="13"/>
                <w:szCs w:val="13"/>
                <w:color w:val="auto"/>
              </w:rPr>
              <w:t>153,697</w:t>
            </w: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77%</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58%</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19.84</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8"/>
              </w:rPr>
              <w:t>Cinepolis Theaters / Youfit Health</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West Palm Beach, FL</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Club</w:t>
            </w: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Del Mar Village</w:t>
            </w:r>
          </w:p>
        </w:tc>
        <w:tc>
          <w:tcPr>
            <w:tcW w:w="42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w w:val="96"/>
              </w:rPr>
              <w:t>Miami-Fort Lauderdale-</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73,157</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191,000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19.10</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44,000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Winn Dixie</w:t>
            </w: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CVS / L.A. Fitness</w:t>
            </w: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West Palm Beach, FL</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The Shops at Sunset</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Miami-Fort Lauderdale-</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124,296</w:t>
            </w: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61,987</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17.26</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AMC / L.A. Fitness / Barnes &amp;</w:t>
            </w:r>
          </w:p>
        </w:tc>
      </w:tr>
      <w:tr>
        <w:trPr>
          <w:trHeight w:val="17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Place</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West Palm Beach, FL</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Noble / Restoration Hardware Outlet</w:t>
            </w: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Tower Shops</w:t>
            </w:r>
          </w:p>
        </w:tc>
        <w:tc>
          <w:tcPr>
            <w:tcW w:w="42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w w:val="96"/>
              </w:rPr>
              <w:t>Miami-Fort Lauderdale-</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98,185</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67</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426,000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24.99</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12,000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w w:val="97"/>
              </w:rPr>
              <w:t>Trader Joe's</w:t>
            </w: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TJ Maxx / Ross Dress For Less /</w:t>
            </w:r>
          </w:p>
        </w:tc>
      </w:tr>
      <w:tr>
        <w:trPr>
          <w:trHeight w:val="170"/>
        </w:trPr>
        <w:tc>
          <w:tcPr>
            <w:tcW w:w="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West Palm Beach, FL</w:t>
            </w: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Best Buy / Ulta</w:t>
            </w: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 South Florida</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449,335</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97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1,309,000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21.00</w:t>
            </w: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r>
      <w:tr>
        <w:trPr>
          <w:trHeight w:val="149"/>
        </w:trPr>
        <w:tc>
          <w:tcPr>
            <w:tcW w:w="40" w:type="dxa"/>
            <w:vAlign w:val="bottom"/>
          </w:tcPr>
          <w:p>
            <w:pPr>
              <w:spacing w:after="0"/>
              <w:rPr>
                <w:sz w:val="12"/>
                <w:szCs w:val="12"/>
                <w:color w:val="auto"/>
              </w:rPr>
            </w:pPr>
          </w:p>
        </w:tc>
        <w:tc>
          <w:tcPr>
            <w:tcW w:w="1280" w:type="dxa"/>
            <w:vAlign w:val="bottom"/>
            <w:gridSpan w:val="5"/>
          </w:tcPr>
          <w:p>
            <w:pPr>
              <w:ind w:left="60"/>
              <w:spacing w:after="0"/>
              <w:rPr>
                <w:sz w:val="20"/>
                <w:szCs w:val="20"/>
                <w:color w:val="auto"/>
              </w:rPr>
            </w:pPr>
            <w:r>
              <w:rPr>
                <w:rFonts w:ascii="Arial" w:cs="Arial" w:eastAsia="Arial" w:hAnsi="Arial"/>
                <w:sz w:val="13"/>
                <w:szCs w:val="13"/>
                <w:b w:val="1"/>
                <w:bCs w:val="1"/>
                <w:color w:val="auto"/>
              </w:rPr>
              <w:t>Baltimore</w:t>
            </w: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148"/>
        </w:trPr>
        <w:tc>
          <w:tcPr>
            <w:tcW w:w="132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Governor Plaza</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Baltimore-Columbia-</w:t>
            </w:r>
          </w:p>
        </w:tc>
        <w:tc>
          <w:tcPr>
            <w:tcW w:w="620" w:type="dxa"/>
            <w:vAlign w:val="bottom"/>
            <w:shd w:val="clear" w:color="auto" w:fill="CCEEFF"/>
          </w:tcPr>
          <w:p>
            <w:pPr>
              <w:jc w:val="right"/>
              <w:ind w:right="18"/>
              <w:spacing w:after="0" w:line="148" w:lineRule="exact"/>
              <w:rPr>
                <w:sz w:val="20"/>
                <w:szCs w:val="20"/>
                <w:color w:val="auto"/>
              </w:rPr>
            </w:pPr>
            <w:r>
              <w:rPr>
                <w:rFonts w:ascii="Arial" w:cs="Arial" w:eastAsia="Arial" w:hAnsi="Arial"/>
                <w:sz w:val="13"/>
                <w:szCs w:val="13"/>
                <w:color w:val="auto"/>
              </w:rPr>
              <w:t>27,593</w:t>
            </w: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24</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243,000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20.18</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16,500</w:t>
            </w:r>
          </w:p>
        </w:tc>
        <w:tc>
          <w:tcPr>
            <w:tcW w:w="7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Aldi</w:t>
            </w:r>
          </w:p>
        </w:tc>
        <w:tc>
          <w:tcPr>
            <w:tcW w:w="19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Dick's Sporting Goods / A.C. Moore</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Towson, MD</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Perring Plaza</w:t>
            </w:r>
          </w:p>
        </w:tc>
        <w:tc>
          <w:tcPr>
            <w:tcW w:w="42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Baltimore-Columbia-</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32,204</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396,000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14.93</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58,000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Shoppers</w:t>
            </w: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Home Depot / Micro Center /</w:t>
            </w: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20"/>
              <w:spacing w:after="0" w:line="135" w:lineRule="exact"/>
              <w:rPr>
                <w:sz w:val="20"/>
                <w:szCs w:val="20"/>
                <w:color w:val="auto"/>
              </w:rPr>
            </w:pPr>
            <w:r>
              <w:rPr>
                <w:rFonts w:ascii="Arial" w:cs="Arial" w:eastAsia="Arial" w:hAnsi="Arial"/>
                <w:sz w:val="13"/>
                <w:szCs w:val="13"/>
                <w:color w:val="auto"/>
              </w:rPr>
              <w:t>Towson, MD</w:t>
            </w: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color w:val="auto"/>
              </w:rPr>
              <w:t>Food</w:t>
            </w:r>
          </w:p>
        </w:tc>
        <w:tc>
          <w:tcPr>
            <w:tcW w:w="1960" w:type="dxa"/>
            <w:vAlign w:val="bottom"/>
          </w:tcPr>
          <w:p>
            <w:pPr>
              <w:ind w:left="40"/>
              <w:spacing w:after="0" w:line="135" w:lineRule="exact"/>
              <w:rPr>
                <w:sz w:val="20"/>
                <w:szCs w:val="20"/>
                <w:color w:val="auto"/>
              </w:rPr>
            </w:pPr>
            <w:r>
              <w:rPr>
                <w:rFonts w:ascii="Arial" w:cs="Arial" w:eastAsia="Arial" w:hAnsi="Arial"/>
                <w:sz w:val="13"/>
                <w:szCs w:val="13"/>
                <w:color w:val="auto"/>
              </w:rPr>
              <w:t>Burlington</w:t>
            </w: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Warehouse</w:t>
            </w:r>
          </w:p>
        </w:tc>
        <w:tc>
          <w:tcPr>
            <w:tcW w:w="196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w w:val="93"/>
              </w:rPr>
              <w:t>THE AVENUE at White</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Baltimore-Columbia-</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122,425</w:t>
            </w: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52,705</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24.23</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AMC / Ulta / Old Navy / Barnes &amp;</w:t>
            </w:r>
          </w:p>
        </w:tc>
      </w:tr>
      <w:tr>
        <w:trPr>
          <w:trHeight w:val="17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Marsh</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Towson, MD</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Noble</w:t>
            </w: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The Shoppes at</w:t>
            </w:r>
          </w:p>
        </w:tc>
        <w:tc>
          <w:tcPr>
            <w:tcW w:w="42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Baltimore-Columbia-</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18,025</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32,000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49.05</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68"/>
        </w:trPr>
        <w:tc>
          <w:tcPr>
            <w:tcW w:w="1320" w:type="dxa"/>
            <w:vAlign w:val="bottom"/>
            <w:gridSpan w:val="6"/>
          </w:tcPr>
          <w:p>
            <w:pPr>
              <w:ind w:left="40"/>
              <w:spacing w:after="0"/>
              <w:rPr>
                <w:sz w:val="20"/>
                <w:szCs w:val="20"/>
                <w:color w:val="auto"/>
              </w:rPr>
            </w:pPr>
            <w:r>
              <w:rPr>
                <w:rFonts w:ascii="Arial" w:cs="Arial" w:eastAsia="Arial" w:hAnsi="Arial"/>
                <w:sz w:val="13"/>
                <w:szCs w:val="13"/>
                <w:color w:val="auto"/>
              </w:rPr>
              <w:t>Nottingham Square</w:t>
            </w:r>
          </w:p>
        </w:tc>
        <w:tc>
          <w:tcPr>
            <w:tcW w:w="4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Towson, MD</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Towson Residential</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Baltimore-Columbia-</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22,370</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71.41</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r>
      <w:tr>
        <w:trPr>
          <w:trHeight w:val="17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(Flats @ 703)</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Towson, MD</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White Marsh Plaza</w:t>
            </w:r>
          </w:p>
        </w:tc>
        <w:tc>
          <w:tcPr>
            <w:tcW w:w="42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Baltimore-Columbia-</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25,919</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22.64</w:t>
            </w:r>
          </w:p>
        </w:tc>
        <w:tc>
          <w:tcPr>
            <w:tcW w:w="70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auto"/>
              </w:rPr>
              <w:t>54,000</w:t>
            </w:r>
          </w:p>
        </w:tc>
        <w:tc>
          <w:tcPr>
            <w:tcW w:w="760" w:type="dxa"/>
            <w:vAlign w:val="bottom"/>
          </w:tcPr>
          <w:p>
            <w:pPr>
              <w:ind w:left="40"/>
              <w:spacing w:after="0" w:line="148" w:lineRule="exact"/>
              <w:rPr>
                <w:sz w:val="20"/>
                <w:szCs w:val="20"/>
                <w:color w:val="auto"/>
              </w:rPr>
            </w:pPr>
            <w:r>
              <w:rPr>
                <w:rFonts w:ascii="Arial" w:cs="Arial" w:eastAsia="Arial" w:hAnsi="Arial"/>
                <w:sz w:val="13"/>
                <w:szCs w:val="13"/>
                <w:color w:val="auto"/>
              </w:rPr>
              <w:t>Giant Food</w:t>
            </w:r>
          </w:p>
        </w:tc>
        <w:tc>
          <w:tcPr>
            <w:tcW w:w="19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Towson, MD</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White Marsh Other</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Baltimore-Columbia-</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31,714</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31.74</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Towson, MD</w:t>
            </w:r>
          </w:p>
        </w:tc>
        <w:tc>
          <w:tcPr>
            <w:tcW w:w="620" w:type="dxa"/>
            <w:vAlign w:val="bottom"/>
            <w:tcBorders>
              <w:bottom w:val="single" w:sz="8" w:color="auto"/>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Total Baltimore</w:t>
            </w: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280,250</w:t>
            </w:r>
          </w:p>
        </w:tc>
        <w:tc>
          <w:tcPr>
            <w:tcW w:w="106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118</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1,139,000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21.19</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43"/>
        </w:trPr>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189"/>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r>
      <w:tr>
        <w:trPr>
          <w:trHeight w:val="149"/>
        </w:trPr>
        <w:tc>
          <w:tcPr>
            <w:tcW w:w="40" w:type="dxa"/>
            <w:vAlign w:val="bottom"/>
          </w:tcPr>
          <w:p>
            <w:pPr>
              <w:spacing w:after="0"/>
              <w:rPr>
                <w:sz w:val="12"/>
                <w:szCs w:val="12"/>
                <w:color w:val="auto"/>
              </w:rPr>
            </w:pPr>
          </w:p>
        </w:tc>
        <w:tc>
          <w:tcPr>
            <w:tcW w:w="1280" w:type="dxa"/>
            <w:vAlign w:val="bottom"/>
            <w:gridSpan w:val="5"/>
          </w:tcPr>
          <w:p>
            <w:pPr>
              <w:ind w:left="60"/>
              <w:spacing w:after="0"/>
              <w:rPr>
                <w:sz w:val="20"/>
                <w:szCs w:val="20"/>
                <w:color w:val="auto"/>
              </w:rPr>
            </w:pPr>
            <w:r>
              <w:rPr>
                <w:rFonts w:ascii="Arial" w:cs="Arial" w:eastAsia="Arial" w:hAnsi="Arial"/>
                <w:sz w:val="13"/>
                <w:szCs w:val="13"/>
                <w:b w:val="1"/>
                <w:bCs w:val="1"/>
                <w:color w:val="auto"/>
              </w:rPr>
              <w:t>Chicago</w:t>
            </w: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148"/>
        </w:trPr>
        <w:tc>
          <w:tcPr>
            <w:tcW w:w="132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Crossroads</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Chicago-Naperville-</w:t>
            </w:r>
          </w:p>
        </w:tc>
        <w:tc>
          <w:tcPr>
            <w:tcW w:w="620" w:type="dxa"/>
            <w:vAlign w:val="bottom"/>
            <w:shd w:val="clear" w:color="auto" w:fill="CCEEFF"/>
          </w:tcPr>
          <w:p>
            <w:pPr>
              <w:jc w:val="right"/>
              <w:ind w:right="18"/>
              <w:spacing w:after="0" w:line="148" w:lineRule="exact"/>
              <w:rPr>
                <w:sz w:val="20"/>
                <w:szCs w:val="20"/>
                <w:color w:val="auto"/>
              </w:rPr>
            </w:pPr>
            <w:r>
              <w:rPr>
                <w:rFonts w:ascii="Arial" w:cs="Arial" w:eastAsia="Arial" w:hAnsi="Arial"/>
                <w:sz w:val="13"/>
                <w:szCs w:val="13"/>
                <w:color w:val="auto"/>
              </w:rPr>
              <w:t>35,708</w:t>
            </w:r>
          </w:p>
        </w:tc>
        <w:tc>
          <w:tcPr>
            <w:tcW w:w="10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14</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168,000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22.34</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9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L.A. Fitness / Ulta / Binny's /</w:t>
            </w:r>
          </w:p>
        </w:tc>
      </w:tr>
      <w:tr>
        <w:trPr>
          <w:trHeight w:val="135"/>
        </w:trPr>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Elgin, IL-IN-WI</w:t>
            </w:r>
          </w:p>
        </w:tc>
        <w:tc>
          <w:tcPr>
            <w:tcW w:w="6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2"/>
              </w:rPr>
              <w:t>Ferguson's Bath, Kitchen &amp; Lighting</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Gallery</w:t>
            </w:r>
          </w:p>
        </w:tc>
      </w:tr>
      <w:tr>
        <w:trPr>
          <w:trHeight w:val="148"/>
        </w:trPr>
        <w:tc>
          <w:tcPr>
            <w:tcW w:w="13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Finley Square</w:t>
            </w:r>
          </w:p>
        </w:tc>
        <w:tc>
          <w:tcPr>
            <w:tcW w:w="42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3"/>
                <w:szCs w:val="13"/>
                <w:color w:val="auto"/>
              </w:rPr>
              <w:t>Chicago-Naperville-</w:t>
            </w:r>
          </w:p>
        </w:tc>
        <w:tc>
          <w:tcPr>
            <w:tcW w:w="620" w:type="dxa"/>
            <w:vAlign w:val="bottom"/>
          </w:tcPr>
          <w:p>
            <w:pPr>
              <w:jc w:val="right"/>
              <w:ind w:right="18"/>
              <w:spacing w:after="0" w:line="148" w:lineRule="exact"/>
              <w:rPr>
                <w:sz w:val="20"/>
                <w:szCs w:val="20"/>
                <w:color w:val="auto"/>
              </w:rPr>
            </w:pPr>
            <w:r>
              <w:rPr>
                <w:rFonts w:ascii="Arial" w:cs="Arial" w:eastAsia="Arial" w:hAnsi="Arial"/>
                <w:sz w:val="13"/>
                <w:szCs w:val="13"/>
                <w:color w:val="auto"/>
              </w:rPr>
              <w:t>41,441</w:t>
            </w:r>
          </w:p>
        </w:tc>
        <w:tc>
          <w:tcPr>
            <w:tcW w:w="106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278,000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15.73</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ind w:left="40"/>
              <w:spacing w:after="0" w:line="148" w:lineRule="exact"/>
              <w:rPr>
                <w:sz w:val="20"/>
                <w:szCs w:val="20"/>
                <w:color w:val="auto"/>
              </w:rPr>
            </w:pPr>
            <w:r>
              <w:rPr>
                <w:rFonts w:ascii="Arial" w:cs="Arial" w:eastAsia="Arial" w:hAnsi="Arial"/>
                <w:sz w:val="13"/>
                <w:szCs w:val="13"/>
                <w:color w:val="auto"/>
              </w:rPr>
              <w:t>Bed, Bath &amp; Beyond / Buy Buy</w:t>
            </w:r>
          </w:p>
        </w:tc>
      </w:tr>
      <w:tr>
        <w:trPr>
          <w:trHeight w:val="168"/>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Elgin, IL-IN-WI</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3"/>
                <w:szCs w:val="13"/>
                <w:color w:val="auto"/>
              </w:rPr>
              <w:t>Baby / Michaels / Portillo's</w:t>
            </w:r>
          </w:p>
        </w:tc>
      </w:tr>
      <w:tr>
        <w:trPr>
          <w:trHeight w:val="156"/>
        </w:trPr>
        <w:tc>
          <w:tcPr>
            <w:tcW w:w="13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Garden Market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Chicago-Naperville-</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14,801</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14.14</w:t>
            </w: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63,000</w:t>
            </w: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Mariano's</w:t>
            </w:r>
          </w:p>
        </w:tc>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w:t>
            </w:r>
          </w:p>
        </w:tc>
      </w:tr>
      <w:tr>
        <w:trPr>
          <w:trHeight w:val="176"/>
        </w:trPr>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Elgin, IL-IN-WI</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Fresh Market</w:t>
            </w:r>
          </w:p>
        </w:tc>
        <w:tc>
          <w:tcPr>
            <w:tcW w:w="1960" w:type="dxa"/>
            <w:vAlign w:val="bottom"/>
            <w:shd w:val="clear" w:color="auto" w:fill="CCEEFF"/>
          </w:tcPr>
          <w:p>
            <w:pPr>
              <w:spacing w:after="0"/>
              <w:rPr>
                <w:sz w:val="15"/>
                <w:szCs w:val="15"/>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20"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680" w:type="dxa"/>
            <w:vAlign w:val="bottom"/>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3"/>
                <w:szCs w:val="13"/>
                <w:b w:val="1"/>
                <w:bCs w:val="1"/>
                <w:color w:val="auto"/>
                <w:w w:val="92"/>
              </w:rPr>
              <w:t>Grocery</w:t>
            </w:r>
          </w:p>
        </w:tc>
        <w:tc>
          <w:tcPr>
            <w:tcW w:w="72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10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Leased</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Occupied</w:t>
            </w: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Residential</w:t>
            </w:r>
          </w:p>
        </w:tc>
        <w:tc>
          <w:tcPr>
            <w:tcW w:w="54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7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Grocery</w:t>
            </w:r>
          </w:p>
        </w:tc>
        <w:tc>
          <w:tcPr>
            <w:tcW w:w="1880" w:type="dxa"/>
            <w:vAlign w:val="bottom"/>
          </w:tcPr>
          <w:p>
            <w:pPr>
              <w:spacing w:after="0"/>
              <w:rPr>
                <w:sz w:val="11"/>
                <w:szCs w:val="11"/>
                <w:color w:val="auto"/>
              </w:rPr>
            </w:pPr>
          </w:p>
        </w:tc>
      </w:tr>
      <w:tr>
        <w:trPr>
          <w:trHeight w:val="174"/>
        </w:trPr>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180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at Cost (1)</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Acreage</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(3)</w:t>
            </w: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(3)</w:t>
            </w: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Retail Tenants</w:t>
            </w:r>
          </w:p>
        </w:tc>
      </w:tr>
      <w:tr>
        <w:trPr>
          <w:trHeight w:val="248"/>
        </w:trPr>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160" w:type="dxa"/>
            <w:vAlign w:val="bottom"/>
          </w:tcPr>
          <w:p>
            <w:pPr>
              <w:spacing w:after="0"/>
              <w:rPr>
                <w:sz w:val="21"/>
                <w:szCs w:val="21"/>
                <w:color w:val="auto"/>
              </w:rPr>
            </w:pPr>
          </w:p>
        </w:tc>
        <w:tc>
          <w:tcPr>
            <w:tcW w:w="900" w:type="dxa"/>
            <w:vAlign w:val="bottom"/>
          </w:tcPr>
          <w:p>
            <w:pPr>
              <w:jc w:val="center"/>
              <w:ind w:right="59"/>
              <w:spacing w:after="0"/>
              <w:rPr>
                <w:sz w:val="20"/>
                <w:szCs w:val="20"/>
                <w:color w:val="auto"/>
              </w:rPr>
            </w:pPr>
            <w:r>
              <w:rPr>
                <w:rFonts w:ascii="Arial" w:cs="Arial" w:eastAsia="Arial" w:hAnsi="Arial"/>
                <w:sz w:val="11"/>
                <w:szCs w:val="11"/>
                <w:color w:val="auto"/>
                <w:w w:val="88"/>
              </w:rPr>
              <w:t>(in thousands)</w:t>
            </w: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170"/>
        </w:trPr>
        <w:tc>
          <w:tcPr>
            <w:tcW w:w="1160" w:type="dxa"/>
            <w:vAlign w:val="bottom"/>
            <w:gridSpan w:val="3"/>
          </w:tcPr>
          <w:p>
            <w:pPr>
              <w:ind w:left="40"/>
              <w:spacing w:after="0"/>
              <w:rPr>
                <w:sz w:val="20"/>
                <w:szCs w:val="20"/>
                <w:color w:val="auto"/>
              </w:rPr>
            </w:pPr>
            <w:r>
              <w:rPr>
                <w:rFonts w:ascii="Arial" w:cs="Arial" w:eastAsia="Arial" w:hAnsi="Arial"/>
                <w:sz w:val="13"/>
                <w:szCs w:val="13"/>
                <w:color w:val="auto"/>
              </w:rPr>
              <w:t>Riverpoint Center</w:t>
            </w:r>
          </w:p>
        </w:tc>
        <w:tc>
          <w:tcPr>
            <w:tcW w:w="1800" w:type="dxa"/>
            <w:vAlign w:val="bottom"/>
          </w:tcPr>
          <w:p>
            <w:pPr>
              <w:ind w:left="500"/>
              <w:spacing w:after="0"/>
              <w:rPr>
                <w:sz w:val="20"/>
                <w:szCs w:val="20"/>
                <w:color w:val="auto"/>
              </w:rPr>
            </w:pPr>
            <w:r>
              <w:rPr>
                <w:rFonts w:ascii="Arial" w:cs="Arial" w:eastAsia="Arial" w:hAnsi="Arial"/>
                <w:sz w:val="13"/>
                <w:szCs w:val="13"/>
                <w:color w:val="auto"/>
              </w:rPr>
              <w:t>Chicago-Naperville-</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121,924</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211,000</w:t>
            </w:r>
          </w:p>
        </w:tc>
        <w:tc>
          <w:tcPr>
            <w:tcW w:w="52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21.17</w:t>
            </w:r>
          </w:p>
        </w:tc>
        <w:tc>
          <w:tcPr>
            <w:tcW w:w="68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auto"/>
              </w:rPr>
              <w:t>86,000</w:t>
            </w:r>
          </w:p>
        </w:tc>
        <w:tc>
          <w:tcPr>
            <w:tcW w:w="720" w:type="dxa"/>
            <w:vAlign w:val="bottom"/>
          </w:tcPr>
          <w:p>
            <w:pPr>
              <w:ind w:left="20"/>
              <w:spacing w:after="0"/>
              <w:rPr>
                <w:sz w:val="20"/>
                <w:szCs w:val="20"/>
                <w:color w:val="auto"/>
              </w:rPr>
            </w:pPr>
            <w:r>
              <w:rPr>
                <w:rFonts w:ascii="Arial" w:cs="Arial" w:eastAsia="Arial" w:hAnsi="Arial"/>
                <w:sz w:val="13"/>
                <w:szCs w:val="13"/>
                <w:color w:val="auto"/>
              </w:rPr>
              <w:t>Jewel Osco</w:t>
            </w:r>
          </w:p>
        </w:tc>
        <w:tc>
          <w:tcPr>
            <w:tcW w:w="1880" w:type="dxa"/>
            <w:vAlign w:val="bottom"/>
          </w:tcPr>
          <w:p>
            <w:pPr>
              <w:ind w:left="40"/>
              <w:spacing w:after="0"/>
              <w:rPr>
                <w:sz w:val="20"/>
                <w:szCs w:val="20"/>
                <w:color w:val="auto"/>
              </w:rPr>
            </w:pPr>
            <w:r>
              <w:rPr>
                <w:rFonts w:ascii="Arial" w:cs="Arial" w:eastAsia="Arial" w:hAnsi="Arial"/>
                <w:sz w:val="13"/>
                <w:szCs w:val="13"/>
                <w:color w:val="auto"/>
              </w:rPr>
              <w:t>Marshalls / Old Navy</w:t>
            </w:r>
          </w:p>
        </w:tc>
      </w:tr>
      <w:tr>
        <w:trPr>
          <w:trHeight w:val="170"/>
        </w:trPr>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Elgin, IL-IN-WI</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 Chicago</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213,874</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797,000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18.17</w:t>
            </w: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86"/>
              </w:rPr>
              <w:t>Other</w:t>
            </w:r>
          </w:p>
        </w:tc>
        <w:tc>
          <w:tcPr>
            <w:tcW w:w="7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r>
      <w:tr>
        <w:trPr>
          <w:trHeight w:val="148"/>
        </w:trPr>
        <w:tc>
          <w:tcPr>
            <w:tcW w:w="11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Barracks Road</w:t>
            </w:r>
          </w:p>
        </w:tc>
        <w:tc>
          <w:tcPr>
            <w:tcW w:w="1800" w:type="dxa"/>
            <w:vAlign w:val="bottom"/>
          </w:tcPr>
          <w:p>
            <w:pPr>
              <w:ind w:left="500"/>
              <w:spacing w:after="0" w:line="148" w:lineRule="exact"/>
              <w:rPr>
                <w:sz w:val="20"/>
                <w:szCs w:val="20"/>
                <w:color w:val="auto"/>
              </w:rPr>
            </w:pPr>
            <w:r>
              <w:rPr>
                <w:rFonts w:ascii="Arial" w:cs="Arial" w:eastAsia="Arial" w:hAnsi="Arial"/>
                <w:sz w:val="13"/>
                <w:szCs w:val="13"/>
                <w:color w:val="auto"/>
              </w:rPr>
              <w:t>Charlottesville, VA</w:t>
            </w:r>
          </w:p>
        </w:tc>
        <w:tc>
          <w:tcPr>
            <w:tcW w:w="700" w:type="dxa"/>
            <w:vAlign w:val="bottom"/>
          </w:tcPr>
          <w:p>
            <w:pPr>
              <w:jc w:val="right"/>
              <w:ind w:right="18"/>
              <w:spacing w:after="0" w:line="148" w:lineRule="exact"/>
              <w:rPr>
                <w:sz w:val="20"/>
                <w:szCs w:val="20"/>
                <w:color w:val="auto"/>
              </w:rPr>
            </w:pPr>
            <w:r>
              <w:rPr>
                <w:rFonts w:ascii="Arial" w:cs="Arial" w:eastAsia="Arial" w:hAnsi="Arial"/>
                <w:sz w:val="13"/>
                <w:szCs w:val="13"/>
                <w:color w:val="auto"/>
              </w:rPr>
              <w:t>69,586</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40</w:t>
            </w: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500,000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40" w:type="dxa"/>
            <w:vAlign w:val="bottom"/>
          </w:tcPr>
          <w:p>
            <w:pPr>
              <w:jc w:val="center"/>
              <w:spacing w:after="0" w:line="148" w:lineRule="exact"/>
              <w:rPr>
                <w:sz w:val="20"/>
                <w:szCs w:val="20"/>
                <w:color w:val="auto"/>
              </w:rPr>
            </w:pPr>
            <w:r>
              <w:rPr>
                <w:rFonts w:ascii="Arial" w:cs="Arial" w:eastAsia="Arial" w:hAnsi="Arial"/>
                <w:sz w:val="13"/>
                <w:szCs w:val="13"/>
                <w:color w:val="auto"/>
                <w:w w:val="85"/>
              </w:rPr>
              <w:t>27.78</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99,000</w:t>
            </w:r>
          </w:p>
        </w:tc>
        <w:tc>
          <w:tcPr>
            <w:tcW w:w="720" w:type="dxa"/>
            <w:vAlign w:val="bottom"/>
          </w:tcPr>
          <w:p>
            <w:pPr>
              <w:ind w:left="20"/>
              <w:spacing w:after="0" w:line="148" w:lineRule="exact"/>
              <w:rPr>
                <w:sz w:val="20"/>
                <w:szCs w:val="20"/>
                <w:color w:val="auto"/>
              </w:rPr>
            </w:pPr>
            <w:r>
              <w:rPr>
                <w:rFonts w:ascii="Arial" w:cs="Arial" w:eastAsia="Arial" w:hAnsi="Arial"/>
                <w:sz w:val="13"/>
                <w:szCs w:val="13"/>
                <w:color w:val="auto"/>
                <w:w w:val="89"/>
              </w:rPr>
              <w:t>Harris Teeter</w:t>
            </w:r>
          </w:p>
        </w:tc>
        <w:tc>
          <w:tcPr>
            <w:tcW w:w="1880" w:type="dxa"/>
            <w:vAlign w:val="bottom"/>
          </w:tcPr>
          <w:p>
            <w:pPr>
              <w:ind w:left="40"/>
              <w:spacing w:after="0" w:line="148" w:lineRule="exact"/>
              <w:rPr>
                <w:sz w:val="20"/>
                <w:szCs w:val="20"/>
                <w:color w:val="auto"/>
              </w:rPr>
            </w:pPr>
            <w:r>
              <w:rPr>
                <w:rFonts w:ascii="Arial" w:cs="Arial" w:eastAsia="Arial" w:hAnsi="Arial"/>
                <w:sz w:val="13"/>
                <w:szCs w:val="13"/>
                <w:color w:val="auto"/>
                <w:w w:val="92"/>
              </w:rPr>
              <w:t>Anthropologie / Nike / Bed, Bath &amp;</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rPr>
              <w:t>/ Kroger</w:t>
            </w:r>
          </w:p>
        </w:tc>
        <w:tc>
          <w:tcPr>
            <w:tcW w:w="1880" w:type="dxa"/>
            <w:vAlign w:val="bottom"/>
          </w:tcPr>
          <w:p>
            <w:pPr>
              <w:ind w:left="40"/>
              <w:spacing w:after="0"/>
              <w:rPr>
                <w:sz w:val="20"/>
                <w:szCs w:val="20"/>
                <w:color w:val="auto"/>
              </w:rPr>
            </w:pPr>
            <w:r>
              <w:rPr>
                <w:rFonts w:ascii="Arial" w:cs="Arial" w:eastAsia="Arial" w:hAnsi="Arial"/>
                <w:sz w:val="13"/>
                <w:szCs w:val="13"/>
                <w:color w:val="auto"/>
              </w:rPr>
              <w:t>Beyond / Old Navy</w:t>
            </w:r>
          </w:p>
        </w:tc>
      </w:tr>
      <w:tr>
        <w:trPr>
          <w:trHeight w:val="156"/>
        </w:trPr>
        <w:tc>
          <w:tcPr>
            <w:tcW w:w="11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Bristol Plaza</w:t>
            </w:r>
          </w:p>
        </w:tc>
        <w:tc>
          <w:tcPr>
            <w:tcW w:w="1800" w:type="dxa"/>
            <w:vAlign w:val="bottom"/>
            <w:shd w:val="clear" w:color="auto" w:fill="CCEEFF"/>
          </w:tcPr>
          <w:p>
            <w:pPr>
              <w:ind w:left="500"/>
              <w:spacing w:after="0"/>
              <w:rPr>
                <w:sz w:val="20"/>
                <w:szCs w:val="20"/>
                <w:color w:val="auto"/>
              </w:rPr>
            </w:pPr>
            <w:r>
              <w:rPr>
                <w:rFonts w:ascii="Arial" w:cs="Arial" w:eastAsia="Arial" w:hAnsi="Arial"/>
                <w:sz w:val="13"/>
                <w:szCs w:val="13"/>
                <w:color w:val="auto"/>
                <w:w w:val="94"/>
              </w:rPr>
              <w:t>Hartford-West Hartford-</w:t>
            </w: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31,601</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13.94</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74,000</w:t>
            </w: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Stop &amp; Shop</w:t>
            </w: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East Hartford, CT</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148"/>
        </w:trPr>
        <w:tc>
          <w:tcPr>
            <w:tcW w:w="11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Eastgate Crossing</w:t>
            </w:r>
          </w:p>
        </w:tc>
        <w:tc>
          <w:tcPr>
            <w:tcW w:w="1800" w:type="dxa"/>
            <w:vAlign w:val="bottom"/>
          </w:tcPr>
          <w:p>
            <w:pPr>
              <w:ind w:left="500"/>
              <w:spacing w:after="0" w:line="148" w:lineRule="exact"/>
              <w:rPr>
                <w:sz w:val="20"/>
                <w:szCs w:val="20"/>
                <w:color w:val="auto"/>
              </w:rPr>
            </w:pPr>
            <w:r>
              <w:rPr>
                <w:rFonts w:ascii="Arial" w:cs="Arial" w:eastAsia="Arial" w:hAnsi="Arial"/>
                <w:sz w:val="13"/>
                <w:szCs w:val="13"/>
                <w:color w:val="auto"/>
              </w:rPr>
              <w:t>Durham-Chapel Hill,</w:t>
            </w:r>
          </w:p>
        </w:tc>
        <w:tc>
          <w:tcPr>
            <w:tcW w:w="700" w:type="dxa"/>
            <w:vAlign w:val="bottom"/>
          </w:tcPr>
          <w:p>
            <w:pPr>
              <w:jc w:val="right"/>
              <w:ind w:right="18"/>
              <w:spacing w:after="0" w:line="148" w:lineRule="exact"/>
              <w:rPr>
                <w:sz w:val="20"/>
                <w:szCs w:val="20"/>
                <w:color w:val="auto"/>
              </w:rPr>
            </w:pPr>
            <w:r>
              <w:rPr>
                <w:rFonts w:ascii="Arial" w:cs="Arial" w:eastAsia="Arial" w:hAnsi="Arial"/>
                <w:sz w:val="13"/>
                <w:szCs w:val="13"/>
                <w:color w:val="auto"/>
              </w:rPr>
              <w:t>35,189</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158,000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540" w:type="dxa"/>
            <w:vAlign w:val="bottom"/>
          </w:tcPr>
          <w:p>
            <w:pPr>
              <w:jc w:val="center"/>
              <w:spacing w:after="0" w:line="148" w:lineRule="exact"/>
              <w:rPr>
                <w:sz w:val="20"/>
                <w:szCs w:val="20"/>
                <w:color w:val="auto"/>
              </w:rPr>
            </w:pPr>
            <w:r>
              <w:rPr>
                <w:rFonts w:ascii="Arial" w:cs="Arial" w:eastAsia="Arial" w:hAnsi="Arial"/>
                <w:sz w:val="13"/>
                <w:szCs w:val="13"/>
                <w:color w:val="auto"/>
                <w:w w:val="85"/>
              </w:rPr>
              <w:t>28.23</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13,000</w:t>
            </w:r>
          </w:p>
        </w:tc>
        <w:tc>
          <w:tcPr>
            <w:tcW w:w="720" w:type="dxa"/>
            <w:vAlign w:val="bottom"/>
          </w:tcPr>
          <w:p>
            <w:pPr>
              <w:ind w:left="20"/>
              <w:spacing w:after="0" w:line="148" w:lineRule="exact"/>
              <w:rPr>
                <w:sz w:val="20"/>
                <w:szCs w:val="20"/>
                <w:color w:val="auto"/>
              </w:rPr>
            </w:pPr>
            <w:r>
              <w:rPr>
                <w:rFonts w:ascii="Arial" w:cs="Arial" w:eastAsia="Arial" w:hAnsi="Arial"/>
                <w:sz w:val="13"/>
                <w:szCs w:val="13"/>
                <w:color w:val="auto"/>
                <w:w w:val="94"/>
              </w:rPr>
              <w:t>Trader Joe's</w:t>
            </w:r>
          </w:p>
        </w:tc>
        <w:tc>
          <w:tcPr>
            <w:tcW w:w="1880" w:type="dxa"/>
            <w:vAlign w:val="bottom"/>
          </w:tcPr>
          <w:p>
            <w:pPr>
              <w:ind w:left="40"/>
              <w:spacing w:after="0" w:line="148" w:lineRule="exact"/>
              <w:rPr>
                <w:sz w:val="20"/>
                <w:szCs w:val="20"/>
                <w:color w:val="auto"/>
              </w:rPr>
            </w:pPr>
            <w:r>
              <w:rPr>
                <w:rFonts w:ascii="Arial" w:cs="Arial" w:eastAsia="Arial" w:hAnsi="Arial"/>
                <w:sz w:val="13"/>
                <w:szCs w:val="13"/>
                <w:color w:val="auto"/>
              </w:rPr>
              <w:t>Ulta / Stein Mart / Petco</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tcPr>
          <w:p>
            <w:pPr>
              <w:ind w:left="500"/>
              <w:spacing w:after="0"/>
              <w:rPr>
                <w:sz w:val="20"/>
                <w:szCs w:val="20"/>
                <w:color w:val="auto"/>
              </w:rPr>
            </w:pPr>
            <w:r>
              <w:rPr>
                <w:rFonts w:ascii="Arial" w:cs="Arial" w:eastAsia="Arial" w:hAnsi="Arial"/>
                <w:sz w:val="13"/>
                <w:szCs w:val="13"/>
                <w:color w:val="auto"/>
              </w:rPr>
              <w:t>NC</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56"/>
        </w:trPr>
        <w:tc>
          <w:tcPr>
            <w:tcW w:w="11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Gratiot Plaza</w:t>
            </w:r>
          </w:p>
        </w:tc>
        <w:tc>
          <w:tcPr>
            <w:tcW w:w="18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Detroit-Warren-</w:t>
            </w: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20,122</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12.55</w:t>
            </w: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69,000</w:t>
            </w: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Kroger</w:t>
            </w: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Bed, Bath &amp; Beyond / Best Buy /</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Dearborn, MI</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w:t>
            </w:r>
          </w:p>
        </w:tc>
      </w:tr>
      <w:tr>
        <w:trPr>
          <w:trHeight w:val="173"/>
        </w:trPr>
        <w:tc>
          <w:tcPr>
            <w:tcW w:w="1160" w:type="dxa"/>
            <w:vAlign w:val="bottom"/>
            <w:gridSpan w:val="3"/>
          </w:tcPr>
          <w:p>
            <w:pPr>
              <w:ind w:left="40"/>
              <w:spacing w:after="0"/>
              <w:rPr>
                <w:sz w:val="20"/>
                <w:szCs w:val="20"/>
                <w:color w:val="auto"/>
              </w:rPr>
            </w:pPr>
            <w:r>
              <w:rPr>
                <w:rFonts w:ascii="Arial" w:cs="Arial" w:eastAsia="Arial" w:hAnsi="Arial"/>
                <w:sz w:val="13"/>
                <w:szCs w:val="13"/>
                <w:color w:val="auto"/>
              </w:rPr>
              <w:t>Lancaster</w:t>
            </w:r>
          </w:p>
        </w:tc>
        <w:tc>
          <w:tcPr>
            <w:tcW w:w="1800" w:type="dxa"/>
            <w:vAlign w:val="bottom"/>
          </w:tcPr>
          <w:p>
            <w:pPr>
              <w:ind w:left="200"/>
              <w:spacing w:after="0"/>
              <w:rPr>
                <w:sz w:val="20"/>
                <w:szCs w:val="20"/>
                <w:color w:val="auto"/>
              </w:rPr>
            </w:pPr>
            <w:r>
              <w:rPr>
                <w:rFonts w:ascii="Arial" w:cs="Arial" w:eastAsia="Arial" w:hAnsi="Arial"/>
                <w:sz w:val="13"/>
                <w:szCs w:val="13"/>
                <w:color w:val="auto"/>
              </w:rPr>
              <w:t>(8)   Lancaster, PA</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13,126</w:t>
            </w:r>
          </w:p>
        </w:tc>
        <w:tc>
          <w:tcPr>
            <w:tcW w:w="160" w:type="dxa"/>
            <w:vAlign w:val="bottom"/>
          </w:tcPr>
          <w:p>
            <w:pPr>
              <w:spacing w:after="0"/>
              <w:rPr>
                <w:sz w:val="15"/>
                <w:szCs w:val="15"/>
                <w:color w:val="auto"/>
              </w:rPr>
            </w:pPr>
          </w:p>
        </w:tc>
        <w:tc>
          <w:tcPr>
            <w:tcW w:w="900" w:type="dxa"/>
            <w:vAlign w:val="bottom"/>
          </w:tcPr>
          <w:p>
            <w:pPr>
              <w:jc w:val="right"/>
              <w:ind w:right="119"/>
              <w:spacing w:after="0"/>
              <w:rPr>
                <w:sz w:val="20"/>
                <w:szCs w:val="20"/>
                <w:color w:val="auto"/>
              </w:rPr>
            </w:pPr>
            <w:r>
              <w:rPr>
                <w:rFonts w:ascii="Arial" w:cs="Arial" w:eastAsia="Arial" w:hAnsi="Arial"/>
                <w:sz w:val="13"/>
                <w:szCs w:val="13"/>
                <w:color w:val="auto"/>
              </w:rPr>
              <w:t>5,491</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127,000</w:t>
            </w:r>
          </w:p>
        </w:tc>
        <w:tc>
          <w:tcPr>
            <w:tcW w:w="520" w:type="dxa"/>
            <w:vAlign w:val="bottom"/>
          </w:tcPr>
          <w:p>
            <w:pPr>
              <w:jc w:val="right"/>
              <w:spacing w:after="0"/>
              <w:rPr>
                <w:sz w:val="20"/>
                <w:szCs w:val="20"/>
                <w:color w:val="auto"/>
              </w:rPr>
            </w:pPr>
            <w:r>
              <w:rPr>
                <w:rFonts w:ascii="Arial" w:cs="Arial" w:eastAsia="Arial" w:hAnsi="Arial"/>
                <w:sz w:val="13"/>
                <w:szCs w:val="13"/>
                <w:color w:val="auto"/>
              </w:rPr>
              <w:t>82%</w:t>
            </w:r>
          </w:p>
        </w:tc>
        <w:tc>
          <w:tcPr>
            <w:tcW w:w="600" w:type="dxa"/>
            <w:vAlign w:val="bottom"/>
          </w:tcPr>
          <w:p>
            <w:pPr>
              <w:jc w:val="right"/>
              <w:spacing w:after="0"/>
              <w:rPr>
                <w:sz w:val="20"/>
                <w:szCs w:val="20"/>
                <w:color w:val="auto"/>
              </w:rPr>
            </w:pPr>
            <w:r>
              <w:rPr>
                <w:rFonts w:ascii="Arial" w:cs="Arial" w:eastAsia="Arial" w:hAnsi="Arial"/>
                <w:sz w:val="13"/>
                <w:szCs w:val="13"/>
                <w:color w:val="auto"/>
              </w:rPr>
              <w:t>82%</w:t>
            </w: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19.17</w:t>
            </w:r>
          </w:p>
        </w:tc>
        <w:tc>
          <w:tcPr>
            <w:tcW w:w="68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auto"/>
              </w:rPr>
              <w:t>75,000</w:t>
            </w:r>
          </w:p>
        </w:tc>
        <w:tc>
          <w:tcPr>
            <w:tcW w:w="720" w:type="dxa"/>
            <w:vAlign w:val="bottom"/>
          </w:tcPr>
          <w:p>
            <w:pPr>
              <w:ind w:left="20"/>
              <w:spacing w:after="0"/>
              <w:rPr>
                <w:sz w:val="20"/>
                <w:szCs w:val="20"/>
                <w:color w:val="auto"/>
              </w:rPr>
            </w:pPr>
            <w:r>
              <w:rPr>
                <w:rFonts w:ascii="Arial" w:cs="Arial" w:eastAsia="Arial" w:hAnsi="Arial"/>
                <w:sz w:val="13"/>
                <w:szCs w:val="13"/>
                <w:color w:val="auto"/>
              </w:rPr>
              <w:t>Giant Food</w:t>
            </w:r>
          </w:p>
        </w:tc>
        <w:tc>
          <w:tcPr>
            <w:tcW w:w="188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148"/>
        </w:trPr>
        <w:tc>
          <w:tcPr>
            <w:tcW w:w="116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29th Place</w:t>
            </w:r>
          </w:p>
        </w:tc>
        <w:tc>
          <w:tcPr>
            <w:tcW w:w="1800" w:type="dxa"/>
            <w:vAlign w:val="bottom"/>
            <w:shd w:val="clear" w:color="auto" w:fill="CCEEFF"/>
          </w:tcPr>
          <w:p>
            <w:pPr>
              <w:ind w:left="500"/>
              <w:spacing w:after="0" w:line="148" w:lineRule="exact"/>
              <w:rPr>
                <w:sz w:val="20"/>
                <w:szCs w:val="20"/>
                <w:color w:val="auto"/>
              </w:rPr>
            </w:pPr>
            <w:r>
              <w:rPr>
                <w:rFonts w:ascii="Arial" w:cs="Arial" w:eastAsia="Arial" w:hAnsi="Arial"/>
                <w:sz w:val="13"/>
                <w:szCs w:val="13"/>
                <w:color w:val="auto"/>
              </w:rPr>
              <w:t>Charlottesville, VA</w:t>
            </w:r>
          </w:p>
        </w:tc>
        <w:tc>
          <w:tcPr>
            <w:tcW w:w="700" w:type="dxa"/>
            <w:vAlign w:val="bottom"/>
            <w:shd w:val="clear" w:color="auto" w:fill="CCEEFF"/>
          </w:tcPr>
          <w:p>
            <w:pPr>
              <w:jc w:val="right"/>
              <w:ind w:right="18"/>
              <w:spacing w:after="0" w:line="148" w:lineRule="exact"/>
              <w:rPr>
                <w:sz w:val="20"/>
                <w:szCs w:val="20"/>
                <w:color w:val="auto"/>
              </w:rPr>
            </w:pPr>
            <w:r>
              <w:rPr>
                <w:rFonts w:ascii="Arial" w:cs="Arial" w:eastAsia="Arial" w:hAnsi="Arial"/>
                <w:sz w:val="13"/>
                <w:szCs w:val="13"/>
                <w:color w:val="auto"/>
              </w:rPr>
              <w:t>41,059</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19"/>
              <w:spacing w:after="0" w:line="148" w:lineRule="exact"/>
              <w:rPr>
                <w:sz w:val="20"/>
                <w:szCs w:val="20"/>
                <w:color w:val="auto"/>
              </w:rPr>
            </w:pPr>
            <w:r>
              <w:rPr>
                <w:rFonts w:ascii="Arial" w:cs="Arial" w:eastAsia="Arial" w:hAnsi="Arial"/>
                <w:sz w:val="13"/>
                <w:szCs w:val="13"/>
                <w:color w:val="auto"/>
              </w:rPr>
              <w:t>3,878</w:t>
            </w:r>
          </w:p>
        </w:tc>
        <w:tc>
          <w:tcPr>
            <w:tcW w:w="5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15</w:t>
            </w: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169,000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18.81</w:t>
            </w: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HomeGoods / DSW / Stein Mart /</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Staples</w:t>
            </w:r>
          </w:p>
        </w:tc>
      </w:tr>
      <w:tr>
        <w:trPr>
          <w:trHeight w:val="148"/>
        </w:trPr>
        <w:tc>
          <w:tcPr>
            <w:tcW w:w="11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Willow Lawn</w:t>
            </w:r>
          </w:p>
        </w:tc>
        <w:tc>
          <w:tcPr>
            <w:tcW w:w="1800" w:type="dxa"/>
            <w:vAlign w:val="bottom"/>
          </w:tcPr>
          <w:p>
            <w:pPr>
              <w:ind w:left="500"/>
              <w:spacing w:after="0" w:line="148" w:lineRule="exact"/>
              <w:rPr>
                <w:sz w:val="20"/>
                <w:szCs w:val="20"/>
                <w:color w:val="auto"/>
              </w:rPr>
            </w:pPr>
            <w:r>
              <w:rPr>
                <w:rFonts w:ascii="Arial" w:cs="Arial" w:eastAsia="Arial" w:hAnsi="Arial"/>
                <w:sz w:val="13"/>
                <w:szCs w:val="13"/>
                <w:color w:val="auto"/>
              </w:rPr>
              <w:t>Richmond, VA</w:t>
            </w:r>
          </w:p>
        </w:tc>
        <w:tc>
          <w:tcPr>
            <w:tcW w:w="700" w:type="dxa"/>
            <w:vAlign w:val="bottom"/>
          </w:tcPr>
          <w:p>
            <w:pPr>
              <w:jc w:val="right"/>
              <w:ind w:right="18"/>
              <w:spacing w:after="0" w:line="148" w:lineRule="exact"/>
              <w:rPr>
                <w:sz w:val="20"/>
                <w:szCs w:val="20"/>
                <w:color w:val="auto"/>
              </w:rPr>
            </w:pPr>
            <w:r>
              <w:rPr>
                <w:rFonts w:ascii="Arial" w:cs="Arial" w:eastAsia="Arial" w:hAnsi="Arial"/>
                <w:sz w:val="13"/>
                <w:szCs w:val="13"/>
                <w:color w:val="auto"/>
              </w:rPr>
              <w:t>102,753</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37</w:t>
            </w: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464,000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85%</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84%</w:t>
            </w:r>
          </w:p>
        </w:tc>
        <w:tc>
          <w:tcPr>
            <w:tcW w:w="540" w:type="dxa"/>
            <w:vAlign w:val="bottom"/>
          </w:tcPr>
          <w:p>
            <w:pPr>
              <w:jc w:val="center"/>
              <w:spacing w:after="0" w:line="148" w:lineRule="exact"/>
              <w:rPr>
                <w:sz w:val="20"/>
                <w:szCs w:val="20"/>
                <w:color w:val="auto"/>
              </w:rPr>
            </w:pPr>
            <w:r>
              <w:rPr>
                <w:rFonts w:ascii="Arial" w:cs="Arial" w:eastAsia="Arial" w:hAnsi="Arial"/>
                <w:sz w:val="13"/>
                <w:szCs w:val="13"/>
                <w:color w:val="auto"/>
                <w:w w:val="85"/>
              </w:rPr>
              <w:t>19.89</w:t>
            </w:r>
          </w:p>
        </w:tc>
        <w:tc>
          <w:tcPr>
            <w:tcW w:w="680" w:type="dxa"/>
            <w:vAlign w:val="bottom"/>
          </w:tcPr>
          <w:p>
            <w:pPr>
              <w:spacing w:after="0"/>
              <w:rPr>
                <w:sz w:val="12"/>
                <w:szCs w:val="12"/>
                <w:color w:val="auto"/>
              </w:rPr>
            </w:pPr>
          </w:p>
        </w:tc>
        <w:tc>
          <w:tcPr>
            <w:tcW w:w="540" w:type="dxa"/>
            <w:vAlign w:val="bottom"/>
          </w:tcPr>
          <w:p>
            <w:pPr>
              <w:ind w:left="60"/>
              <w:spacing w:after="0" w:line="148" w:lineRule="exact"/>
              <w:rPr>
                <w:sz w:val="20"/>
                <w:szCs w:val="20"/>
                <w:color w:val="auto"/>
              </w:rPr>
            </w:pPr>
            <w:r>
              <w:rPr>
                <w:rFonts w:ascii="Arial" w:cs="Arial" w:eastAsia="Arial" w:hAnsi="Arial"/>
                <w:sz w:val="13"/>
                <w:szCs w:val="13"/>
                <w:color w:val="auto"/>
              </w:rPr>
              <w:t>66,000</w:t>
            </w:r>
          </w:p>
        </w:tc>
        <w:tc>
          <w:tcPr>
            <w:tcW w:w="720" w:type="dxa"/>
            <w:vAlign w:val="bottom"/>
          </w:tcPr>
          <w:p>
            <w:pPr>
              <w:ind w:left="20"/>
              <w:spacing w:after="0" w:line="148" w:lineRule="exact"/>
              <w:rPr>
                <w:sz w:val="20"/>
                <w:szCs w:val="20"/>
                <w:color w:val="auto"/>
              </w:rPr>
            </w:pPr>
            <w:r>
              <w:rPr>
                <w:rFonts w:ascii="Arial" w:cs="Arial" w:eastAsia="Arial" w:hAnsi="Arial"/>
                <w:sz w:val="13"/>
                <w:szCs w:val="13"/>
                <w:color w:val="auto"/>
              </w:rPr>
              <w:t>Kroger</w:t>
            </w:r>
          </w:p>
        </w:tc>
        <w:tc>
          <w:tcPr>
            <w:tcW w:w="1880" w:type="dxa"/>
            <w:vAlign w:val="bottom"/>
          </w:tcPr>
          <w:p>
            <w:pPr>
              <w:ind w:left="40"/>
              <w:spacing w:after="0" w:line="148" w:lineRule="exact"/>
              <w:rPr>
                <w:sz w:val="20"/>
                <w:szCs w:val="20"/>
                <w:color w:val="auto"/>
              </w:rPr>
            </w:pPr>
            <w:r>
              <w:rPr>
                <w:rFonts w:ascii="Arial" w:cs="Arial" w:eastAsia="Arial" w:hAnsi="Arial"/>
                <w:sz w:val="13"/>
                <w:szCs w:val="13"/>
                <w:color w:val="auto"/>
                <w:w w:val="94"/>
              </w:rPr>
              <w:t>Old Navy / Ross Dress For Less /</w:t>
            </w: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80" w:type="dxa"/>
            <w:vAlign w:val="bottom"/>
          </w:tcPr>
          <w:p>
            <w:pPr>
              <w:ind w:left="40"/>
              <w:spacing w:after="0" w:line="135" w:lineRule="exact"/>
              <w:rPr>
                <w:sz w:val="20"/>
                <w:szCs w:val="20"/>
                <w:color w:val="auto"/>
              </w:rPr>
            </w:pPr>
            <w:r>
              <w:rPr>
                <w:rFonts w:ascii="Arial" w:cs="Arial" w:eastAsia="Arial" w:hAnsi="Arial"/>
                <w:sz w:val="13"/>
                <w:szCs w:val="13"/>
                <w:color w:val="auto"/>
              </w:rPr>
              <w:t>Gold's Gym / Dick's Sporting</w:t>
            </w:r>
          </w:p>
        </w:tc>
      </w:tr>
      <w:tr>
        <w:trPr>
          <w:trHeight w:val="170"/>
        </w:trPr>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Goods</w:t>
            </w: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 Other</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313,436</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162</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1,901,000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20.92</w:t>
            </w: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r>
      <w:tr>
        <w:trPr>
          <w:trHeight w:val="215"/>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Grand Total</w:t>
            </w:r>
          </w:p>
        </w:tc>
        <w:tc>
          <w:tcPr>
            <w:tcW w:w="18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w w:val="87"/>
              </w:rPr>
              <w:t>$ 8,369,991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3"/>
                <w:szCs w:val="13"/>
                <w:b w:val="1"/>
                <w:bCs w:val="1"/>
                <w:color w:val="auto"/>
              </w:rPr>
              <w:t>619,309</w:t>
            </w: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1,928</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9"/>
              </w:rPr>
              <w:t>23,676,000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94%</w:t>
            </w:r>
          </w:p>
        </w:tc>
        <w:tc>
          <w:tcPr>
            <w:tcW w:w="114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92% $ 29.05</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2,788</w:t>
            </w:r>
          </w:p>
        </w:tc>
        <w:tc>
          <w:tcPr>
            <w:tcW w:w="5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340" w:hanging="234"/>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"Finance lease right of use assets."</w:t>
      </w:r>
    </w:p>
    <w:p>
      <w:pPr>
        <w:spacing w:after="0" w:line="39" w:lineRule="exact"/>
        <w:rPr>
          <w:rFonts w:ascii="Arial" w:cs="Arial" w:eastAsia="Arial" w:hAnsi="Arial"/>
          <w:sz w:val="13"/>
          <w:szCs w:val="13"/>
          <w:color w:val="auto"/>
        </w:rPr>
      </w:pPr>
    </w:p>
    <w:p>
      <w:pPr>
        <w:ind w:left="340" w:hanging="234"/>
        <w:spacing w:after="0"/>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mortgage or finance lease liabilities differ from the total reported on the consolidated balance sheet due to the unamortized discount, premium, and/or debt issuance costs on certain mortgages payable.</w:t>
      </w:r>
    </w:p>
    <w:p>
      <w:pPr>
        <w:spacing w:after="0" w:line="51" w:lineRule="exact"/>
        <w:rPr>
          <w:rFonts w:ascii="Arial" w:cs="Arial" w:eastAsia="Arial" w:hAnsi="Arial"/>
          <w:sz w:val="12"/>
          <w:szCs w:val="12"/>
          <w:color w:val="auto"/>
        </w:rPr>
      </w:pPr>
    </w:p>
    <w:p>
      <w:pPr>
        <w:ind w:left="340" w:right="200" w:hanging="234"/>
        <w:spacing w:after="0" w:line="237"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the GLA and the percentage leased and percentage occupied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28" w:lineRule="exact"/>
        <w:rPr>
          <w:rFonts w:ascii="Arial" w:cs="Arial" w:eastAsia="Arial" w:hAnsi="Arial"/>
          <w:sz w:val="13"/>
          <w:szCs w:val="13"/>
          <w:color w:val="auto"/>
        </w:rPr>
      </w:pPr>
    </w:p>
    <w:p>
      <w:pPr>
        <w:ind w:left="340" w:hanging="234"/>
        <w:spacing w:after="0"/>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Calculated as the aggregate, annualized in-place contractual (defined as cash basis excluding rent abatements) minimum rent for all occupied spaces divided by the aggregate GLA of all occupied spaces.</w:t>
      </w:r>
    </w:p>
    <w:p>
      <w:pPr>
        <w:spacing w:after="0" w:line="51" w:lineRule="exact"/>
        <w:rPr>
          <w:rFonts w:ascii="Arial" w:cs="Arial" w:eastAsia="Arial" w:hAnsi="Arial"/>
          <w:sz w:val="12"/>
          <w:szCs w:val="12"/>
          <w:color w:val="auto"/>
        </w:rPr>
      </w:pPr>
    </w:p>
    <w:p>
      <w:pPr>
        <w:ind w:left="340" w:hanging="234"/>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340" w:hanging="234"/>
        <w:spacing w:after="0"/>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All or a portion of the property is owned in a "downREIT" partnership, of which a wholly owned subsidiary of the Trust is the sole general partner, with third party partners holding operating partnership units.</w:t>
      </w:r>
    </w:p>
    <w:p>
      <w:pPr>
        <w:spacing w:after="0" w:line="51" w:lineRule="exact"/>
        <w:rPr>
          <w:rFonts w:ascii="Arial" w:cs="Arial" w:eastAsia="Arial" w:hAnsi="Arial"/>
          <w:sz w:val="12"/>
          <w:szCs w:val="12"/>
          <w:color w:val="auto"/>
        </w:rPr>
      </w:pPr>
    </w:p>
    <w:p>
      <w:pPr>
        <w:ind w:left="340" w:hanging="234"/>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the Assembly Row and Pike &amp; Rose schedules and Summary of Redevelopment Opportunities for Freedom Plaza.</w:t>
      </w:r>
    </w:p>
    <w:p>
      <w:pPr>
        <w:spacing w:after="0" w:line="39" w:lineRule="exact"/>
        <w:rPr>
          <w:rFonts w:ascii="Arial" w:cs="Arial" w:eastAsia="Arial" w:hAnsi="Arial"/>
          <w:sz w:val="13"/>
          <w:szCs w:val="13"/>
          <w:color w:val="auto"/>
        </w:rPr>
      </w:pPr>
    </w:p>
    <w:p>
      <w:pPr>
        <w:ind w:left="340" w:hanging="234"/>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All or a portion of the property is subject to finance lease liabilities.</w:t>
      </w:r>
    </w:p>
    <w:p>
      <w:pPr>
        <w:spacing w:after="0" w:line="39" w:lineRule="exact"/>
        <w:rPr>
          <w:rFonts w:ascii="Arial" w:cs="Arial" w:eastAsia="Arial" w:hAnsi="Arial"/>
          <w:sz w:val="13"/>
          <w:szCs w:val="13"/>
          <w:color w:val="auto"/>
        </w:rPr>
      </w:pPr>
    </w:p>
    <w:p>
      <w:pPr>
        <w:ind w:left="340" w:hanging="234"/>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This property includes interests in five buildings in addition to our initial acquisition.</w:t>
      </w:r>
    </w:p>
    <w:p>
      <w:pPr>
        <w:spacing w:after="0" w:line="39" w:lineRule="exact"/>
        <w:rPr>
          <w:rFonts w:ascii="Arial" w:cs="Arial" w:eastAsia="Arial" w:hAnsi="Arial"/>
          <w:sz w:val="13"/>
          <w:szCs w:val="13"/>
          <w:color w:val="auto"/>
        </w:rPr>
      </w:pPr>
    </w:p>
    <w:p>
      <w:pPr>
        <w:ind w:left="340" w:hanging="297"/>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This property includes 37 buildings primarily along Washington Street and 14th Street in Hoboken, New Jersey.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20"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2019</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80"/>
              </w:rPr>
              <w:t>Leases</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Comparable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Rent (3) Per Sq.</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2140" w:type="dxa"/>
            <w:vAlign w:val="bottom"/>
          </w:tcPr>
          <w:p>
            <w:pPr>
              <w:jc w:val="right"/>
              <w:ind w:right="831"/>
              <w:spacing w:after="0"/>
              <w:rPr>
                <w:sz w:val="20"/>
                <w:szCs w:val="20"/>
                <w:color w:val="auto"/>
              </w:rPr>
            </w:pPr>
            <w:r>
              <w:rPr>
                <w:rFonts w:ascii="Arial" w:cs="Arial" w:eastAsia="Arial" w:hAnsi="Arial"/>
                <w:sz w:val="11"/>
                <w:szCs w:val="11"/>
                <w:b w:val="1"/>
                <w:bCs w:val="1"/>
                <w:color w:val="auto"/>
              </w:rPr>
              <w:t>Quarter</w:t>
            </w:r>
          </w:p>
        </w:tc>
        <w:tc>
          <w:tcPr>
            <w:tcW w:w="7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1"/>
              </w:rPr>
              <w:t>Signed</w:t>
            </w: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Leases Signed</w:t>
            </w:r>
          </w:p>
        </w:tc>
        <w:tc>
          <w:tcPr>
            <w:tcW w:w="92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2019</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461,952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37.78</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$ 35.41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1,091,731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18,521,400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40.09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3rd Quarter 2019</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468,643</w:t>
            </w: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38.93</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$ 36.31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1,230,724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21,650,073</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46.20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2019</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378,756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42.68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$ 39.75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1,109,393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12,545,948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33.12</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Borders>
              <w:bottom w:val="single" w:sz="8" w:color="CCEEFF"/>
            </w:tcBorders>
          </w:tcPr>
          <w:p>
            <w:pPr>
              <w:spacing w:after="0"/>
              <w:rPr>
                <w:sz w:val="22"/>
                <w:szCs w:val="22"/>
                <w:color w:val="auto"/>
              </w:rPr>
            </w:pP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2019</w:t>
            </w: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247,331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45.07</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$ 41.03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1,000,716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13,596,205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54.97</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1,556,682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40.48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$ 37.63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4,432,564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66,313,626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42.60</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453"/>
        </w:trPr>
        <w:tc>
          <w:tcPr>
            <w:tcW w:w="2940" w:type="dxa"/>
            <w:vAlign w:val="bottom"/>
            <w:gridSpan w:val="7"/>
          </w:tcPr>
          <w:p>
            <w:pPr>
              <w:ind w:left="40"/>
              <w:spacing w:after="0"/>
              <w:rPr>
                <w:sz w:val="20"/>
                <w:szCs w:val="20"/>
                <w:color w:val="auto"/>
              </w:rPr>
            </w:pPr>
            <w:r>
              <w:rPr>
                <w:rFonts w:ascii="Arial" w:cs="Arial" w:eastAsia="Arial" w:hAnsi="Arial"/>
                <w:sz w:val="14"/>
                <w:szCs w:val="14"/>
                <w:b w:val="1"/>
                <w:bCs w:val="1"/>
                <w:color w:val="auto"/>
              </w:rPr>
              <w:t>New Lease Summary - Comparable (2)</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2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80"/>
              </w:rPr>
              <w:t>Leases</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Comparable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Rent (3) Per Sq.</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2140" w:type="dxa"/>
            <w:vAlign w:val="bottom"/>
          </w:tcPr>
          <w:p>
            <w:pPr>
              <w:jc w:val="right"/>
              <w:ind w:right="831"/>
              <w:spacing w:after="0"/>
              <w:rPr>
                <w:sz w:val="20"/>
                <w:szCs w:val="20"/>
                <w:color w:val="auto"/>
              </w:rPr>
            </w:pPr>
            <w:r>
              <w:rPr>
                <w:rFonts w:ascii="Arial" w:cs="Arial" w:eastAsia="Arial" w:hAnsi="Arial"/>
                <w:sz w:val="11"/>
                <w:szCs w:val="11"/>
                <w:b w:val="1"/>
                <w:bCs w:val="1"/>
                <w:color w:val="auto"/>
              </w:rPr>
              <w:t>Quarter</w:t>
            </w:r>
          </w:p>
        </w:tc>
        <w:tc>
          <w:tcPr>
            <w:tcW w:w="7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1"/>
              </w:rPr>
              <w:t>Signed</w:t>
            </w: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Leases Signed</w:t>
            </w:r>
          </w:p>
        </w:tc>
        <w:tc>
          <w:tcPr>
            <w:tcW w:w="92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2019</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212,341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36.77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$ 33.22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753,437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17,786,164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83.76</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3rd Quarter 2019</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316,916</w:t>
            </w: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32.74</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$ 30.85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598,230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21,167,910</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66.79</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2019</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135,840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43.21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$ 37.07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833,706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12,059,702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88.78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40" w:type="dxa"/>
            <w:vAlign w:val="bottom"/>
            <w:tcBorders>
              <w:bottom w:val="single" w:sz="8" w:color="CCEEFF"/>
            </w:tcBorders>
          </w:tcPr>
          <w:p>
            <w:pPr>
              <w:spacing w:after="0"/>
              <w:rPr>
                <w:sz w:val="22"/>
                <w:szCs w:val="22"/>
                <w:color w:val="auto"/>
              </w:rPr>
            </w:pP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2019</w:t>
            </w: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128,283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50.56</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$ 43.25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937,974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13,443,495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104.80</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793,380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38.49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$ 34.56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3,123,347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64,457,271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81.24</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480"/>
        </w:trPr>
        <w:tc>
          <w:tcPr>
            <w:tcW w:w="2940" w:type="dxa"/>
            <w:vAlign w:val="bottom"/>
            <w:gridSpan w:val="7"/>
          </w:tcPr>
          <w:p>
            <w:pPr>
              <w:ind w:left="40"/>
              <w:spacing w:after="0"/>
              <w:rPr>
                <w:sz w:val="20"/>
                <w:szCs w:val="20"/>
                <w:color w:val="auto"/>
              </w:rPr>
            </w:pPr>
            <w:r>
              <w:rPr>
                <w:rFonts w:ascii="Arial" w:cs="Arial" w:eastAsia="Arial" w:hAnsi="Arial"/>
                <w:sz w:val="14"/>
                <w:szCs w:val="14"/>
                <w:b w:val="1"/>
                <w:bCs w:val="1"/>
                <w:color w:val="auto"/>
                <w:w w:val="94"/>
              </w:rPr>
              <w:t>Renewal Lease Summary - Comparable (2) (8)</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2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Number of</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80"/>
              </w:rPr>
              <w:t>Leases</w:t>
            </w: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Comparable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Rent (3) Per Sq.</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2140" w:type="dxa"/>
            <w:vAlign w:val="bottom"/>
          </w:tcPr>
          <w:p>
            <w:pPr>
              <w:jc w:val="right"/>
              <w:ind w:right="831"/>
              <w:spacing w:after="0"/>
              <w:rPr>
                <w:sz w:val="20"/>
                <w:szCs w:val="20"/>
                <w:color w:val="auto"/>
              </w:rPr>
            </w:pPr>
            <w:r>
              <w:rPr>
                <w:rFonts w:ascii="Arial" w:cs="Arial" w:eastAsia="Arial" w:hAnsi="Arial"/>
                <w:sz w:val="11"/>
                <w:szCs w:val="11"/>
                <w:b w:val="1"/>
                <w:bCs w:val="1"/>
                <w:color w:val="auto"/>
              </w:rPr>
              <w:t>Quarter</w:t>
            </w:r>
          </w:p>
        </w:tc>
        <w:tc>
          <w:tcPr>
            <w:tcW w:w="76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1"/>
              </w:rPr>
              <w:t>Signed</w:t>
            </w: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Leases Signed</w:t>
            </w:r>
          </w:p>
        </w:tc>
        <w:tc>
          <w:tcPr>
            <w:tcW w:w="92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2019</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249,611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38.64</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$ 37.28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338,294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735,236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2.95</w:t>
            </w:r>
          </w:p>
        </w:tc>
        <w:tc>
          <w:tcPr>
            <w:tcW w:w="34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3rd Quarter 2019</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151,727</w:t>
            </w:r>
          </w:p>
        </w:tc>
        <w:tc>
          <w:tcPr>
            <w:tcW w:w="12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51.87</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$ 47.70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632,494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482,163</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3.18</w:t>
            </w:r>
          </w:p>
        </w:tc>
        <w:tc>
          <w:tcPr>
            <w:tcW w:w="3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2019</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242,916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42.38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$ 41.25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275,687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486,246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2.00</w:t>
            </w:r>
          </w:p>
        </w:tc>
        <w:tc>
          <w:tcPr>
            <w:tcW w:w="34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2019</w:t>
            </w: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119,048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39.16</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$ 38.63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62,742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152,710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1.28</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763,302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42.54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$ 40.83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1,309,217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1,856,355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2.43</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440"/>
        </w:trPr>
        <w:tc>
          <w:tcPr>
            <w:tcW w:w="4780" w:type="dxa"/>
            <w:vAlign w:val="bottom"/>
            <w:gridSpan w:val="12"/>
          </w:tcPr>
          <w:p>
            <w:pPr>
              <w:ind w:left="40"/>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2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10"/>
                <w:szCs w:val="10"/>
                <w:color w:val="auto"/>
              </w:rPr>
            </w:pPr>
          </w:p>
        </w:tc>
      </w:tr>
      <w:tr>
        <w:trPr>
          <w:trHeight w:val="140"/>
        </w:trPr>
        <w:tc>
          <w:tcPr>
            <w:tcW w:w="40" w:type="dxa"/>
            <w:vAlign w:val="bottom"/>
          </w:tcPr>
          <w:p>
            <w:pPr>
              <w:spacing w:after="0"/>
              <w:rPr>
                <w:sz w:val="12"/>
                <w:szCs w:val="12"/>
                <w:color w:val="auto"/>
              </w:rPr>
            </w:pPr>
          </w:p>
        </w:tc>
        <w:tc>
          <w:tcPr>
            <w:tcW w:w="2140" w:type="dxa"/>
            <w:vAlign w:val="bottom"/>
          </w:tcPr>
          <w:p>
            <w:pPr>
              <w:jc w:val="right"/>
              <w:ind w:right="831"/>
              <w:spacing w:after="0"/>
              <w:rPr>
                <w:sz w:val="20"/>
                <w:szCs w:val="20"/>
                <w:color w:val="auto"/>
              </w:rPr>
            </w:pPr>
            <w:r>
              <w:rPr>
                <w:rFonts w:ascii="Arial" w:cs="Arial" w:eastAsia="Arial" w:hAnsi="Arial"/>
                <w:sz w:val="11"/>
                <w:szCs w:val="11"/>
                <w:b w:val="1"/>
                <w:bCs w:val="1"/>
                <w:color w:val="auto"/>
              </w:rPr>
              <w:t>Quarter</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2019</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494,768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38.46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22,021,754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44.51</w:t>
            </w:r>
          </w:p>
        </w:tc>
        <w:tc>
          <w:tcPr>
            <w:tcW w:w="34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3rd Quarter 2019</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491,414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39.73</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22,620,379</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46.03</w:t>
            </w:r>
          </w:p>
        </w:tc>
        <w:tc>
          <w:tcPr>
            <w:tcW w:w="3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2019</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382,656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42.61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12,852,603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33.59</w:t>
            </w:r>
          </w:p>
        </w:tc>
        <w:tc>
          <w:tcPr>
            <w:tcW w:w="34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2019</w:t>
            </w: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305,724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43.28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14,529,265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47.52</w:t>
            </w:r>
          </w:p>
        </w:tc>
        <w:tc>
          <w:tcPr>
            <w:tcW w:w="340" w:type="dxa"/>
            <w:vAlign w:val="bottom"/>
            <w:tcBorders>
              <w:bottom w:val="single" w:sz="8" w:color="auto"/>
            </w:tcBorders>
          </w:tcPr>
          <w:p>
            <w:pPr>
              <w:spacing w:after="0"/>
              <w:rPr>
                <w:sz w:val="22"/>
                <w:szCs w:val="2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1,674,562</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40.66</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72,024,001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43.01</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auto"/>
        </w:rPr>
        <w:t>Notes:</w:t>
      </w:r>
    </w:p>
    <w:p>
      <w:pPr>
        <w:spacing w:after="0" w:line="42" w:lineRule="exact"/>
        <w:rPr>
          <w:sz w:val="20"/>
          <w:szCs w:val="20"/>
          <w:color w:val="auto"/>
        </w:rPr>
      </w:pPr>
    </w:p>
    <w:p>
      <w:pPr>
        <w:ind w:left="840" w:hanging="805"/>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Information reflects activity in retail spaces only; office and residential spaces are not included.</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Comparable leases represent those leases signed on spaces for which there was a former tenant.</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Contractual rent represents contractual minimum rent under the new lease for the first 12 months of the term.</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Prior rent represents minimum rent and percentage rent, if any, paid by the prior tenant in the final 12 months of the term.</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Weighted average is determined on the basis of contractual rent for the first 12 months of the term.</w:t>
      </w:r>
    </w:p>
    <w:p>
      <w:pPr>
        <w:spacing w:after="0" w:line="109" w:lineRule="exact"/>
        <w:rPr>
          <w:rFonts w:ascii="Arial" w:cs="Arial" w:eastAsia="Arial" w:hAnsi="Arial"/>
          <w:sz w:val="14"/>
          <w:szCs w:val="14"/>
          <w:color w:val="auto"/>
        </w:rPr>
      </w:pPr>
    </w:p>
    <w:p>
      <w:pPr>
        <w:ind w:left="840" w:hanging="805"/>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See Glossary of Terms.</w:t>
      </w:r>
    </w:p>
    <w:p>
      <w:pPr>
        <w:spacing w:after="0" w:line="109" w:lineRule="exact"/>
        <w:rPr>
          <w:rFonts w:ascii="Arial" w:cs="Arial" w:eastAsia="Arial" w:hAnsi="Arial"/>
          <w:sz w:val="14"/>
          <w:szCs w:val="14"/>
          <w:color w:val="auto"/>
        </w:rPr>
      </w:pPr>
    </w:p>
    <w:p>
      <w:pPr>
        <w:ind w:left="840" w:right="60" w:hanging="805"/>
        <w:spacing w:after="0" w:line="264" w:lineRule="auto"/>
        <w:tabs>
          <w:tab w:leader="none" w:pos="8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Approximately $1.1 million ($1.65 per square foot) in 4th Quarter 2019, $7.0 million ($3.21 per square foot) in 3rd Quarter 2019, $4.4 million ($10.25 per square foot) in 2nd Quarter 2019, and $3.9 million ($9.59 per square foot) in 1st Quarter 2019 of the Tenant Improvements &amp; Incentives are for properties under active redevelopment and are included in either the Projected Cost for those properties on the Summary of Redevelopment Opportunities or was included in the cost to complete estimate at acquisition.</w:t>
      </w:r>
    </w:p>
    <w:p>
      <w:pPr>
        <w:spacing w:after="0" w:line="6" w:lineRule="exact"/>
        <w:rPr>
          <w:rFonts w:ascii="Arial" w:cs="Arial" w:eastAsia="Arial" w:hAnsi="Arial"/>
          <w:sz w:val="13"/>
          <w:szCs w:val="13"/>
          <w:color w:val="auto"/>
        </w:rPr>
      </w:pPr>
    </w:p>
    <w:p>
      <w:pPr>
        <w:ind w:left="840" w:hanging="805"/>
        <w:spacing w:after="0"/>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p>
      <w:pPr>
        <w:spacing w:after="0" w:line="109" w:lineRule="exact"/>
        <w:rPr>
          <w:rFonts w:ascii="Arial" w:cs="Arial" w:eastAsia="Arial" w:hAnsi="Arial"/>
          <w:sz w:val="14"/>
          <w:szCs w:val="14"/>
          <w:color w:val="auto"/>
        </w:rPr>
      </w:pPr>
    </w:p>
    <w:p>
      <w:pPr>
        <w:ind w:left="840" w:right="80" w:hanging="805"/>
        <w:spacing w:after="0" w:line="234" w:lineRule="auto"/>
        <w:tabs>
          <w:tab w:leader="none" w:pos="8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Number of Leases Signed, GLA Signed, Contractual Rent Per Sq. Ft. and Weighted Average Lease Term columns include information for leases signed at Phase 2 and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2 and Phase 3 of Assembly Row and Pike &amp; Rose are included in the Projected Cost column for those projects shown on the Assembly Row and Pike &amp; Rose schedule.</w:t>
      </w:r>
    </w:p>
    <w:p>
      <w:pPr>
        <w:sectPr>
          <w:pgSz w:w="11900" w:h="16838" w:orient="portrait"/>
          <w:cols w:equalWidth="0" w:num="1">
            <w:col w:w="11420"/>
          </w:cols>
          <w:pgMar w:left="240" w:top="733" w:right="239" w:bottom="771"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733" w:right="239" w:bottom="771"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894,000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892,000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1,786,000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1,617,000</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20.99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852,000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45.52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2,469,000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29.45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1,582,000</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21.74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871,000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46.56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2,453,000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46.20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1,350,000</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21.36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676,000</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43.77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2,026,000</w:t>
            </w: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28.83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49.49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831,000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34.29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468,000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47.50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1,299,000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39.05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928,000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25.64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394,000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44.64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1,322,000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31.31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21.78</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51.79</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14,834,000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21.48</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7,045,000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44.98</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21,879,000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29.05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473,000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827,000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1,301,000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469,000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19.45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514,000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48.60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982,000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34.69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464,000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23.93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535,000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42.64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999,000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33.95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23.34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353,000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20.91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368,000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44.83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721,000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33.12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44.38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755,000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22.05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460,000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46.48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1,215,000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31.29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49.65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784,000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21.52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362,000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43.15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1,146,000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28.35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9,536,000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21.25</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47.94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11,731,000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26.25</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14,834,000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21.48</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7,045,000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44.98</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21,879,000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29.05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Anchor is defined as a commercial tenant leasing 10,000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December 31, 2019.</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occupied square footage of the commercial portion of our portfolio as of December 31, 2019.</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15" w:right="239" w:bottom="1440" w:gutter="0" w:footer="0" w:header="0"/>
        </w:sectPr>
      </w:pPr>
    </w:p>
    <w:bookmarkStart w:id="31" w:name="page32"/>
    <w:bookmarkEnd w:id="31"/>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December 31, 2019</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Commercial Properties (2) (3) (4) (sf)</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Comparable Property Statistics (1)</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2019</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2018</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2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23,676,000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22,299,000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24,127,000</w:t>
            </w: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22,832,000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94.6%</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2,788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2,670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2,669</w:t>
            </w: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2,557</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95.8%</w:t>
            </w:r>
          </w:p>
        </w:tc>
      </w:tr>
      <w:tr>
        <w:trPr>
          <w:trHeight w:val="864"/>
        </w:trPr>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2019</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2018</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2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15"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Properties (2) (4) (sf)</w:t>
            </w:r>
          </w:p>
        </w:tc>
        <w:tc>
          <w:tcPr>
            <w:tcW w:w="2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21,825,000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20,712,000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94.9%</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22,028,000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20,941,000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w:t>
            </w:r>
          </w:p>
        </w:tc>
      </w:tr>
      <w:tr>
        <w:trPr>
          <w:trHeight w:val="270"/>
        </w:trPr>
        <w:tc>
          <w:tcPr>
            <w:tcW w:w="3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2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1,348</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1,276</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94.7%</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1,350</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1,288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r>
      <w:tr>
        <w:trPr>
          <w:trHeight w:val="33"/>
        </w:trPr>
        <w:tc>
          <w:tcPr>
            <w:tcW w:w="35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December 31, 2019, the leased percentage was 97.5% for anchor tenants and 87.9% for small shop tenants.</w:t>
      </w:r>
    </w:p>
    <w:p>
      <w:pPr>
        <w:spacing w:after="0" w:line="72" w:lineRule="exact"/>
        <w:rPr>
          <w:rFonts w:ascii="Arial" w:cs="Arial" w:eastAsia="Arial" w:hAnsi="Arial"/>
          <w:sz w:val="16"/>
          <w:szCs w:val="16"/>
          <w:color w:val="auto"/>
        </w:rPr>
      </w:pPr>
    </w:p>
    <w:p>
      <w:pPr>
        <w:ind w:left="700" w:right="200" w:hanging="665"/>
        <w:spacing w:after="0" w:line="293"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Occupied percentage was 92.5% and 93.6% at December 31, 2019 and 2018, respectively, and comparable property occupied percentage was 93.3% and 94.0% at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15" w:right="239" w:bottom="1440" w:gutter="0" w:footer="0" w:header="0"/>
          <w:type w:val="continuous"/>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000" w:type="dxa"/>
            <w:vAlign w:val="bottom"/>
            <w:vMerge w:val="restart"/>
          </w:tcPr>
          <w:p>
            <w:pPr>
              <w:jc w:val="center"/>
              <w:ind w:left="1108"/>
              <w:spacing w:after="0"/>
              <w:rPr>
                <w:sz w:val="20"/>
                <w:szCs w:val="20"/>
                <w:color w:val="auto"/>
              </w:rPr>
            </w:pPr>
            <w:r>
              <w:rPr>
                <w:rFonts w:ascii="Arial" w:cs="Arial" w:eastAsia="Arial" w:hAnsi="Arial"/>
                <w:sz w:val="14"/>
                <w:szCs w:val="14"/>
                <w:b w:val="1"/>
                <w:bCs w:val="1"/>
                <w:color w:val="auto"/>
                <w:w w:val="94"/>
              </w:rPr>
              <w:t>Credit Ratings</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Annualized Base</w:t>
            </w:r>
          </w:p>
        </w:tc>
        <w:tc>
          <w:tcPr>
            <w:tcW w:w="148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Percentage of Total</w:t>
            </w:r>
          </w:p>
        </w:tc>
        <w:tc>
          <w:tcPr>
            <w:tcW w:w="20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Percentage of</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2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Rank   Tenant Name</w:t>
            </w:r>
          </w:p>
        </w:tc>
        <w:tc>
          <w:tcPr>
            <w:tcW w:w="30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4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Annualized Base</w:t>
            </w:r>
          </w:p>
        </w:tc>
        <w:tc>
          <w:tcPr>
            <w:tcW w:w="2020" w:type="dxa"/>
            <w:vAlign w:val="bottom"/>
            <w:vMerge w:val="continue"/>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of Stores</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jc w:val="center"/>
              <w:ind w:left="1088"/>
              <w:spacing w:after="0"/>
              <w:rPr>
                <w:sz w:val="20"/>
                <w:szCs w:val="20"/>
                <w:color w:val="auto"/>
              </w:rPr>
            </w:pPr>
            <w:r>
              <w:rPr>
                <w:rFonts w:ascii="Arial" w:cs="Arial" w:eastAsia="Arial" w:hAnsi="Arial"/>
                <w:sz w:val="14"/>
                <w:szCs w:val="14"/>
                <w:b w:val="1"/>
                <w:bCs w:val="1"/>
                <w:color w:val="auto"/>
                <w:w w:val="97"/>
              </w:rPr>
              <w:t>(S&amp;P/Moody's/Fitch) (1)</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Rent</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Rent (3)</w:t>
            </w:r>
          </w:p>
        </w:tc>
        <w:tc>
          <w:tcPr>
            <w:tcW w:w="2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Total GLA  Total GLA (3)</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p>
      <w:pPr>
        <w:spacing w:after="0" w:line="287" w:lineRule="exact"/>
        <w:rPr>
          <w:sz w:val="20"/>
          <w:szCs w:val="20"/>
          <w:color w:val="auto"/>
        </w:rPr>
      </w:pPr>
    </w:p>
    <w:tbl>
      <w:tblPr>
        <w:tblLayout w:type="fixed"/>
        <w:tblInd w:w="300" w:type="dxa"/>
        <w:tblCellMar>
          <w:top w:w="0" w:type="dxa"/>
          <w:left w:w="0" w:type="dxa"/>
          <w:bottom w:w="0" w:type="dxa"/>
          <w:right w:w="0" w:type="dxa"/>
        </w:tblCellMar>
      </w:tblPr>
      <w:tr>
        <w:trPr>
          <w:trHeight w:val="206"/>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350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8"/>
              </w:rPr>
              <w:t>A+ / A2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500" w:type="dxa"/>
            <w:vAlign w:val="bottom"/>
          </w:tcPr>
          <w:p>
            <w:pPr>
              <w:ind w:left="120"/>
              <w:spacing w:after="0"/>
              <w:rPr>
                <w:sz w:val="20"/>
                <w:szCs w:val="20"/>
                <w:color w:val="auto"/>
              </w:rPr>
            </w:pPr>
            <w:r>
              <w:rPr>
                <w:rFonts w:ascii="Arial" w:cs="Arial" w:eastAsia="Arial" w:hAnsi="Arial"/>
                <w:sz w:val="16"/>
                <w:szCs w:val="16"/>
                <w:color w:val="auto"/>
              </w:rPr>
              <w:t>Ahold Delhaize</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6"/>
              </w:rPr>
              <w:t>BBB / Baa1 / BBB+</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3500" w:type="dxa"/>
            <w:vAlign w:val="bottom"/>
          </w:tcPr>
          <w:p>
            <w:pPr>
              <w:ind w:left="120"/>
              <w:spacing w:after="0"/>
              <w:rPr>
                <w:sz w:val="20"/>
                <w:szCs w:val="20"/>
                <w:color w:val="auto"/>
              </w:rPr>
            </w:pPr>
            <w:r>
              <w:rPr>
                <w:rFonts w:ascii="Arial" w:cs="Arial" w:eastAsia="Arial" w:hAnsi="Arial"/>
                <w:sz w:val="16"/>
                <w:szCs w:val="16"/>
                <w:color w:val="auto"/>
              </w:rPr>
              <w:t>Gap, Inc., The</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3"/>
              </w:rPr>
              <w:t>BB / Baa2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3500" w:type="dxa"/>
            <w:vAlign w:val="bottom"/>
          </w:tcPr>
          <w:p>
            <w:pPr>
              <w:ind w:left="120"/>
              <w:spacing w:after="0"/>
              <w:rPr>
                <w:sz w:val="20"/>
                <w:szCs w:val="20"/>
                <w:color w:val="auto"/>
              </w:rPr>
            </w:pPr>
            <w:r>
              <w:rPr>
                <w:rFonts w:ascii="Arial" w:cs="Arial" w:eastAsia="Arial" w:hAnsi="Arial"/>
                <w:sz w:val="16"/>
                <w:szCs w:val="16"/>
                <w:color w:val="auto"/>
              </w:rPr>
              <w:t>Splunk,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NR / NR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350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3"/>
              </w:rPr>
              <w:t>BB / Baa3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350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6"/>
              </w:rPr>
              <w:t>B+ / B2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3500" w:type="dxa"/>
            <w:vAlign w:val="bottom"/>
          </w:tcPr>
          <w:p>
            <w:pPr>
              <w:ind w:left="120"/>
              <w:spacing w:after="0"/>
              <w:rPr>
                <w:sz w:val="20"/>
                <w:szCs w:val="20"/>
                <w:color w:val="auto"/>
              </w:rPr>
            </w:pPr>
            <w:r>
              <w:rPr>
                <w:rFonts w:ascii="Arial" w:cs="Arial" w:eastAsia="Arial" w:hAnsi="Arial"/>
                <w:sz w:val="16"/>
                <w:szCs w:val="16"/>
                <w:color w:val="auto"/>
              </w:rPr>
              <w:t>CVS Corporation</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5"/>
              </w:rPr>
              <w:t>BBB / Baa2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350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7"/>
              </w:rPr>
              <w:t>B / B2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350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NR / NR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10</w:t>
            </w:r>
          </w:p>
        </w:tc>
        <w:tc>
          <w:tcPr>
            <w:tcW w:w="3500" w:type="dxa"/>
            <w:vAlign w:val="bottom"/>
          </w:tcPr>
          <w:p>
            <w:pPr>
              <w:ind w:left="120"/>
              <w:spacing w:after="0"/>
              <w:rPr>
                <w:sz w:val="20"/>
                <w:szCs w:val="20"/>
                <w:color w:val="auto"/>
              </w:rPr>
            </w:pPr>
            <w:r>
              <w:rPr>
                <w:rFonts w:ascii="Arial" w:cs="Arial" w:eastAsia="Arial" w:hAnsi="Arial"/>
                <w:sz w:val="16"/>
                <w:szCs w:val="16"/>
                <w:color w:val="auto"/>
              </w:rPr>
              <w:t>Hudson's Bay Company (Saks, Lord &amp; Taylor)</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NR / NR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11</w:t>
            </w:r>
          </w:p>
        </w:tc>
        <w:tc>
          <w:tcPr>
            <w:tcW w:w="3500" w:type="dxa"/>
            <w:vAlign w:val="bottom"/>
          </w:tcPr>
          <w:p>
            <w:pPr>
              <w:ind w:left="120"/>
              <w:spacing w:after="0"/>
              <w:rPr>
                <w:sz w:val="20"/>
                <w:szCs w:val="20"/>
                <w:color w:val="auto"/>
              </w:rPr>
            </w:pPr>
            <w:r>
              <w:rPr>
                <w:rFonts w:ascii="Arial" w:cs="Arial" w:eastAsia="Arial" w:hAnsi="Arial"/>
                <w:sz w:val="16"/>
                <w:szCs w:val="16"/>
                <w:color w:val="auto"/>
              </w:rPr>
              <w:t>Kroger Co., The</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5"/>
              </w:rPr>
              <w:t>BBB / Baa1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12</w:t>
            </w:r>
          </w:p>
        </w:tc>
        <w:tc>
          <w:tcPr>
            <w:tcW w:w="3500" w:type="dxa"/>
            <w:vAlign w:val="bottom"/>
          </w:tcPr>
          <w:p>
            <w:pPr>
              <w:ind w:left="120"/>
              <w:spacing w:after="0"/>
              <w:rPr>
                <w:sz w:val="20"/>
                <w:szCs w:val="20"/>
                <w:color w:val="auto"/>
              </w:rPr>
            </w:pPr>
            <w:r>
              <w:rPr>
                <w:rFonts w:ascii="Arial" w:cs="Arial" w:eastAsia="Arial" w:hAnsi="Arial"/>
                <w:sz w:val="16"/>
                <w:szCs w:val="16"/>
                <w:color w:val="auto"/>
              </w:rPr>
              <w:t>Bank of America, N.A.</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rPr>
              <w:t>A- / A2 / A+</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13</w:t>
            </w:r>
          </w:p>
        </w:tc>
        <w:tc>
          <w:tcPr>
            <w:tcW w:w="3500" w:type="dxa"/>
            <w:vAlign w:val="bottom"/>
          </w:tcPr>
          <w:p>
            <w:pPr>
              <w:ind w:left="120"/>
              <w:spacing w:after="0"/>
              <w:rPr>
                <w:sz w:val="20"/>
                <w:szCs w:val="20"/>
                <w:color w:val="auto"/>
              </w:rPr>
            </w:pPr>
            <w:r>
              <w:rPr>
                <w:rFonts w:ascii="Arial" w:cs="Arial" w:eastAsia="Arial" w:hAnsi="Arial"/>
                <w:sz w:val="16"/>
                <w:szCs w:val="16"/>
                <w:color w:val="auto"/>
              </w:rPr>
              <w:t>Home Depot,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rPr>
              <w:t>A / A2 / A</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14</w:t>
            </w:r>
          </w:p>
        </w:tc>
        <w:tc>
          <w:tcPr>
            <w:tcW w:w="3500" w:type="dxa"/>
            <w:vAlign w:val="bottom"/>
          </w:tcPr>
          <w:p>
            <w:pPr>
              <w:ind w:left="120"/>
              <w:spacing w:after="0"/>
              <w:rPr>
                <w:sz w:val="20"/>
                <w:szCs w:val="20"/>
                <w:color w:val="auto"/>
              </w:rPr>
            </w:pPr>
            <w:r>
              <w:rPr>
                <w:rFonts w:ascii="Arial" w:cs="Arial" w:eastAsia="Arial" w:hAnsi="Arial"/>
                <w:sz w:val="16"/>
                <w:szCs w:val="16"/>
                <w:color w:val="auto"/>
              </w:rPr>
              <w:t>Michaels Stores, Inc.</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5"/>
              </w:rPr>
              <w:t>B+ / Ba2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15</w:t>
            </w:r>
          </w:p>
        </w:tc>
        <w:tc>
          <w:tcPr>
            <w:tcW w:w="350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6"/>
              </w:rPr>
              <w:t>BBB / Baa2 / BBB+</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16</w:t>
            </w:r>
          </w:p>
        </w:tc>
        <w:tc>
          <w:tcPr>
            <w:tcW w:w="3500" w:type="dxa"/>
            <w:vAlign w:val="bottom"/>
          </w:tcPr>
          <w:p>
            <w:pPr>
              <w:ind w:left="120"/>
              <w:spacing w:after="0"/>
              <w:rPr>
                <w:sz w:val="20"/>
                <w:szCs w:val="20"/>
                <w:color w:val="auto"/>
              </w:rPr>
            </w:pPr>
            <w:r>
              <w:rPr>
                <w:rFonts w:ascii="Arial" w:cs="Arial" w:eastAsia="Arial" w:hAnsi="Arial"/>
                <w:sz w:val="16"/>
                <w:szCs w:val="16"/>
                <w:color w:val="auto"/>
              </w:rPr>
              <w:t>Ross Stores,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8"/>
              </w:rPr>
              <w:t>A- / A2 / NR</w:t>
            </w:r>
          </w:p>
        </w:tc>
      </w:tr>
      <w:tr>
        <w:trPr>
          <w:trHeight w:val="266"/>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17</w:t>
            </w:r>
          </w:p>
        </w:tc>
        <w:tc>
          <w:tcPr>
            <w:tcW w:w="3500" w:type="dxa"/>
            <w:vAlign w:val="bottom"/>
          </w:tcPr>
          <w:p>
            <w:pPr>
              <w:ind w:left="120"/>
              <w:spacing w:after="0"/>
              <w:rPr>
                <w:sz w:val="20"/>
                <w:szCs w:val="20"/>
                <w:color w:val="auto"/>
              </w:rPr>
            </w:pPr>
            <w:r>
              <w:rPr>
                <w:rFonts w:ascii="Arial" w:cs="Arial" w:eastAsia="Arial" w:hAnsi="Arial"/>
                <w:sz w:val="16"/>
                <w:szCs w:val="16"/>
                <w:color w:val="auto"/>
                <w:w w:val="97"/>
              </w:rPr>
              <w:t>Ascena Retail Group, Inc. (Dress Barn, Loft, Lou</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2"/>
              </w:rPr>
              <w:t>CCC / Caa2 / NR</w:t>
            </w:r>
          </w:p>
        </w:tc>
      </w:tr>
      <w:tr>
        <w:trPr>
          <w:trHeight w:val="203"/>
        </w:trPr>
        <w:tc>
          <w:tcPr>
            <w:tcW w:w="280" w:type="dxa"/>
            <w:vAlign w:val="bottom"/>
          </w:tcPr>
          <w:p>
            <w:pPr>
              <w:spacing w:after="0"/>
              <w:rPr>
                <w:sz w:val="17"/>
                <w:szCs w:val="17"/>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&amp; Grey, Ann Taylor, Catherine's, Justice, Lane</w:t>
            </w:r>
          </w:p>
        </w:tc>
        <w:tc>
          <w:tcPr>
            <w:tcW w:w="158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Bryant)</w:t>
            </w:r>
          </w:p>
        </w:tc>
        <w:tc>
          <w:tcPr>
            <w:tcW w:w="1580" w:type="dxa"/>
            <w:vAlign w:val="bottom"/>
          </w:tcPr>
          <w:p>
            <w:pPr>
              <w:spacing w:after="0"/>
              <w:rPr>
                <w:sz w:val="17"/>
                <w:szCs w:val="17"/>
                <w:color w:val="auto"/>
              </w:rPr>
            </w:pPr>
          </w:p>
        </w:tc>
      </w:tr>
      <w:tr>
        <w:trPr>
          <w:trHeight w:val="257"/>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18</w:t>
            </w:r>
          </w:p>
        </w:tc>
        <w:tc>
          <w:tcPr>
            <w:tcW w:w="3500" w:type="dxa"/>
            <w:vAlign w:val="bottom"/>
          </w:tcPr>
          <w:p>
            <w:pPr>
              <w:ind w:left="120"/>
              <w:spacing w:after="0"/>
              <w:rPr>
                <w:sz w:val="20"/>
                <w:szCs w:val="20"/>
                <w:color w:val="auto"/>
              </w:rPr>
            </w:pPr>
            <w:r>
              <w:rPr>
                <w:rFonts w:ascii="Arial" w:cs="Arial" w:eastAsia="Arial" w:hAnsi="Arial"/>
                <w:sz w:val="16"/>
                <w:szCs w:val="16"/>
                <w:color w:val="auto"/>
              </w:rPr>
              <w:t>Best Buy Co., Inc.</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5"/>
              </w:rPr>
              <w:t>BBB / Baa1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19</w:t>
            </w:r>
          </w:p>
        </w:tc>
        <w:tc>
          <w:tcPr>
            <w:tcW w:w="3500" w:type="dxa"/>
            <w:vAlign w:val="bottom"/>
          </w:tcPr>
          <w:p>
            <w:pPr>
              <w:ind w:left="120"/>
              <w:spacing w:after="0"/>
              <w:rPr>
                <w:sz w:val="20"/>
                <w:szCs w:val="20"/>
                <w:color w:val="auto"/>
              </w:rPr>
            </w:pPr>
            <w:r>
              <w:rPr>
                <w:rFonts w:ascii="Arial" w:cs="Arial" w:eastAsia="Arial" w:hAnsi="Arial"/>
                <w:sz w:val="16"/>
                <w:szCs w:val="16"/>
                <w:color w:val="auto"/>
              </w:rPr>
              <w:t>DSW,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NR / NR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20</w:t>
            </w:r>
          </w:p>
        </w:tc>
        <w:tc>
          <w:tcPr>
            <w:tcW w:w="3500" w:type="dxa"/>
            <w:vAlign w:val="bottom"/>
          </w:tcPr>
          <w:p>
            <w:pPr>
              <w:ind w:left="120"/>
              <w:spacing w:after="0"/>
              <w:rPr>
                <w:sz w:val="20"/>
                <w:szCs w:val="20"/>
                <w:color w:val="auto"/>
              </w:rPr>
            </w:pPr>
            <w:r>
              <w:rPr>
                <w:rFonts w:ascii="Arial" w:cs="Arial" w:eastAsia="Arial" w:hAnsi="Arial"/>
                <w:sz w:val="16"/>
                <w:szCs w:val="16"/>
                <w:color w:val="auto"/>
              </w:rPr>
              <w:t>Ulta Beauty,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NR / NR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21</w:t>
            </w:r>
          </w:p>
        </w:tc>
        <w:tc>
          <w:tcPr>
            <w:tcW w:w="3500" w:type="dxa"/>
            <w:vAlign w:val="bottom"/>
          </w:tcPr>
          <w:p>
            <w:pPr>
              <w:ind w:left="120"/>
              <w:spacing w:after="0"/>
              <w:rPr>
                <w:sz w:val="20"/>
                <w:szCs w:val="20"/>
                <w:color w:val="auto"/>
              </w:rPr>
            </w:pPr>
            <w:r>
              <w:rPr>
                <w:rFonts w:ascii="Arial" w:cs="Arial" w:eastAsia="Arial" w:hAnsi="Arial"/>
                <w:sz w:val="16"/>
                <w:szCs w:val="16"/>
                <w:color w:val="auto"/>
              </w:rPr>
              <w:t>Whole Foods Market,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8"/>
              </w:rPr>
              <w:t>A+ / A3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22</w:t>
            </w:r>
          </w:p>
        </w:tc>
        <w:tc>
          <w:tcPr>
            <w:tcW w:w="3500" w:type="dxa"/>
            <w:vAlign w:val="bottom"/>
          </w:tcPr>
          <w:p>
            <w:pPr>
              <w:ind w:left="120"/>
              <w:spacing w:after="0"/>
              <w:rPr>
                <w:sz w:val="20"/>
                <w:szCs w:val="20"/>
                <w:color w:val="auto"/>
              </w:rPr>
            </w:pPr>
            <w:r>
              <w:rPr>
                <w:rFonts w:ascii="Arial" w:cs="Arial" w:eastAsia="Arial" w:hAnsi="Arial"/>
                <w:sz w:val="16"/>
                <w:szCs w:val="16"/>
                <w:color w:val="auto"/>
              </w:rPr>
              <w:t>Barnes &amp; Noble, Inc.</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w w:val="95"/>
              </w:rPr>
              <w:t>NR / NR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23</w:t>
            </w:r>
          </w:p>
        </w:tc>
        <w:tc>
          <w:tcPr>
            <w:tcW w:w="3500" w:type="dxa"/>
            <w:vAlign w:val="bottom"/>
          </w:tcPr>
          <w:p>
            <w:pPr>
              <w:ind w:left="120"/>
              <w:spacing w:after="0"/>
              <w:rPr>
                <w:sz w:val="20"/>
                <w:szCs w:val="20"/>
                <w:color w:val="auto"/>
              </w:rPr>
            </w:pPr>
            <w:r>
              <w:rPr>
                <w:rFonts w:ascii="Arial" w:cs="Arial" w:eastAsia="Arial" w:hAnsi="Arial"/>
                <w:sz w:val="16"/>
                <w:szCs w:val="16"/>
                <w:color w:val="auto"/>
              </w:rPr>
              <w:t>Starbucks Corporation</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6"/>
              </w:rPr>
              <w:t>BBB+ / Baa1 / BBB+</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24</w:t>
            </w:r>
          </w:p>
        </w:tc>
        <w:tc>
          <w:tcPr>
            <w:tcW w:w="3500" w:type="dxa"/>
            <w:vAlign w:val="bottom"/>
          </w:tcPr>
          <w:p>
            <w:pPr>
              <w:ind w:left="120"/>
              <w:spacing w:after="0"/>
              <w:rPr>
                <w:sz w:val="20"/>
                <w:szCs w:val="20"/>
                <w:color w:val="auto"/>
              </w:rPr>
            </w:pPr>
            <w:r>
              <w:rPr>
                <w:rFonts w:ascii="Arial" w:cs="Arial" w:eastAsia="Arial" w:hAnsi="Arial"/>
                <w:sz w:val="16"/>
                <w:szCs w:val="16"/>
                <w:color w:val="auto"/>
              </w:rPr>
              <w:t>AB Acquisition LLC (Acme, Safeway)</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w w:val="96"/>
              </w:rPr>
              <w:t>B+ / B1 / NR</w:t>
            </w:r>
          </w:p>
        </w:tc>
      </w:tr>
      <w:tr>
        <w:trPr>
          <w:trHeight w:val="270"/>
        </w:trPr>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25</w:t>
            </w:r>
          </w:p>
        </w:tc>
        <w:tc>
          <w:tcPr>
            <w:tcW w:w="3500" w:type="dxa"/>
            <w:vAlign w:val="bottom"/>
          </w:tcPr>
          <w:p>
            <w:pPr>
              <w:ind w:left="120"/>
              <w:spacing w:after="0"/>
              <w:rPr>
                <w:sz w:val="20"/>
                <w:szCs w:val="20"/>
                <w:color w:val="auto"/>
              </w:rPr>
            </w:pPr>
            <w:r>
              <w:rPr>
                <w:rFonts w:ascii="Arial" w:cs="Arial" w:eastAsia="Arial" w:hAnsi="Arial"/>
                <w:sz w:val="16"/>
                <w:szCs w:val="16"/>
                <w:color w:val="auto"/>
              </w:rPr>
              <w:t>Wells Fargo Bank, N.A.</w:t>
            </w:r>
          </w:p>
        </w:tc>
        <w:tc>
          <w:tcPr>
            <w:tcW w:w="1580" w:type="dxa"/>
            <w:vAlign w:val="bottom"/>
          </w:tcPr>
          <w:p>
            <w:pPr>
              <w:jc w:val="center"/>
              <w:ind w:left="59"/>
              <w:spacing w:after="0"/>
              <w:rPr>
                <w:sz w:val="20"/>
                <w:szCs w:val="20"/>
                <w:color w:val="auto"/>
              </w:rPr>
            </w:pPr>
            <w:r>
              <w:rPr>
                <w:rFonts w:ascii="Arial" w:cs="Arial" w:eastAsia="Arial" w:hAnsi="Arial"/>
                <w:sz w:val="16"/>
                <w:szCs w:val="16"/>
                <w:color w:val="auto"/>
              </w:rPr>
              <w:t>A- / A2 / A+</w:t>
            </w:r>
          </w:p>
        </w:tc>
      </w:tr>
      <w:tr>
        <w:trPr>
          <w:trHeight w:val="270"/>
        </w:trPr>
        <w:tc>
          <w:tcPr>
            <w:tcW w:w="280" w:type="dxa"/>
            <w:vAlign w:val="bottom"/>
          </w:tcPr>
          <w:p>
            <w:pPr>
              <w:spacing w:after="0"/>
              <w:rPr>
                <w:sz w:val="23"/>
                <w:szCs w:val="23"/>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Totals - Top 25 Tenants</w:t>
            </w:r>
          </w:p>
        </w:tc>
        <w:tc>
          <w:tcPr>
            <w:tcW w:w="1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-4335145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-3991610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-3648710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-3305810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-2962910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-2620010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-2276475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-1933575</wp:posOffset>
            </wp:positionV>
            <wp:extent cx="7246620" cy="420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-1341755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-998855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-655955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18,742,000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2.62%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991,000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3.78%</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15,766,000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2.20%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898,000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3.43%</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13,005,000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338,000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1.29%</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11,229,000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235,000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0.90%</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11,220,000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643,000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2.45%</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11,121,000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465,000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1.77%</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9,568,000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1.34%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254,000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0.97%</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7,239,000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317,000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1.21%</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6,425,000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0.90%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289,000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1.10%</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6,332,000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226,000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0.86%</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6,066,000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529,000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2.02%</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6,016,000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106,000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0.40%</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6,014,000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440,000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1.68%</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5,963,000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310,000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1.18%</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5,933,000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218,000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0.83%</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5,861,000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291,000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1.11%</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5,815,000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171,000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0.65%</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662"/>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5,610,000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0.78%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186,000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0.71%</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5,567,000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0.78%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222,000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0.85%</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5,187,000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0.73%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150,000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0.57%</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4,772,000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0.67%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167,000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0.64%</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4,603,000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0.64%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207,000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0.79%</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4,383,000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0.61%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69,000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0.26%</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4,192,000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0.59%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412,000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1.57%</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4,125,000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0.58%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51,000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0.19%</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47"/>
        </w:trPr>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1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9"/>
              <w:spacing w:after="0"/>
              <w:rPr>
                <w:sz w:val="20"/>
                <w:szCs w:val="20"/>
                <w:color w:val="auto"/>
              </w:rPr>
            </w:pPr>
            <w:r>
              <w:rPr>
                <w:rFonts w:ascii="Arial" w:cs="Arial" w:eastAsia="Arial" w:hAnsi="Arial"/>
                <w:sz w:val="16"/>
                <w:szCs w:val="16"/>
                <w:color w:val="auto"/>
              </w:rPr>
              <w:t>190,754,000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26.68%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8,185,000</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31.24%</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60" w:space="240"/>
            <w:col w:w="5520"/>
          </w:cols>
          <w:pgMar w:left="240" w:top="715" w:right="239" w:bottom="1440" w:gutter="0" w:footer="0" w:header="0"/>
          <w:type w:val="continuous"/>
        </w:sectPr>
      </w:pPr>
    </w:p>
    <w:p>
      <w:pPr>
        <w:spacing w:after="0" w:line="87"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2920" w:type="dxa"/>
            <w:vAlign w:val="bottom"/>
          </w:tcPr>
          <w:p>
            <w:pPr>
              <w:spacing w:after="0"/>
              <w:rPr>
                <w:sz w:val="20"/>
                <w:szCs w:val="20"/>
                <w:color w:val="auto"/>
              </w:rPr>
            </w:pPr>
            <w:r>
              <w:rPr>
                <w:rFonts w:ascii="Arial" w:cs="Arial" w:eastAsia="Arial" w:hAnsi="Arial"/>
                <w:sz w:val="16"/>
                <w:szCs w:val="16"/>
                <w:color w:val="auto"/>
              </w:rPr>
              <w:t>Total (5):</w:t>
            </w:r>
          </w:p>
        </w:tc>
        <w:tc>
          <w:tcPr>
            <w:tcW w:w="4440" w:type="dxa"/>
            <w:vAlign w:val="bottom"/>
          </w:tcPr>
          <w:p>
            <w:pPr>
              <w:jc w:val="right"/>
              <w:ind w:right="619"/>
              <w:spacing w:after="0"/>
              <w:rPr>
                <w:sz w:val="20"/>
                <w:szCs w:val="20"/>
                <w:color w:val="auto"/>
              </w:rPr>
            </w:pPr>
            <w:r>
              <w:rPr>
                <w:rFonts w:ascii="Arial" w:cs="Arial" w:eastAsia="Arial" w:hAnsi="Arial"/>
                <w:sz w:val="16"/>
                <w:szCs w:val="16"/>
                <w:color w:val="auto"/>
              </w:rPr>
              <w:t>$   715,066,000  (2)</w:t>
            </w:r>
          </w:p>
        </w:tc>
        <w:tc>
          <w:tcPr>
            <w:tcW w:w="1720" w:type="dxa"/>
            <w:vAlign w:val="bottom"/>
          </w:tcPr>
          <w:p>
            <w:pPr>
              <w:jc w:val="right"/>
              <w:spacing w:after="0"/>
              <w:rPr>
                <w:sz w:val="20"/>
                <w:szCs w:val="20"/>
                <w:color w:val="auto"/>
              </w:rPr>
            </w:pPr>
            <w:r>
              <w:rPr>
                <w:rFonts w:ascii="Arial" w:cs="Arial" w:eastAsia="Arial" w:hAnsi="Arial"/>
                <w:sz w:val="16"/>
                <w:szCs w:val="16"/>
                <w:color w:val="auto"/>
              </w:rPr>
              <w:t>26,203,000  (4)</w:t>
            </w:r>
          </w:p>
        </w:tc>
      </w:tr>
    </w:tbl>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Credit Ratings are as of December 31, 2019. Subsequent rating changes have not been reflected.</w:t>
      </w:r>
    </w:p>
    <w:p>
      <w:pPr>
        <w:spacing w:after="0" w:line="86" w:lineRule="exact"/>
        <w:rPr>
          <w:rFonts w:ascii="Arial" w:cs="Arial" w:eastAsia="Arial" w:hAnsi="Arial"/>
          <w:sz w:val="16"/>
          <w:szCs w:val="16"/>
          <w:color w:val="auto"/>
        </w:rPr>
      </w:pPr>
    </w:p>
    <w:p>
      <w:pPr>
        <w:ind w:left="700" w:right="380" w:hanging="665"/>
        <w:spacing w:after="0" w:line="293"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excluding rent abatements) minimum rent for all occupied spaces as of December 31, 2019.</w:t>
      </w:r>
    </w:p>
    <w:p>
      <w:pPr>
        <w:spacing w:after="0" w:line="23" w:lineRule="exact"/>
        <w:rPr>
          <w:rFonts w:ascii="Arial" w:cs="Arial" w:eastAsia="Arial" w:hAnsi="Arial"/>
          <w:sz w:val="16"/>
          <w:szCs w:val="16"/>
          <w:color w:val="auto"/>
        </w:rPr>
      </w:pPr>
    </w:p>
    <w:p>
      <w:pPr>
        <w:ind w:left="700" w:hanging="665"/>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700" w:hanging="665"/>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00" w:hanging="665"/>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15" w:right="239" w:bottom="1440" w:gutter="0" w:footer="0" w:header="0"/>
          <w:type w:val="continuous"/>
        </w:sectPr>
      </w:pPr>
    </w:p>
    <w:bookmarkStart w:id="33" w:name="page34"/>
    <w:bookmarkEnd w:id="3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2019</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2020.</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177165</wp:posOffset>
            </wp:positionV>
            <wp:extent cx="1732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81" w:lineRule="exact"/>
        <w:rPr>
          <w:sz w:val="20"/>
          <w:szCs w:val="20"/>
          <w:color w:val="auto"/>
        </w:rPr>
      </w:pPr>
    </w:p>
    <w:p>
      <w:pPr>
        <w:ind w:left="8840"/>
        <w:spacing w:after="0"/>
        <w:rPr>
          <w:sz w:val="20"/>
          <w:szCs w:val="20"/>
          <w:color w:val="auto"/>
        </w:rPr>
      </w:pPr>
      <w:r>
        <w:rPr>
          <w:rFonts w:ascii="Arial" w:cs="Arial" w:eastAsia="Arial" w:hAnsi="Arial"/>
          <w:sz w:val="17"/>
          <w:szCs w:val="17"/>
          <w:b w:val="1"/>
          <w:bCs w:val="1"/>
          <w:color w:val="auto"/>
        </w:rPr>
        <w:t>Full Year 2020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41910</wp:posOffset>
            </wp:positionV>
            <wp:extent cx="17322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Low</w:t>
            </w:r>
          </w:p>
        </w:tc>
        <w:tc>
          <w:tcPr>
            <w:tcW w:w="44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High</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8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depreciation and amortization</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3.18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87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FFO per diluted share</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6.40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r>
      <w:tr>
        <w:trPr>
          <w:trHeight w:val="20"/>
        </w:trPr>
        <w:tc>
          <w:tcPr>
            <w:tcW w:w="8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1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EBITDA for Real Estate ("EBITDAre"): </w:t>
      </w:r>
      <w:r>
        <w:rPr>
          <w:rFonts w:ascii="Arial" w:cs="Arial" w:eastAsia="Arial" w:hAnsi="Arial"/>
          <w:sz w:val="17"/>
          <w:szCs w:val="17"/>
          <w:color w:val="auto"/>
        </w:rPr>
        <w:t>EBITDAre is a non-GAAP measure that the National Association of Real Estate Investment Trusts ("NAREIT")</w:t>
      </w:r>
      <w:r>
        <w:rPr>
          <w:rFonts w:ascii="Arial" w:cs="Arial" w:eastAsia="Arial" w:hAnsi="Arial"/>
          <w:sz w:val="17"/>
          <w:szCs w:val="17"/>
          <w:b w:val="1"/>
          <w:bCs w:val="1"/>
          <w:color w:val="auto"/>
        </w:rPr>
        <w:t xml:space="preserve"> </w:t>
      </w:r>
      <w:r>
        <w:rPr>
          <w:rFonts w:ascii="Arial" w:cs="Arial" w:eastAsia="Arial" w:hAnsi="Arial"/>
          <w:sz w:val="17"/>
          <w:szCs w:val="17"/>
          <w:color w:val="auto"/>
        </w:rPr>
        <w:t>defines 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and year ended December 31, 2019 and 2018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16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148,966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360,542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27,056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28,038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109,623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110,154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(benefit) for income tax (1)</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1,521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61,431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239,758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244,245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(116,779)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(13,560)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of EBITDAre of unconsolidated affiliates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6,917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5,114</w:t>
            </w:r>
          </w:p>
        </w:tc>
      </w:tr>
      <w:tr>
        <w:trPr>
          <w:trHeight w:val="250"/>
        </w:trPr>
        <w:tc>
          <w:tcPr>
            <w:tcW w:w="5620" w:type="dxa"/>
            <w:vAlign w:val="bottom"/>
          </w:tcPr>
          <w:p>
            <w:pPr>
              <w:ind w:left="380"/>
              <w:spacing w:after="0"/>
              <w:rPr>
                <w:sz w:val="20"/>
                <w:szCs w:val="20"/>
                <w:color w:val="auto"/>
              </w:rPr>
            </w:pPr>
            <w:r>
              <w:rPr>
                <w:rFonts w:ascii="Arial" w:cs="Arial" w:eastAsia="Arial" w:hAnsi="Arial"/>
                <w:sz w:val="18"/>
                <w:szCs w:val="18"/>
                <w:color w:val="auto"/>
              </w:rPr>
              <w:t>EBITDAre (2)</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152,635</w:t>
            </w:r>
          </w:p>
        </w:tc>
        <w:tc>
          <w:tcPr>
            <w:tcW w:w="120" w:type="dxa"/>
            <w:vAlign w:val="bottom"/>
          </w:tcPr>
          <w:p>
            <w:pPr>
              <w:spacing w:after="0"/>
              <w:rPr>
                <w:sz w:val="21"/>
                <w:szCs w:val="21"/>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151,406</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599,567</w:t>
            </w:r>
          </w:p>
        </w:tc>
        <w:tc>
          <w:tcPr>
            <w:tcW w:w="12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595,558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periods noted above, the provision (benefit) for income tax primarily relates to condominium sales gains.</w:t>
      </w:r>
    </w:p>
    <w:p>
      <w:pPr>
        <w:spacing w:after="0" w:line="23" w:lineRule="exact"/>
        <w:rPr>
          <w:rFonts w:ascii="Arial" w:cs="Arial" w:eastAsia="Arial" w:hAnsi="Arial"/>
          <w:sz w:val="18"/>
          <w:szCs w:val="18"/>
          <w:color w:val="auto"/>
        </w:rPr>
      </w:pPr>
    </w:p>
    <w:p>
      <w:pPr>
        <w:ind w:left="420" w:right="240" w:hanging="412"/>
        <w:spacing w:after="0" w:line="261"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Excluding the charge related to the buyout of the Kmart lease at Assembly Square Marketplace, our EBITDAre would have been $611.5 million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-431165</wp:posOffset>
            </wp:positionV>
            <wp:extent cx="36874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6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NAREIT defines FFO as follows: net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ind w:right="600"/>
        <w:spacing w:after="0" w:line="314" w:lineRule="auto"/>
        <w:rPr>
          <w:sz w:val="20"/>
          <w:szCs w:val="20"/>
          <w:color w:val="auto"/>
        </w:rPr>
      </w:pPr>
      <w:r>
        <w:rPr>
          <w:rFonts w:ascii="Arial" w:cs="Arial" w:eastAsia="Arial" w:hAnsi="Arial"/>
          <w:sz w:val="16"/>
          <w:szCs w:val="16"/>
          <w:b w:val="1"/>
          <w:bCs w:val="1"/>
          <w:color w:val="auto"/>
        </w:rPr>
        <w:t xml:space="preserve">Comparable Properties: </w:t>
      </w:r>
      <w:r>
        <w:rPr>
          <w:rFonts w:ascii="Arial" w:cs="Arial" w:eastAsia="Arial" w:hAnsi="Arial"/>
          <w:sz w:val="16"/>
          <w:szCs w:val="16"/>
          <w:color w:val="auto"/>
        </w:rPr>
        <w:t>Represents our consolidated property portfolio other than those properties that distort comparability between periods in two</w:t>
      </w:r>
      <w:r>
        <w:rPr>
          <w:rFonts w:ascii="Arial" w:cs="Arial" w:eastAsia="Arial" w:hAnsi="Arial"/>
          <w:sz w:val="16"/>
          <w:szCs w:val="16"/>
          <w:b w:val="1"/>
          <w:bCs w:val="1"/>
          <w:color w:val="auto"/>
        </w:rPr>
        <w:t xml:space="preserve"> </w:t>
      </w:r>
      <w:r>
        <w:rPr>
          <w:rFonts w:ascii="Arial" w:cs="Arial" w:eastAsia="Arial" w:hAnsi="Arial"/>
          <w:sz w:val="16"/>
          <w:szCs w:val="16"/>
          <w:color w:val="auto"/>
        </w:rPr>
        <w:t>primary categories: (1) 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11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 Costs related to redevelopments require judgment by management in determining what reflects base building cost and thus, is not included in the "tenant improvements and incentives" amount.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3"/>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2020-02-10T15:15:11Z</dcterms:created>
  <dcterms:modified xsi:type="dcterms:W3CDTF">2020-02-10T15:15:11Z</dcterms:modified>
</cp:coreProperties>
</file>