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7" w:lineRule="exact"/>
        <w:rPr>
          <w:sz w:val="24"/>
          <w:szCs w:val="24"/>
          <w:color w:val="auto"/>
        </w:rPr>
      </w:pPr>
    </w:p>
    <w:p>
      <w:pPr>
        <w:jc w:val="center"/>
        <w:ind w:right="2359"/>
        <w:spacing w:after="0"/>
        <w:tabs>
          <w:tab w:leader="none" w:pos="18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jc w:val="center"/>
        <w:ind w:right="2359"/>
        <w:spacing w:after="0"/>
        <w:rPr>
          <w:sz w:val="20"/>
          <w:szCs w:val="20"/>
          <w:color w:val="auto"/>
        </w:rPr>
      </w:pPr>
      <w:r>
        <w:rPr>
          <w:rFonts w:ascii="Courier New" w:cs="Courier New" w:eastAsia="Courier New" w:hAnsi="Courier New"/>
          <w:sz w:val="17"/>
          <w:szCs w:val="17"/>
          <w:color w:val="auto"/>
        </w:rPr>
        <w:t>Form 10-Q</w:t>
      </w:r>
    </w:p>
    <w:p>
      <w:pPr>
        <w:spacing w:after="0" w:line="35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7"/>
          <w:szCs w:val="17"/>
          <w:color w:val="auto"/>
        </w:rPr>
        <w:t>QUARTERLY REPORT UNDER SECTION 13 OR 15(d)</w:t>
      </w:r>
    </w:p>
    <w:p>
      <w:pPr>
        <w:spacing w:after="0" w:line="29"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351" w:lineRule="exact"/>
        <w:rPr>
          <w:sz w:val="24"/>
          <w:szCs w:val="24"/>
          <w:color w:val="auto"/>
        </w:rPr>
      </w:pPr>
    </w:p>
    <w:p>
      <w:pPr>
        <w:ind w:left="2000"/>
        <w:spacing w:after="0"/>
        <w:tabs>
          <w:tab w:leader="none" w:pos="4360" w:val="left"/>
        </w:tabs>
        <w:rPr>
          <w:sz w:val="20"/>
          <w:szCs w:val="20"/>
          <w:color w:val="auto"/>
        </w:rPr>
      </w:pPr>
      <w:r>
        <w:rPr>
          <w:rFonts w:ascii="Courier New" w:cs="Courier New" w:eastAsia="Courier New" w:hAnsi="Courier New"/>
          <w:sz w:val="17"/>
          <w:szCs w:val="17"/>
          <w:color w:val="auto"/>
        </w:rPr>
        <w:t>For the Quarter Ended:</w:t>
      </w:r>
      <w:r>
        <w:rPr>
          <w:sz w:val="20"/>
          <w:szCs w:val="20"/>
          <w:color w:val="auto"/>
        </w:rPr>
        <w:tab/>
      </w:r>
      <w:r>
        <w:rPr>
          <w:rFonts w:ascii="Courier New" w:cs="Courier New" w:eastAsia="Courier New" w:hAnsi="Courier New"/>
          <w:sz w:val="16"/>
          <w:szCs w:val="16"/>
          <w:color w:val="auto"/>
        </w:rPr>
        <w:t>March 31, 1998</w:t>
      </w:r>
    </w:p>
    <w:p>
      <w:pPr>
        <w:spacing w:after="0" w:line="27" w:lineRule="exact"/>
        <w:rPr>
          <w:sz w:val="24"/>
          <w:szCs w:val="24"/>
          <w:color w:val="auto"/>
        </w:rPr>
      </w:pPr>
    </w:p>
    <w:p>
      <w:pPr>
        <w:ind w:left="2000"/>
        <w:spacing w:after="0"/>
        <w:rPr>
          <w:sz w:val="20"/>
          <w:szCs w:val="20"/>
          <w:color w:val="auto"/>
        </w:rPr>
      </w:pPr>
      <w:r>
        <w:rPr>
          <w:rFonts w:ascii="Courier New" w:cs="Courier New" w:eastAsia="Courier New" w:hAnsi="Courier New"/>
          <w:sz w:val="17"/>
          <w:szCs w:val="17"/>
          <w:color w:val="auto"/>
        </w:rPr>
        <w:t>--------------------------------------</w:t>
      </w:r>
    </w:p>
    <w:p>
      <w:pPr>
        <w:ind w:left="2680"/>
        <w:spacing w:after="0" w:line="238" w:lineRule="auto"/>
        <w:rPr>
          <w:sz w:val="20"/>
          <w:szCs w:val="20"/>
          <w:color w:val="auto"/>
        </w:rPr>
      </w:pPr>
      <w:r>
        <w:rPr>
          <w:rFonts w:ascii="Courier New" w:cs="Courier New" w:eastAsia="Courier New" w:hAnsi="Courier New"/>
          <w:sz w:val="17"/>
          <w:szCs w:val="17"/>
          <w:color w:val="auto"/>
        </w:rPr>
        <w:t>Commission File No. 17533</w:t>
      </w:r>
    </w:p>
    <w:p>
      <w:pPr>
        <w:ind w:left="2680"/>
        <w:spacing w:after="0"/>
        <w:rPr>
          <w:sz w:val="20"/>
          <w:szCs w:val="20"/>
          <w:color w:val="auto"/>
        </w:rPr>
      </w:pPr>
      <w:r>
        <w:rPr>
          <w:rFonts w:ascii="Courier New" w:cs="Courier New" w:eastAsia="Courier New" w:hAnsi="Courier New"/>
          <w:sz w:val="17"/>
          <w:szCs w:val="17"/>
          <w:color w:val="auto"/>
        </w:rPr>
        <w:t>-------------------------</w:t>
      </w:r>
    </w:p>
    <w:p>
      <w:pPr>
        <w:spacing w:after="0" w:line="351" w:lineRule="exact"/>
        <w:rPr>
          <w:sz w:val="24"/>
          <w:szCs w:val="24"/>
          <w:color w:val="auto"/>
        </w:rPr>
      </w:pPr>
    </w:p>
    <w:p>
      <w:pPr>
        <w:ind w:left="23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7" w:lineRule="exact"/>
        <w:rPr>
          <w:sz w:val="24"/>
          <w:szCs w:val="24"/>
          <w:color w:val="auto"/>
        </w:rPr>
      </w:pPr>
    </w:p>
    <w:p>
      <w:pPr>
        <w:ind w:left="2380"/>
        <w:spacing w:after="0"/>
        <w:rPr>
          <w:sz w:val="20"/>
          <w:szCs w:val="20"/>
          <w:color w:val="auto"/>
        </w:rPr>
      </w:pPr>
      <w:r>
        <w:rPr>
          <w:rFonts w:ascii="Courier New" w:cs="Courier New" w:eastAsia="Courier New" w:hAnsi="Courier New"/>
          <w:sz w:val="17"/>
          <w:szCs w:val="17"/>
          <w:color w:val="auto"/>
        </w:rPr>
        <w:t>-------------------------------</w:t>
      </w:r>
    </w:p>
    <w:p>
      <w:pPr>
        <w:ind w:left="120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351" w:lineRule="exact"/>
        <w:rPr>
          <w:sz w:val="24"/>
          <w:szCs w:val="24"/>
          <w:color w:val="auto"/>
        </w:rPr>
      </w:pPr>
    </w:p>
    <w:tbl>
      <w:tblPr>
        <w:tblLayout w:type="fixed"/>
        <w:tblInd w:w="600" w:type="dxa"/>
        <w:tblCellMar>
          <w:top w:w="0" w:type="dxa"/>
          <w:left w:w="0" w:type="dxa"/>
          <w:bottom w:w="0" w:type="dxa"/>
          <w:right w:w="0" w:type="dxa"/>
        </w:tblCellMar>
      </w:tblPr>
      <w:tr>
        <w:trPr>
          <w:trHeight w:val="221"/>
        </w:trPr>
        <w:tc>
          <w:tcPr>
            <w:tcW w:w="3420" w:type="dxa"/>
            <w:vAlign w:val="bottom"/>
          </w:tcPr>
          <w:p>
            <w:pPr>
              <w:spacing w:after="0"/>
              <w:rPr>
                <w:sz w:val="20"/>
                <w:szCs w:val="20"/>
                <w:color w:val="auto"/>
              </w:rPr>
            </w:pPr>
            <w:r>
              <w:rPr>
                <w:rFonts w:ascii="Courier New" w:cs="Courier New" w:eastAsia="Courier New" w:hAnsi="Courier New"/>
                <w:sz w:val="17"/>
                <w:szCs w:val="17"/>
                <w:color w:val="auto"/>
              </w:rPr>
              <w:t>District of Columbia</w:t>
            </w:r>
          </w:p>
        </w:tc>
        <w:tc>
          <w:tcPr>
            <w:tcW w:w="2440" w:type="dxa"/>
            <w:vAlign w:val="bottom"/>
          </w:tcPr>
          <w:p>
            <w:pPr>
              <w:jc w:val="right"/>
              <w:spacing w:after="0"/>
              <w:rPr>
                <w:sz w:val="20"/>
                <w:szCs w:val="20"/>
                <w:color w:val="auto"/>
              </w:rPr>
            </w:pPr>
            <w:r>
              <w:rPr>
                <w:rFonts w:ascii="Courier New" w:cs="Courier New" w:eastAsia="Courier New" w:hAnsi="Courier New"/>
                <w:sz w:val="17"/>
                <w:szCs w:val="17"/>
                <w:color w:val="auto"/>
              </w:rPr>
              <w:t>52-0782497</w:t>
            </w:r>
          </w:p>
        </w:tc>
      </w:tr>
    </w:tbl>
    <w:p>
      <w:pPr>
        <w:spacing w:after="0" w:line="238" w:lineRule="auto"/>
        <w:rPr>
          <w:sz w:val="20"/>
          <w:szCs w:val="20"/>
          <w:color w:val="auto"/>
        </w:rPr>
      </w:pPr>
      <w:r>
        <w:rPr>
          <w:rFonts w:ascii="Courier New" w:cs="Courier New" w:eastAsia="Courier New" w:hAnsi="Courier New"/>
          <w:sz w:val="17"/>
          <w:szCs w:val="17"/>
          <w:color w:val="auto"/>
        </w:rPr>
        <w:t>- -------------------------------------------------------------------------</w:t>
      </w:r>
    </w:p>
    <w:p>
      <w:pPr>
        <w:spacing w:after="0" w:line="352" w:lineRule="exact"/>
        <w:rPr>
          <w:sz w:val="24"/>
          <w:szCs w:val="24"/>
          <w:color w:val="auto"/>
        </w:rPr>
      </w:pPr>
    </w:p>
    <w:p>
      <w:pPr>
        <w:ind w:right="3159"/>
        <w:spacing w:after="0" w:line="347" w:lineRule="auto"/>
        <w:rPr>
          <w:sz w:val="20"/>
          <w:szCs w:val="20"/>
          <w:color w:val="auto"/>
        </w:rPr>
      </w:pPr>
      <w:r>
        <w:rPr>
          <w:rFonts w:ascii="Courier New" w:cs="Courier New" w:eastAsia="Courier New" w:hAnsi="Courier New"/>
          <w:sz w:val="17"/>
          <w:szCs w:val="17"/>
          <w:color w:val="auto"/>
        </w:rPr>
        <w:t>(State or other jurisdiction of (I.R.S. Employer incorporation or organization) Identification No.)</w:t>
      </w:r>
    </w:p>
    <w:p>
      <w:pPr>
        <w:spacing w:after="0" w:line="208" w:lineRule="exact"/>
        <w:rPr>
          <w:sz w:val="24"/>
          <w:szCs w:val="24"/>
          <w:color w:val="auto"/>
        </w:rPr>
      </w:pPr>
    </w:p>
    <w:p>
      <w:pPr>
        <w:ind w:left="1000"/>
        <w:spacing w:after="0"/>
        <w:tabs>
          <w:tab w:leader="none" w:pos="5840" w:val="left"/>
        </w:tabs>
        <w:rPr>
          <w:sz w:val="20"/>
          <w:szCs w:val="20"/>
          <w:color w:val="auto"/>
        </w:rPr>
      </w:pPr>
      <w:r>
        <w:rPr>
          <w:rFonts w:ascii="Courier New" w:cs="Courier New" w:eastAsia="Courier New" w:hAnsi="Courier New"/>
          <w:sz w:val="17"/>
          <w:szCs w:val="17"/>
          <w:color w:val="auto"/>
        </w:rPr>
        <w:t>1626 East Jefferson Street, Rockville, Maryland</w:t>
      </w:r>
      <w:r>
        <w:rPr>
          <w:sz w:val="20"/>
          <w:szCs w:val="20"/>
          <w:color w:val="auto"/>
        </w:rPr>
        <w:tab/>
      </w:r>
      <w:r>
        <w:rPr>
          <w:rFonts w:ascii="Courier New" w:cs="Courier New" w:eastAsia="Courier New" w:hAnsi="Courier New"/>
          <w:sz w:val="16"/>
          <w:szCs w:val="16"/>
          <w:color w:val="auto"/>
        </w:rPr>
        <w:t>20852-4041</w:t>
      </w:r>
    </w:p>
    <w:p>
      <w:pPr>
        <w:spacing w:after="0" w:line="27" w:lineRule="exact"/>
        <w:rPr>
          <w:sz w:val="24"/>
          <w:szCs w:val="24"/>
          <w:color w:val="auto"/>
        </w:rPr>
      </w:pPr>
    </w:p>
    <w:p>
      <w:pPr>
        <w:ind w:left="1000"/>
        <w:spacing w:after="0"/>
        <w:rPr>
          <w:sz w:val="20"/>
          <w:szCs w:val="20"/>
          <w:color w:val="auto"/>
        </w:rPr>
      </w:pPr>
      <w:r>
        <w:rPr>
          <w:rFonts w:ascii="Courier New" w:cs="Courier New" w:eastAsia="Courier New" w:hAnsi="Courier New"/>
          <w:sz w:val="17"/>
          <w:szCs w:val="17"/>
          <w:color w:val="auto"/>
        </w:rPr>
        <w:t>-----------------------------------------------------------</w:t>
      </w:r>
    </w:p>
    <w:p>
      <w:pPr>
        <w:ind w:left="1000"/>
        <w:spacing w:after="0"/>
        <w:tabs>
          <w:tab w:leader="none" w:pos="584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351" w:lineRule="exact"/>
        <w:rPr>
          <w:sz w:val="24"/>
          <w:szCs w:val="24"/>
          <w:color w:val="auto"/>
        </w:rPr>
      </w:pPr>
    </w:p>
    <w:p>
      <w:pPr>
        <w:ind w:left="3780" w:hanging="596"/>
        <w:spacing w:after="0"/>
        <w:tabs>
          <w:tab w:leader="none" w:pos="378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998-8100</w:t>
      </w:r>
    </w:p>
    <w:p>
      <w:pPr>
        <w:spacing w:after="0" w:line="28" w:lineRule="exact"/>
        <w:rPr>
          <w:rFonts w:ascii="Courier New" w:cs="Courier New" w:eastAsia="Courier New" w:hAnsi="Courier New"/>
          <w:sz w:val="17"/>
          <w:szCs w:val="17"/>
          <w:color w:val="auto"/>
        </w:rPr>
      </w:pPr>
    </w:p>
    <w:p>
      <w:pPr>
        <w:ind w:left="200" w:hanging="198"/>
        <w:spacing w:after="0" w:line="238" w:lineRule="auto"/>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(Registrant's telephone number, including area code)</w:t>
      </w:r>
    </w:p>
    <w:p>
      <w:pPr>
        <w:spacing w:after="0" w:line="160" w:lineRule="exact"/>
        <w:rPr>
          <w:sz w:val="24"/>
          <w:szCs w:val="24"/>
          <w:color w:val="auto"/>
        </w:rPr>
      </w:pPr>
    </w:p>
    <w:p>
      <w:pPr>
        <w:ind w:right="2359" w:firstLine="497"/>
        <w:spacing w:after="0" w:line="265"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596" w:right="1440" w:bottom="1440" w:gutter="0" w:footer="0" w:header="0"/>
        </w:sectPr>
      </w:pPr>
    </w:p>
    <w:p>
      <w:pPr>
        <w:spacing w:after="0" w:line="84"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jc w:val="center"/>
        <w:spacing w:after="0"/>
        <w:rPr>
          <w:sz w:val="20"/>
          <w:szCs w:val="20"/>
          <w:color w:val="auto"/>
        </w:rPr>
      </w:pPr>
      <w:r>
        <w:rPr>
          <w:rFonts w:ascii="Courier New" w:cs="Courier New" w:eastAsia="Courier New" w:hAnsi="Courier New"/>
          <w:sz w:val="17"/>
          <w:szCs w:val="17"/>
          <w:color w:val="auto"/>
        </w:rPr>
        <w:t>X</w:t>
      </w:r>
    </w:p>
    <w:p>
      <w:pPr>
        <w:spacing w:after="0" w:line="29"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No_____.</w:t>
      </w:r>
    </w:p>
    <w:p>
      <w:pPr>
        <w:spacing w:after="0" w:line="392" w:lineRule="exact"/>
        <w:rPr>
          <w:sz w:val="24"/>
          <w:szCs w:val="24"/>
          <w:color w:val="auto"/>
        </w:rPr>
      </w:pPr>
    </w:p>
    <w:p>
      <w:pPr>
        <w:sectPr>
          <w:pgSz w:w="11900" w:h="16838" w:orient="portrait"/>
          <w:cols w:equalWidth="0" w:num="4">
            <w:col w:w="800" w:space="100"/>
            <w:col w:w="500" w:space="0"/>
            <w:col w:w="260" w:space="720"/>
            <w:col w:w="7839"/>
          </w:cols>
          <w:pgMar w:left="240" w:top="596" w:right="1440" w:bottom="1440" w:gutter="0" w:footer="0" w:header="0"/>
          <w:type w:val="continuous"/>
        </w:sectPr>
      </w:pPr>
    </w:p>
    <w:p>
      <w:pPr>
        <w:ind w:right="2459" w:firstLine="497"/>
        <w:spacing w:after="0" w:line="347" w:lineRule="auto"/>
        <w:rPr>
          <w:sz w:val="20"/>
          <w:szCs w:val="20"/>
          <w:color w:val="auto"/>
        </w:rPr>
      </w:pPr>
      <w:r>
        <w:rPr>
          <w:rFonts w:ascii="Courier New" w:cs="Courier New" w:eastAsia="Courier New" w:hAnsi="Courier New"/>
          <w:sz w:val="17"/>
          <w:szCs w:val="17"/>
          <w:color w:val="auto"/>
        </w:rPr>
        <w:t>Indicate the number of shares outstanding of each of the issuer's classes of common stock, as of the latest practicable date.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220" w:type="dxa"/>
            <w:vAlign w:val="bottom"/>
          </w:tcPr>
          <w:p>
            <w:pPr>
              <w:ind w:left="1400"/>
              <w:spacing w:after="0"/>
              <w:rPr>
                <w:sz w:val="20"/>
                <w:szCs w:val="20"/>
                <w:color w:val="auto"/>
              </w:rPr>
            </w:pPr>
            <w:r>
              <w:rPr>
                <w:rFonts w:ascii="Courier New" w:cs="Courier New" w:eastAsia="Courier New" w:hAnsi="Courier New"/>
                <w:sz w:val="17"/>
                <w:szCs w:val="17"/>
                <w:color w:val="auto"/>
              </w:rPr>
              <w:t>Class</w:t>
            </w:r>
          </w:p>
        </w:tc>
        <w:tc>
          <w:tcPr>
            <w:tcW w:w="3240" w:type="dxa"/>
            <w:vAlign w:val="bottom"/>
          </w:tcPr>
          <w:p>
            <w:pPr>
              <w:jc w:val="center"/>
              <w:ind w:left="177"/>
              <w:spacing w:after="0"/>
              <w:rPr>
                <w:sz w:val="20"/>
                <w:szCs w:val="20"/>
                <w:color w:val="auto"/>
              </w:rPr>
            </w:pPr>
            <w:r>
              <w:rPr>
                <w:rFonts w:ascii="Courier New" w:cs="Courier New" w:eastAsia="Courier New" w:hAnsi="Courier New"/>
                <w:sz w:val="17"/>
                <w:szCs w:val="17"/>
                <w:color w:val="auto"/>
                <w:w w:val="97"/>
              </w:rPr>
              <w:t>Outstanding at May 4, 1998</w:t>
            </w:r>
          </w:p>
        </w:tc>
        <w:tc>
          <w:tcPr>
            <w:tcW w:w="0" w:type="dxa"/>
            <w:vAlign w:val="bottom"/>
          </w:tcPr>
          <w:p>
            <w:pPr>
              <w:spacing w:after="0"/>
              <w:rPr>
                <w:sz w:val="1"/>
                <w:szCs w:val="1"/>
                <w:color w:val="auto"/>
              </w:rPr>
            </w:pPr>
          </w:p>
        </w:tc>
      </w:tr>
      <w:tr>
        <w:trPr>
          <w:trHeight w:val="191"/>
        </w:trPr>
        <w:tc>
          <w:tcPr>
            <w:tcW w:w="4220" w:type="dxa"/>
            <w:vAlign w:val="bottom"/>
            <w:vMerge w:val="restart"/>
          </w:tcPr>
          <w:p>
            <w:pPr>
              <w:spacing w:after="0"/>
              <w:rPr>
                <w:sz w:val="20"/>
                <w:szCs w:val="20"/>
                <w:color w:val="auto"/>
              </w:rPr>
            </w:pPr>
            <w:r>
              <w:rPr>
                <w:rFonts w:ascii="Courier New" w:cs="Courier New" w:eastAsia="Courier New" w:hAnsi="Courier New"/>
                <w:sz w:val="24"/>
                <w:szCs w:val="24"/>
                <w:color w:val="auto"/>
                <w:w w:val="70"/>
                <w:vertAlign w:val="subscript"/>
              </w:rPr>
              <w:t>Common</w:t>
            </w: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bscript"/>
              </w:rPr>
              <w:t>SharesofBeneficialInterest</w:t>
            </w:r>
          </w:p>
        </w:tc>
        <w:tc>
          <w:tcPr>
            <w:tcW w:w="3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6"/>
        </w:trPr>
        <w:tc>
          <w:tcPr>
            <w:tcW w:w="4220" w:type="dxa"/>
            <w:vAlign w:val="bottom"/>
            <w:vMerge w:val="continue"/>
          </w:tcPr>
          <w:p>
            <w:pPr>
              <w:spacing w:after="0"/>
              <w:rPr>
                <w:sz w:val="24"/>
                <w:szCs w:val="24"/>
                <w:color w:val="auto"/>
              </w:rPr>
            </w:pPr>
          </w:p>
        </w:tc>
        <w:tc>
          <w:tcPr>
            <w:tcW w:w="3240" w:type="dxa"/>
            <w:vAlign w:val="bottom"/>
          </w:tcPr>
          <w:p>
            <w:pPr>
              <w:jc w:val="right"/>
              <w:ind w:right="917"/>
              <w:spacing w:after="0"/>
              <w:rPr>
                <w:sz w:val="20"/>
                <w:szCs w:val="20"/>
                <w:color w:val="auto"/>
              </w:rPr>
            </w:pPr>
            <w:r>
              <w:rPr>
                <w:rFonts w:ascii="Courier New" w:cs="Courier New" w:eastAsia="Courier New" w:hAnsi="Courier New"/>
                <w:sz w:val="17"/>
                <w:szCs w:val="17"/>
                <w:color w:val="auto"/>
              </w:rPr>
              <w:t>39,827,120</w:t>
            </w:r>
          </w:p>
        </w:tc>
        <w:tc>
          <w:tcPr>
            <w:tcW w:w="0" w:type="dxa"/>
            <w:vAlign w:val="bottom"/>
          </w:tcPr>
          <w:p>
            <w:pPr>
              <w:spacing w:after="0"/>
              <w:rPr>
                <w:sz w:val="1"/>
                <w:szCs w:val="1"/>
                <w:color w:val="auto"/>
              </w:rPr>
            </w:pPr>
          </w:p>
        </w:tc>
      </w:tr>
      <w:tr>
        <w:trPr>
          <w:trHeight w:val="558"/>
        </w:trPr>
        <w:tc>
          <w:tcPr>
            <w:tcW w:w="4220" w:type="dxa"/>
            <w:vAlign w:val="bottom"/>
          </w:tcPr>
          <w:p>
            <w:pPr>
              <w:spacing w:after="0"/>
              <w:rPr>
                <w:sz w:val="20"/>
                <w:szCs w:val="20"/>
                <w:color w:val="auto"/>
              </w:rPr>
            </w:pPr>
            <w:r>
              <w:rPr>
                <w:rFonts w:ascii="Courier New" w:cs="Courier New" w:eastAsia="Courier New" w:hAnsi="Courier New"/>
                <w:sz w:val="17"/>
                <w:szCs w:val="17"/>
                <w:color w:val="auto"/>
              </w:rPr>
              <w:t>This report contains 22 pages.</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96" w:right="1440" w:bottom="1440" w:gutter="0" w:footer="0" w:header="0"/>
          <w:type w:val="continuous"/>
        </w:sectPr>
      </w:pPr>
    </w:p>
    <w:bookmarkStart w:id="1" w:name="page2"/>
    <w:bookmarkEnd w:id="1"/>
    <w:p>
      <w:pPr>
        <w:ind w:left="23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S.E.C.</w:t>
            </w:r>
          </w:p>
        </w:tc>
        <w:tc>
          <w:tcPr>
            <w:tcW w:w="2680" w:type="dxa"/>
            <w:vAlign w:val="bottom"/>
          </w:tcPr>
          <w:p>
            <w:pPr>
              <w:ind w:left="40"/>
              <w:spacing w:after="0"/>
              <w:rPr>
                <w:sz w:val="20"/>
                <w:szCs w:val="20"/>
                <w:color w:val="auto"/>
              </w:rPr>
            </w:pPr>
            <w:r>
              <w:rPr>
                <w:rFonts w:ascii="Courier New" w:cs="Courier New" w:eastAsia="Courier New" w:hAnsi="Courier New"/>
                <w:sz w:val="17"/>
                <w:szCs w:val="17"/>
                <w:color w:val="auto"/>
              </w:rPr>
              <w:t>FORM 10-Q</w:t>
            </w:r>
          </w:p>
        </w:tc>
        <w:tc>
          <w:tcPr>
            <w:tcW w:w="940" w:type="dxa"/>
            <w:vAlign w:val="bottom"/>
          </w:tcPr>
          <w:p>
            <w:pPr>
              <w:spacing w:after="0"/>
              <w:rPr>
                <w:sz w:val="24"/>
                <w:szCs w:val="24"/>
                <w:color w:val="auto"/>
              </w:rPr>
            </w:pPr>
          </w:p>
        </w:tc>
      </w:tr>
      <w:tr>
        <w:trPr>
          <w:trHeight w:val="383"/>
        </w:trPr>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March</w:t>
            </w:r>
          </w:p>
        </w:tc>
        <w:tc>
          <w:tcPr>
            <w:tcW w:w="2680" w:type="dxa"/>
            <w:vAlign w:val="bottom"/>
          </w:tcPr>
          <w:p>
            <w:pPr>
              <w:ind w:left="40"/>
              <w:spacing w:after="0"/>
              <w:rPr>
                <w:sz w:val="20"/>
                <w:szCs w:val="20"/>
                <w:color w:val="auto"/>
              </w:rPr>
            </w:pPr>
            <w:r>
              <w:rPr>
                <w:rFonts w:ascii="Courier New" w:cs="Courier New" w:eastAsia="Courier New" w:hAnsi="Courier New"/>
                <w:sz w:val="17"/>
                <w:szCs w:val="17"/>
                <w:color w:val="auto"/>
              </w:rPr>
              <w:t>31, 1998</w:t>
            </w:r>
          </w:p>
        </w:tc>
        <w:tc>
          <w:tcPr>
            <w:tcW w:w="940" w:type="dxa"/>
            <w:vAlign w:val="bottom"/>
          </w:tcPr>
          <w:p>
            <w:pPr>
              <w:spacing w:after="0"/>
              <w:rPr>
                <w:sz w:val="24"/>
                <w:szCs w:val="24"/>
                <w:color w:val="auto"/>
              </w:rPr>
            </w:pPr>
          </w:p>
        </w:tc>
      </w:tr>
      <w:tr>
        <w:trPr>
          <w:trHeight w:val="383"/>
        </w:trPr>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80" w:type="dxa"/>
            <w:vAlign w:val="bottom"/>
            <w:gridSpan w:val="2"/>
          </w:tcPr>
          <w:p>
            <w:pPr>
              <w:jc w:val="center"/>
              <w:ind w:right="1117"/>
              <w:spacing w:after="0"/>
              <w:rPr>
                <w:sz w:val="20"/>
                <w:szCs w:val="20"/>
                <w:color w:val="auto"/>
              </w:rPr>
            </w:pPr>
            <w:r>
              <w:rPr>
                <w:rFonts w:ascii="Courier New" w:cs="Courier New" w:eastAsia="Courier New" w:hAnsi="Courier New"/>
                <w:sz w:val="17"/>
                <w:szCs w:val="17"/>
                <w:color w:val="auto"/>
                <w:w w:val="97"/>
              </w:rPr>
              <w:t>I N D E X</w:t>
            </w:r>
          </w:p>
        </w:tc>
        <w:tc>
          <w:tcPr>
            <w:tcW w:w="940" w:type="dxa"/>
            <w:vAlign w:val="bottom"/>
          </w:tcPr>
          <w:p>
            <w:pPr>
              <w:spacing w:after="0"/>
              <w:rPr>
                <w:sz w:val="24"/>
                <w:szCs w:val="24"/>
                <w:color w:val="auto"/>
              </w:rPr>
            </w:pPr>
          </w:p>
        </w:tc>
      </w:tr>
      <w:tr>
        <w:trPr>
          <w:trHeight w:val="765"/>
        </w:trPr>
        <w:tc>
          <w:tcPr>
            <w:tcW w:w="110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264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FINANCIAL INFORMATION</w:t>
            </w:r>
          </w:p>
        </w:tc>
        <w:tc>
          <w:tcPr>
            <w:tcW w:w="26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PAGE NO.</w:t>
            </w:r>
          </w:p>
        </w:tc>
      </w:tr>
      <w:tr>
        <w:trPr>
          <w:trHeight w:val="383"/>
        </w:trPr>
        <w:tc>
          <w:tcPr>
            <w:tcW w:w="110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7"/>
                <w:szCs w:val="17"/>
                <w:color w:val="auto"/>
                <w:w w:val="99"/>
              </w:rPr>
              <w:t>Accountants'</w:t>
            </w:r>
          </w:p>
        </w:tc>
        <w:tc>
          <w:tcPr>
            <w:tcW w:w="1100" w:type="dxa"/>
            <w:vAlign w:val="bottom"/>
          </w:tcPr>
          <w:p>
            <w:pPr>
              <w:ind w:left="40"/>
              <w:spacing w:after="0"/>
              <w:rPr>
                <w:sz w:val="20"/>
                <w:szCs w:val="20"/>
                <w:color w:val="auto"/>
              </w:rPr>
            </w:pPr>
            <w:r>
              <w:rPr>
                <w:rFonts w:ascii="Courier New" w:cs="Courier New" w:eastAsia="Courier New" w:hAnsi="Courier New"/>
                <w:sz w:val="17"/>
                <w:szCs w:val="17"/>
                <w:color w:val="auto"/>
              </w:rPr>
              <w:t>Report</w:t>
            </w:r>
          </w:p>
        </w:tc>
        <w:tc>
          <w:tcPr>
            <w:tcW w:w="268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4</w:t>
            </w:r>
          </w:p>
        </w:tc>
      </w:tr>
      <w:tr>
        <w:trPr>
          <w:trHeight w:val="294"/>
        </w:trPr>
        <w:tc>
          <w:tcPr>
            <w:tcW w:w="110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7"/>
                <w:szCs w:val="17"/>
                <w:color w:val="auto"/>
                <w:w w:val="99"/>
              </w:rPr>
              <w:t>Consolidated</w:t>
            </w:r>
          </w:p>
        </w:tc>
        <w:tc>
          <w:tcPr>
            <w:tcW w:w="37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Balance Sheets</w:t>
            </w: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5</w:t>
            </w:r>
          </w:p>
        </w:tc>
      </w:tr>
      <w:tr>
        <w:trPr>
          <w:trHeight w:val="191"/>
        </w:trPr>
        <w:tc>
          <w:tcPr>
            <w:tcW w:w="1100" w:type="dxa"/>
            <w:vAlign w:val="bottom"/>
          </w:tcPr>
          <w:p>
            <w:pPr>
              <w:spacing w:after="0"/>
              <w:rPr>
                <w:sz w:val="16"/>
                <w:szCs w:val="16"/>
                <w:color w:val="auto"/>
              </w:rPr>
            </w:pPr>
          </w:p>
        </w:tc>
        <w:tc>
          <w:tcPr>
            <w:tcW w:w="5320" w:type="dxa"/>
            <w:vAlign w:val="bottom"/>
            <w:gridSpan w:val="3"/>
          </w:tcPr>
          <w:p>
            <w:pPr>
              <w:ind w:left="300"/>
              <w:spacing w:after="0" w:line="191" w:lineRule="exact"/>
              <w:rPr>
                <w:sz w:val="20"/>
                <w:szCs w:val="20"/>
                <w:color w:val="auto"/>
              </w:rPr>
            </w:pPr>
            <w:r>
              <w:rPr>
                <w:rFonts w:ascii="Courier New" w:cs="Courier New" w:eastAsia="Courier New" w:hAnsi="Courier New"/>
                <w:sz w:val="17"/>
                <w:szCs w:val="17"/>
                <w:color w:val="auto"/>
              </w:rPr>
              <w:t>March 31, 1998 (unaudited) and</w:t>
            </w:r>
          </w:p>
        </w:tc>
        <w:tc>
          <w:tcPr>
            <w:tcW w:w="940" w:type="dxa"/>
            <w:vAlign w:val="bottom"/>
          </w:tcPr>
          <w:p>
            <w:pPr>
              <w:spacing w:after="0"/>
              <w:rPr>
                <w:sz w:val="16"/>
                <w:szCs w:val="16"/>
                <w:color w:val="auto"/>
              </w:rPr>
            </w:pPr>
          </w:p>
        </w:tc>
      </w:tr>
      <w:tr>
        <w:trPr>
          <w:trHeight w:val="280"/>
        </w:trPr>
        <w:tc>
          <w:tcPr>
            <w:tcW w:w="110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7"/>
                <w:szCs w:val="17"/>
                <w:color w:val="auto"/>
                <w:w w:val="99"/>
              </w:rPr>
              <w:t>December 31,</w:t>
            </w:r>
          </w:p>
        </w:tc>
        <w:tc>
          <w:tcPr>
            <w:tcW w:w="37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1997 (audited)</w:t>
            </w:r>
          </w:p>
        </w:tc>
        <w:tc>
          <w:tcPr>
            <w:tcW w:w="940" w:type="dxa"/>
            <w:vAlign w:val="bottom"/>
          </w:tcPr>
          <w:p>
            <w:pPr>
              <w:spacing w:after="0"/>
              <w:rPr>
                <w:sz w:val="24"/>
                <w:szCs w:val="24"/>
                <w:color w:val="auto"/>
              </w:rPr>
            </w:pPr>
          </w:p>
        </w:tc>
      </w:tr>
      <w:tr>
        <w:trPr>
          <w:trHeight w:val="294"/>
        </w:trPr>
        <w:tc>
          <w:tcPr>
            <w:tcW w:w="110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7"/>
                <w:szCs w:val="17"/>
                <w:color w:val="auto"/>
                <w:w w:val="99"/>
              </w:rPr>
              <w:t>Consolidated</w:t>
            </w:r>
          </w:p>
        </w:tc>
        <w:tc>
          <w:tcPr>
            <w:tcW w:w="37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Statements of Operations (unaudited)</w:t>
            </w: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6</w:t>
            </w:r>
          </w:p>
        </w:tc>
      </w:tr>
      <w:tr>
        <w:trPr>
          <w:trHeight w:val="280"/>
        </w:trPr>
        <w:tc>
          <w:tcPr>
            <w:tcW w:w="110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7"/>
                <w:szCs w:val="17"/>
                <w:color w:val="auto"/>
                <w:w w:val="99"/>
              </w:rPr>
              <w:t>Three months</w:t>
            </w:r>
          </w:p>
        </w:tc>
        <w:tc>
          <w:tcPr>
            <w:tcW w:w="37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ended March 31, 1998 and 1997</w:t>
            </w:r>
          </w:p>
        </w:tc>
        <w:tc>
          <w:tcPr>
            <w:tcW w:w="940" w:type="dxa"/>
            <w:vAlign w:val="bottom"/>
          </w:tcPr>
          <w:p>
            <w:pPr>
              <w:spacing w:after="0"/>
              <w:rPr>
                <w:sz w:val="24"/>
                <w:szCs w:val="24"/>
                <w:color w:val="auto"/>
              </w:rPr>
            </w:pPr>
          </w:p>
        </w:tc>
      </w:tr>
      <w:tr>
        <w:trPr>
          <w:trHeight w:val="294"/>
        </w:trPr>
        <w:tc>
          <w:tcPr>
            <w:tcW w:w="110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7"/>
                <w:szCs w:val="17"/>
                <w:color w:val="auto"/>
                <w:w w:val="99"/>
              </w:rPr>
              <w:t>Consolidated</w:t>
            </w:r>
          </w:p>
        </w:tc>
        <w:tc>
          <w:tcPr>
            <w:tcW w:w="1100" w:type="dxa"/>
            <w:vAlign w:val="bottom"/>
          </w:tcPr>
          <w:p>
            <w:pPr>
              <w:ind w:left="40"/>
              <w:spacing w:after="0"/>
              <w:rPr>
                <w:sz w:val="20"/>
                <w:szCs w:val="20"/>
                <w:color w:val="auto"/>
              </w:rPr>
            </w:pPr>
            <w:r>
              <w:rPr>
                <w:rFonts w:ascii="Courier New" w:cs="Courier New" w:eastAsia="Courier New" w:hAnsi="Courier New"/>
                <w:sz w:val="17"/>
                <w:szCs w:val="17"/>
                <w:color w:val="auto"/>
              </w:rPr>
              <w:t>Statements</w:t>
            </w:r>
          </w:p>
        </w:tc>
        <w:tc>
          <w:tcPr>
            <w:tcW w:w="268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7</w:t>
            </w:r>
          </w:p>
        </w:tc>
      </w:tr>
      <w:tr>
        <w:trPr>
          <w:trHeight w:val="191"/>
        </w:trPr>
        <w:tc>
          <w:tcPr>
            <w:tcW w:w="1100" w:type="dxa"/>
            <w:vAlign w:val="bottom"/>
          </w:tcPr>
          <w:p>
            <w:pPr>
              <w:spacing w:after="0"/>
              <w:rPr>
                <w:sz w:val="16"/>
                <w:szCs w:val="16"/>
                <w:color w:val="auto"/>
              </w:rPr>
            </w:pPr>
          </w:p>
        </w:tc>
        <w:tc>
          <w:tcPr>
            <w:tcW w:w="5320" w:type="dxa"/>
            <w:vAlign w:val="bottom"/>
            <w:gridSpan w:val="3"/>
          </w:tcPr>
          <w:p>
            <w:pPr>
              <w:ind w:left="300"/>
              <w:spacing w:after="0" w:line="191" w:lineRule="exact"/>
              <w:rPr>
                <w:sz w:val="20"/>
                <w:szCs w:val="20"/>
                <w:color w:val="auto"/>
              </w:rPr>
            </w:pPr>
            <w:r>
              <w:rPr>
                <w:rFonts w:ascii="Courier New" w:cs="Courier New" w:eastAsia="Courier New" w:hAnsi="Courier New"/>
                <w:sz w:val="17"/>
                <w:szCs w:val="17"/>
                <w:color w:val="auto"/>
              </w:rPr>
              <w:t>of Shareholders' Equity (unaudited)</w:t>
            </w:r>
          </w:p>
        </w:tc>
        <w:tc>
          <w:tcPr>
            <w:tcW w:w="940" w:type="dxa"/>
            <w:vAlign w:val="bottom"/>
          </w:tcPr>
          <w:p>
            <w:pPr>
              <w:spacing w:after="0"/>
              <w:rPr>
                <w:sz w:val="16"/>
                <w:szCs w:val="16"/>
                <w:color w:val="auto"/>
              </w:rPr>
            </w:pPr>
          </w:p>
        </w:tc>
      </w:tr>
      <w:tr>
        <w:trPr>
          <w:trHeight w:val="280"/>
        </w:trPr>
        <w:tc>
          <w:tcPr>
            <w:tcW w:w="110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7"/>
                <w:szCs w:val="17"/>
                <w:color w:val="auto"/>
                <w:w w:val="99"/>
              </w:rPr>
              <w:t>Three months</w:t>
            </w:r>
          </w:p>
        </w:tc>
        <w:tc>
          <w:tcPr>
            <w:tcW w:w="37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ended March 31, 1998 and 1997</w:t>
            </w:r>
          </w:p>
        </w:tc>
        <w:tc>
          <w:tcPr>
            <w:tcW w:w="940" w:type="dxa"/>
            <w:vAlign w:val="bottom"/>
          </w:tcPr>
          <w:p>
            <w:pPr>
              <w:spacing w:after="0"/>
              <w:rPr>
                <w:sz w:val="24"/>
                <w:szCs w:val="24"/>
                <w:color w:val="auto"/>
              </w:rPr>
            </w:pPr>
          </w:p>
        </w:tc>
      </w:tr>
      <w:tr>
        <w:trPr>
          <w:trHeight w:val="294"/>
        </w:trPr>
        <w:tc>
          <w:tcPr>
            <w:tcW w:w="110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7"/>
                <w:szCs w:val="17"/>
                <w:color w:val="auto"/>
                <w:w w:val="99"/>
              </w:rPr>
              <w:t>Consolidated</w:t>
            </w:r>
          </w:p>
        </w:tc>
        <w:tc>
          <w:tcPr>
            <w:tcW w:w="37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Statements of Cash Flows (unaudited)</w:t>
            </w: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8</w:t>
            </w:r>
          </w:p>
        </w:tc>
      </w:tr>
      <w:tr>
        <w:trPr>
          <w:trHeight w:val="280"/>
        </w:trPr>
        <w:tc>
          <w:tcPr>
            <w:tcW w:w="110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7"/>
                <w:szCs w:val="17"/>
                <w:color w:val="auto"/>
                <w:w w:val="99"/>
              </w:rPr>
              <w:t>Three months</w:t>
            </w:r>
          </w:p>
        </w:tc>
        <w:tc>
          <w:tcPr>
            <w:tcW w:w="37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ended March 31, 1998 and 1997</w:t>
            </w:r>
          </w:p>
        </w:tc>
        <w:tc>
          <w:tcPr>
            <w:tcW w:w="940" w:type="dxa"/>
            <w:vAlign w:val="bottom"/>
          </w:tcPr>
          <w:p>
            <w:pPr>
              <w:spacing w:after="0"/>
              <w:rPr>
                <w:sz w:val="24"/>
                <w:szCs w:val="24"/>
                <w:color w:val="auto"/>
              </w:rPr>
            </w:pPr>
          </w:p>
        </w:tc>
      </w:tr>
      <w:tr>
        <w:trPr>
          <w:trHeight w:val="383"/>
        </w:trPr>
        <w:tc>
          <w:tcPr>
            <w:tcW w:w="1100" w:type="dxa"/>
            <w:vAlign w:val="bottom"/>
          </w:tcPr>
          <w:p>
            <w:pPr>
              <w:spacing w:after="0"/>
              <w:rPr>
                <w:sz w:val="24"/>
                <w:szCs w:val="24"/>
                <w:color w:val="auto"/>
              </w:rPr>
            </w:pPr>
          </w:p>
        </w:tc>
        <w:tc>
          <w:tcPr>
            <w:tcW w:w="532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Notes to Financial Statements</w:t>
            </w: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9-13</w:t>
            </w:r>
          </w:p>
        </w:tc>
      </w:tr>
      <w:tr>
        <w:trPr>
          <w:trHeight w:val="294"/>
        </w:trPr>
        <w:tc>
          <w:tcPr>
            <w:tcW w:w="110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7"/>
                <w:szCs w:val="17"/>
                <w:color w:val="auto"/>
                <w:w w:val="99"/>
              </w:rPr>
              <w:t>Management's</w:t>
            </w:r>
          </w:p>
        </w:tc>
        <w:tc>
          <w:tcPr>
            <w:tcW w:w="37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Discussion and Analysis of</w:t>
            </w: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14-20</w:t>
            </w:r>
          </w:p>
        </w:tc>
      </w:tr>
      <w:tr>
        <w:trPr>
          <w:trHeight w:val="280"/>
        </w:trPr>
        <w:tc>
          <w:tcPr>
            <w:tcW w:w="1100" w:type="dxa"/>
            <w:vAlign w:val="bottom"/>
          </w:tcPr>
          <w:p>
            <w:pPr>
              <w:spacing w:after="0"/>
              <w:rPr>
                <w:sz w:val="24"/>
                <w:szCs w:val="24"/>
                <w:color w:val="auto"/>
              </w:rPr>
            </w:pPr>
          </w:p>
        </w:tc>
        <w:tc>
          <w:tcPr>
            <w:tcW w:w="5320" w:type="dxa"/>
            <w:vAlign w:val="bottom"/>
            <w:gridSpan w:val="3"/>
          </w:tcPr>
          <w:p>
            <w:pPr>
              <w:ind w:left="300"/>
              <w:spacing w:after="0"/>
              <w:rPr>
                <w:sz w:val="20"/>
                <w:szCs w:val="20"/>
                <w:color w:val="auto"/>
              </w:rPr>
            </w:pPr>
            <w:r>
              <w:rPr>
                <w:rFonts w:ascii="Courier New" w:cs="Courier New" w:eastAsia="Courier New" w:hAnsi="Courier New"/>
                <w:sz w:val="17"/>
                <w:szCs w:val="17"/>
                <w:color w:val="auto"/>
              </w:rPr>
              <w:t>Financial Condition and Results of Operations</w:t>
            </w:r>
          </w:p>
        </w:tc>
        <w:tc>
          <w:tcPr>
            <w:tcW w:w="940" w:type="dxa"/>
            <w:vAlign w:val="bottom"/>
          </w:tcPr>
          <w:p>
            <w:pPr>
              <w:spacing w:after="0"/>
              <w:rPr>
                <w:sz w:val="24"/>
                <w:szCs w:val="24"/>
                <w:color w:val="auto"/>
              </w:rPr>
            </w:pPr>
          </w:p>
        </w:tc>
      </w:tr>
      <w:tr>
        <w:trPr>
          <w:trHeight w:val="383"/>
        </w:trPr>
        <w:tc>
          <w:tcPr>
            <w:tcW w:w="1100" w:type="dxa"/>
            <w:vAlign w:val="bottom"/>
          </w:tcPr>
          <w:p>
            <w:pPr>
              <w:spacing w:after="0"/>
              <w:rPr>
                <w:sz w:val="20"/>
                <w:szCs w:val="20"/>
                <w:color w:val="auto"/>
              </w:rPr>
            </w:pPr>
            <w:r>
              <w:rPr>
                <w:rFonts w:ascii="Courier New" w:cs="Courier New" w:eastAsia="Courier New" w:hAnsi="Courier New"/>
                <w:sz w:val="17"/>
                <w:szCs w:val="17"/>
                <w:color w:val="auto"/>
              </w:rPr>
              <w:t>PART II.</w:t>
            </w:r>
          </w:p>
        </w:tc>
        <w:tc>
          <w:tcPr>
            <w:tcW w:w="264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OTHER INFORMATION</w:t>
            </w:r>
          </w:p>
        </w:tc>
        <w:tc>
          <w:tcPr>
            <w:tcW w:w="268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21</w:t>
            </w:r>
          </w:p>
        </w:tc>
      </w:tr>
      <w:tr>
        <w:trPr>
          <w:trHeight w:val="574"/>
        </w:trPr>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80" w:type="dxa"/>
            <w:vAlign w:val="bottom"/>
          </w:tcPr>
          <w:p>
            <w:pPr>
              <w:jc w:val="right"/>
              <w:ind w:right="2357"/>
              <w:spacing w:after="0"/>
              <w:rPr>
                <w:sz w:val="20"/>
                <w:szCs w:val="20"/>
                <w:color w:val="auto"/>
              </w:rPr>
            </w:pPr>
            <w:r>
              <w:rPr>
                <w:rFonts w:ascii="Courier New" w:cs="Courier New" w:eastAsia="Courier New" w:hAnsi="Courier New"/>
                <w:sz w:val="17"/>
                <w:szCs w:val="17"/>
                <w:color w:val="auto"/>
              </w:rPr>
              <w:t>2</w:t>
            </w:r>
          </w:p>
        </w:tc>
        <w:tc>
          <w:tcPr>
            <w:tcW w:w="940" w:type="dxa"/>
            <w:vAlign w:val="bottom"/>
          </w:tcPr>
          <w:p>
            <w:pPr>
              <w:spacing w:after="0"/>
              <w:rPr>
                <w:sz w:val="24"/>
                <w:szCs w:val="24"/>
                <w:color w:val="auto"/>
              </w:rPr>
            </w:pPr>
          </w:p>
        </w:tc>
      </w:tr>
    </w:tbl>
    <w:p>
      <w:pPr>
        <w:sectPr>
          <w:pgSz w:w="11900" w:h="16838" w:orient="portrait"/>
          <w:cols w:equalWidth="0" w:num="1">
            <w:col w:w="10219"/>
          </w:cols>
          <w:pgMar w:left="240" w:top="660" w:right="1440" w:bottom="1440" w:gutter="0" w:footer="0" w:header="0"/>
        </w:sectPr>
      </w:pPr>
    </w:p>
    <w:bookmarkStart w:id="2" w:name="page3"/>
    <w:bookmarkEnd w:id="2"/>
    <w:p>
      <w:pPr>
        <w:ind w:left="23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S.E.C. FORM 10-Q</w:t>
      </w:r>
    </w:p>
    <w:p>
      <w:pPr>
        <w:spacing w:after="0" w:line="190"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March 31, 1998</w:t>
      </w:r>
    </w:p>
    <w:p>
      <w:pPr>
        <w:spacing w:after="0" w:line="200" w:lineRule="exact"/>
        <w:rPr>
          <w:sz w:val="20"/>
          <w:szCs w:val="20"/>
          <w:color w:val="auto"/>
        </w:rPr>
      </w:pPr>
    </w:p>
    <w:p>
      <w:pPr>
        <w:spacing w:after="0" w:line="372"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190" w:lineRule="exact"/>
        <w:rPr>
          <w:sz w:val="20"/>
          <w:szCs w:val="20"/>
          <w:color w:val="auto"/>
        </w:rPr>
      </w:pPr>
    </w:p>
    <w:p>
      <w:pPr>
        <w:ind w:left="1000" w:right="2459" w:firstLine="497"/>
        <w:spacing w:after="0" w:line="253" w:lineRule="auto"/>
        <w:rPr>
          <w:sz w:val="20"/>
          <w:szCs w:val="20"/>
          <w:color w:val="auto"/>
        </w:rPr>
      </w:pPr>
      <w:r>
        <w:rPr>
          <w:rFonts w:ascii="Courier New" w:cs="Courier New" w:eastAsia="Courier New" w:hAnsi="Courier New"/>
          <w:sz w:val="17"/>
          <w:szCs w:val="17"/>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a fair statement of the results for the interim periods presented.</w:t>
      </w:r>
    </w:p>
    <w:p>
      <w:pPr>
        <w:spacing w:after="0" w:line="97" w:lineRule="exact"/>
        <w:rPr>
          <w:sz w:val="20"/>
          <w:szCs w:val="20"/>
          <w:color w:val="auto"/>
        </w:rPr>
      </w:pPr>
    </w:p>
    <w:p>
      <w:pPr>
        <w:ind w:left="1000" w:right="2259" w:firstLine="497"/>
        <w:spacing w:after="0" w:line="253" w:lineRule="auto"/>
        <w:rPr>
          <w:sz w:val="20"/>
          <w:szCs w:val="20"/>
          <w:color w:val="auto"/>
        </w:rPr>
      </w:pPr>
      <w:r>
        <w:rPr>
          <w:rFonts w:ascii="Courier New" w:cs="Courier New" w:eastAsia="Courier New" w:hAnsi="Courier New"/>
          <w:sz w:val="17"/>
          <w:szCs w:val="17"/>
          <w:color w:val="auto"/>
        </w:rPr>
        <w:t>The balance sheet as of December 31, 1997 was audited by Grant Thornton LLP, independent public accountants, who expressed an unqualified opinion on it in their report dated February 5, 1998. All other financial information presented is unaudited but has been reviewed as of March 31, 1998 and for each of the three month periods ended March 31, 1998 and 1997 by Grant Thornton LLP whose report thereon appears on Page 4. All adjustments and disclosures proposed by them have been reflected in the data presented.</w:t>
      </w:r>
    </w:p>
    <w:p>
      <w:pPr>
        <w:spacing w:after="0" w:line="2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6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Accountants' Review Report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Trustees and Shareholders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160"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We have reviewed the accompanying consolidated balance sheet of Federal Realty Investment Trust as of March 31, 1998 and the related consolidated statements of operations, shareholders' equity and cash flows for the three month periods ended March 31, 1998 and 1997. These financial statements are the responsibility of the Trust's management.</w:t>
      </w:r>
    </w:p>
    <w:p>
      <w:pPr>
        <w:spacing w:after="0" w:line="84"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7"/>
          <w:szCs w:val="17"/>
          <w:color w:val="auto"/>
        </w:rPr>
        <w:t>We conducted our review in accordance with standards established by the American Institute of Certified Public Accountants. A review of interim financial information consists principally of applying analytical review procedures to financial data and making inquiries of persons responsible for financial and accounting matters. It is substantially less in scope than an audit conducted in accordance with generally accepted auditing standards, the objective of which is the expression of an opinion regarding the financial statements taken as a whole. Accordingly, we do not express such an opinion.</w:t>
      </w:r>
    </w:p>
    <w:p>
      <w:pPr>
        <w:spacing w:after="0" w:line="97" w:lineRule="exact"/>
        <w:rPr>
          <w:sz w:val="20"/>
          <w:szCs w:val="20"/>
          <w:color w:val="auto"/>
        </w:rPr>
      </w:pPr>
    </w:p>
    <w:p>
      <w:pPr>
        <w:ind w:right="2359"/>
        <w:spacing w:after="0" w:line="292" w:lineRule="auto"/>
        <w:rPr>
          <w:sz w:val="20"/>
          <w:szCs w:val="20"/>
          <w:color w:val="auto"/>
        </w:rPr>
      </w:pPr>
      <w:r>
        <w:rPr>
          <w:rFonts w:ascii="Courier New" w:cs="Courier New" w:eastAsia="Courier New" w:hAnsi="Courier New"/>
          <w:sz w:val="17"/>
          <w:szCs w:val="17"/>
          <w:color w:val="auto"/>
        </w:rPr>
        <w:t>Based on our review, we are not aware of any material modifications that should be made to the accompanying financial statements for them to be in conformity with generally accepted accounting principles.</w:t>
      </w:r>
    </w:p>
    <w:p>
      <w:pPr>
        <w:spacing w:after="0" w:line="62" w:lineRule="exact"/>
        <w:rPr>
          <w:sz w:val="20"/>
          <w:szCs w:val="20"/>
          <w:color w:val="auto"/>
        </w:rPr>
      </w:pPr>
    </w:p>
    <w:p>
      <w:pPr>
        <w:ind w:right="2259"/>
        <w:spacing w:after="0" w:line="251" w:lineRule="auto"/>
        <w:rPr>
          <w:sz w:val="20"/>
          <w:szCs w:val="20"/>
          <w:color w:val="auto"/>
        </w:rPr>
      </w:pPr>
      <w:r>
        <w:rPr>
          <w:rFonts w:ascii="Courier New" w:cs="Courier New" w:eastAsia="Courier New" w:hAnsi="Courier New"/>
          <w:sz w:val="17"/>
          <w:szCs w:val="17"/>
          <w:color w:val="auto"/>
        </w:rPr>
        <w:t>We have previously audited, in accordance with generally accepted auditing standards, the consolidated balance sheet as of December 31, 1997 and the related consolidated statements of operations, shareholders' equity and cash flows for the year then ended (not presented herein); and in our report dated February 5, 1998, we expressed an unqualified opinion on those consolidated financial statements. In our opinion, the information set forth in the accompanying condensed consolidated balance sheet as of December 31, 1997 is stated fairly, in all material respects, in relation to the consolidated balance sheet from which it has been derived.</w:t>
      </w:r>
    </w:p>
    <w:p>
      <w:pPr>
        <w:spacing w:after="0" w:line="10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Grant Thornton LLP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Washington, D.C.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5, 1998</w:t>
      </w:r>
    </w:p>
    <w:p>
      <w:pPr>
        <w:spacing w:after="0" w:line="35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6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BALANCE SHEETS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accountants' review report)</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20" w:type="dxa"/>
            <w:vAlign w:val="bottom"/>
          </w:tcPr>
          <w:p>
            <w:pPr>
              <w:spacing w:after="0"/>
              <w:rPr>
                <w:sz w:val="16"/>
                <w:szCs w:val="16"/>
                <w:color w:val="auto"/>
              </w:rPr>
            </w:pPr>
          </w:p>
        </w:tc>
        <w:tc>
          <w:tcPr>
            <w:tcW w:w="14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March 31,</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December 31,</w:t>
            </w:r>
          </w:p>
        </w:tc>
        <w:tc>
          <w:tcPr>
            <w:tcW w:w="0" w:type="dxa"/>
            <w:vAlign w:val="bottom"/>
          </w:tcPr>
          <w:p>
            <w:pPr>
              <w:spacing w:after="0"/>
              <w:rPr>
                <w:sz w:val="1"/>
                <w:szCs w:val="1"/>
                <w:color w:val="auto"/>
              </w:rPr>
            </w:pPr>
          </w:p>
        </w:tc>
      </w:tr>
      <w:tr>
        <w:trPr>
          <w:trHeight w:val="191"/>
        </w:trPr>
        <w:tc>
          <w:tcPr>
            <w:tcW w:w="7420" w:type="dxa"/>
            <w:vAlign w:val="bottom"/>
          </w:tcPr>
          <w:p>
            <w:pPr>
              <w:spacing w:after="0"/>
              <w:rPr>
                <w:sz w:val="16"/>
                <w:szCs w:val="16"/>
                <w:color w:val="auto"/>
              </w:rPr>
            </w:pPr>
          </w:p>
        </w:tc>
        <w:tc>
          <w:tcPr>
            <w:tcW w:w="148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1998</w:t>
            </w:r>
          </w:p>
        </w:tc>
        <w:tc>
          <w:tcPr>
            <w:tcW w:w="13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1997</w:t>
            </w:r>
          </w:p>
        </w:tc>
        <w:tc>
          <w:tcPr>
            <w:tcW w:w="0" w:type="dxa"/>
            <w:vAlign w:val="bottom"/>
          </w:tcPr>
          <w:p>
            <w:pPr>
              <w:spacing w:after="0"/>
              <w:rPr>
                <w:sz w:val="1"/>
                <w:szCs w:val="1"/>
                <w:color w:val="auto"/>
              </w:rPr>
            </w:pPr>
          </w:p>
        </w:tc>
      </w:tr>
      <w:tr>
        <w:trPr>
          <w:trHeight w:val="191"/>
        </w:trPr>
        <w:tc>
          <w:tcPr>
            <w:tcW w:w="7420" w:type="dxa"/>
            <w:vAlign w:val="bottom"/>
          </w:tcPr>
          <w:p>
            <w:pPr>
              <w:spacing w:after="0"/>
              <w:rPr>
                <w:sz w:val="16"/>
                <w:szCs w:val="16"/>
                <w:color w:val="auto"/>
              </w:rPr>
            </w:pP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(Unaudited)</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7420" w:type="dxa"/>
            <w:vAlign w:val="bottom"/>
            <w:vMerge w:val="restart"/>
          </w:tcPr>
          <w:p>
            <w:pPr>
              <w:ind w:left="2580"/>
              <w:spacing w:after="0"/>
              <w:rPr>
                <w:sz w:val="20"/>
                <w:szCs w:val="20"/>
                <w:color w:val="auto"/>
              </w:rPr>
            </w:pPr>
            <w:r>
              <w:rPr>
                <w:rFonts w:ascii="Courier New" w:cs="Courier New" w:eastAsia="Courier New" w:hAnsi="Courier New"/>
                <w:sz w:val="17"/>
                <w:szCs w:val="17"/>
                <w:color w:val="auto"/>
              </w:rPr>
              <w:t>ASSETS</w:t>
            </w: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7420" w:type="dxa"/>
            <w:vAlign w:val="bottom"/>
            <w:vMerge w:val="continue"/>
          </w:tcPr>
          <w:p>
            <w:pPr>
              <w:spacing w:after="0"/>
              <w:rPr>
                <w:sz w:val="24"/>
                <w:szCs w:val="24"/>
                <w:color w:val="auto"/>
              </w:rPr>
            </w:pPr>
          </w:p>
        </w:tc>
        <w:tc>
          <w:tcPr>
            <w:tcW w:w="2820" w:type="dxa"/>
            <w:vAlign w:val="bottom"/>
            <w:gridSpan w:val="2"/>
          </w:tcPr>
          <w:p>
            <w:pPr>
              <w:ind w:left="840"/>
              <w:spacing w:after="0"/>
              <w:rPr>
                <w:sz w:val="20"/>
                <w:szCs w:val="20"/>
                <w:color w:val="auto"/>
              </w:rPr>
            </w:pPr>
            <w:r>
              <w:rPr>
                <w:rFonts w:ascii="Courier New" w:cs="Courier New" w:eastAsia="Courier New" w:hAnsi="Courier New"/>
                <w:sz w:val="17"/>
                <w:szCs w:val="17"/>
                <w:color w:val="auto"/>
              </w:rPr>
              <w:t>(in thousands)</w:t>
            </w:r>
          </w:p>
        </w:tc>
        <w:tc>
          <w:tcPr>
            <w:tcW w:w="0" w:type="dxa"/>
            <w:vAlign w:val="bottom"/>
          </w:tcPr>
          <w:p>
            <w:pPr>
              <w:spacing w:after="0"/>
              <w:rPr>
                <w:sz w:val="1"/>
                <w:szCs w:val="1"/>
                <w:color w:val="auto"/>
              </w:rPr>
            </w:pPr>
          </w:p>
        </w:tc>
      </w:tr>
      <w:tr>
        <w:trPr>
          <w:trHeight w:val="294"/>
        </w:trPr>
        <w:tc>
          <w:tcPr>
            <w:tcW w:w="7420" w:type="dxa"/>
            <w:vAlign w:val="bottom"/>
          </w:tcPr>
          <w:p>
            <w:pPr>
              <w:spacing w:after="0"/>
              <w:rPr>
                <w:sz w:val="20"/>
                <w:szCs w:val="20"/>
                <w:color w:val="auto"/>
              </w:rPr>
            </w:pPr>
            <w:r>
              <w:rPr>
                <w:rFonts w:ascii="Courier New" w:cs="Courier New" w:eastAsia="Courier New" w:hAnsi="Courier New"/>
                <w:sz w:val="17"/>
                <w:szCs w:val="17"/>
                <w:color w:val="auto"/>
              </w:rPr>
              <w:t>Investments</w:t>
            </w:r>
          </w:p>
        </w:tc>
        <w:tc>
          <w:tcPr>
            <w:tcW w:w="1480" w:type="dxa"/>
            <w:vAlign w:val="bottom"/>
            <w:vMerge w:val="restart"/>
          </w:tcPr>
          <w:p>
            <w:pPr>
              <w:jc w:val="right"/>
              <w:ind w:right="157"/>
              <w:spacing w:after="0"/>
              <w:rPr>
                <w:sz w:val="20"/>
                <w:szCs w:val="20"/>
                <w:color w:val="auto"/>
              </w:rPr>
            </w:pPr>
            <w:r>
              <w:rPr>
                <w:rFonts w:ascii="Courier New" w:cs="Courier New" w:eastAsia="Courier New" w:hAnsi="Courier New"/>
                <w:sz w:val="17"/>
                <w:szCs w:val="17"/>
                <w:color w:val="auto"/>
              </w:rPr>
              <w:t>$ 1,481,386</w:t>
            </w:r>
          </w:p>
        </w:tc>
        <w:tc>
          <w:tcPr>
            <w:tcW w:w="13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$ 1,453,639</w:t>
            </w:r>
          </w:p>
        </w:tc>
        <w:tc>
          <w:tcPr>
            <w:tcW w:w="0" w:type="dxa"/>
            <w:vAlign w:val="bottom"/>
          </w:tcPr>
          <w:p>
            <w:pPr>
              <w:spacing w:after="0"/>
              <w:rPr>
                <w:sz w:val="1"/>
                <w:szCs w:val="1"/>
                <w:color w:val="auto"/>
              </w:rPr>
            </w:pPr>
          </w:p>
        </w:tc>
      </w:tr>
      <w:tr>
        <w:trPr>
          <w:trHeight w:val="191"/>
        </w:trPr>
        <w:tc>
          <w:tcPr>
            <w:tcW w:w="7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Real estate, at cost</w:t>
            </w:r>
          </w:p>
        </w:tc>
        <w:tc>
          <w:tcPr>
            <w:tcW w:w="14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Less accumulated depreciation and amortization</w:t>
            </w:r>
          </w:p>
        </w:tc>
        <w:tc>
          <w:tcPr>
            <w:tcW w:w="14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(255,703)</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(247,497)</w:t>
            </w:r>
          </w:p>
        </w:tc>
        <w:tc>
          <w:tcPr>
            <w:tcW w:w="0" w:type="dxa"/>
            <w:vAlign w:val="bottom"/>
          </w:tcPr>
          <w:p>
            <w:pPr>
              <w:spacing w:after="0"/>
              <w:rPr>
                <w:sz w:val="1"/>
                <w:szCs w:val="1"/>
                <w:color w:val="auto"/>
              </w:rPr>
            </w:pPr>
          </w:p>
        </w:tc>
      </w:tr>
      <w:tr>
        <w:trPr>
          <w:trHeight w:val="191"/>
        </w:trPr>
        <w:tc>
          <w:tcPr>
            <w:tcW w:w="7420" w:type="dxa"/>
            <w:vAlign w:val="bottom"/>
          </w:tcPr>
          <w:p>
            <w:pPr>
              <w:spacing w:after="0"/>
              <w:rPr>
                <w:sz w:val="16"/>
                <w:szCs w:val="16"/>
                <w:color w:val="auto"/>
              </w:rPr>
            </w:pP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742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Mortgage notes receivable</w:t>
            </w: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1,225,683</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1,206,142</w:t>
            </w:r>
          </w:p>
        </w:tc>
        <w:tc>
          <w:tcPr>
            <w:tcW w:w="0" w:type="dxa"/>
            <w:vAlign w:val="bottom"/>
          </w:tcPr>
          <w:p>
            <w:pPr>
              <w:spacing w:after="0"/>
              <w:rPr>
                <w:sz w:val="1"/>
                <w:szCs w:val="1"/>
                <w:color w:val="auto"/>
              </w:rPr>
            </w:pPr>
          </w:p>
        </w:tc>
      </w:tr>
      <w:tr>
        <w:trPr>
          <w:trHeight w:val="191"/>
        </w:trPr>
        <w:tc>
          <w:tcPr>
            <w:tcW w:w="7420" w:type="dxa"/>
            <w:vAlign w:val="bottom"/>
            <w:vMerge w:val="continue"/>
          </w:tcPr>
          <w:p>
            <w:pPr>
              <w:spacing w:after="0"/>
              <w:rPr>
                <w:sz w:val="16"/>
                <w:szCs w:val="16"/>
                <w:color w:val="auto"/>
              </w:rPr>
            </w:pP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40,733</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38,360</w:t>
            </w:r>
          </w:p>
        </w:tc>
        <w:tc>
          <w:tcPr>
            <w:tcW w:w="0" w:type="dxa"/>
            <w:vAlign w:val="bottom"/>
          </w:tcPr>
          <w:p>
            <w:pPr>
              <w:spacing w:after="0"/>
              <w:rPr>
                <w:sz w:val="1"/>
                <w:szCs w:val="1"/>
                <w:color w:val="auto"/>
              </w:rPr>
            </w:pPr>
          </w:p>
        </w:tc>
      </w:tr>
      <w:tr>
        <w:trPr>
          <w:trHeight w:val="191"/>
        </w:trPr>
        <w:tc>
          <w:tcPr>
            <w:tcW w:w="7420" w:type="dxa"/>
            <w:vAlign w:val="bottom"/>
          </w:tcPr>
          <w:p>
            <w:pPr>
              <w:spacing w:after="0"/>
              <w:rPr>
                <w:sz w:val="16"/>
                <w:szCs w:val="16"/>
                <w:color w:val="auto"/>
              </w:rPr>
            </w:pP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0"/>
        </w:trPr>
        <w:tc>
          <w:tcPr>
            <w:tcW w:w="7420" w:type="dxa"/>
            <w:vAlign w:val="bottom"/>
            <w:vMerge w:val="restart"/>
          </w:tcPr>
          <w:p>
            <w:pPr>
              <w:spacing w:after="0"/>
              <w:rPr>
                <w:sz w:val="20"/>
                <w:szCs w:val="20"/>
                <w:color w:val="auto"/>
              </w:rPr>
            </w:pPr>
            <w:r>
              <w:rPr>
                <w:rFonts w:ascii="Courier New" w:cs="Courier New" w:eastAsia="Courier New" w:hAnsi="Courier New"/>
                <w:sz w:val="17"/>
                <w:szCs w:val="17"/>
                <w:color w:val="auto"/>
              </w:rPr>
              <w:t>Other Assets</w:t>
            </w:r>
          </w:p>
        </w:tc>
        <w:tc>
          <w:tcPr>
            <w:tcW w:w="14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1,266,416</w:t>
            </w:r>
          </w:p>
        </w:tc>
        <w:tc>
          <w:tcPr>
            <w:tcW w:w="13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1,244,502</w:t>
            </w:r>
          </w:p>
        </w:tc>
        <w:tc>
          <w:tcPr>
            <w:tcW w:w="0" w:type="dxa"/>
            <w:vAlign w:val="bottom"/>
          </w:tcPr>
          <w:p>
            <w:pPr>
              <w:spacing w:after="0"/>
              <w:rPr>
                <w:sz w:val="1"/>
                <w:szCs w:val="1"/>
                <w:color w:val="auto"/>
              </w:rPr>
            </w:pPr>
          </w:p>
        </w:tc>
      </w:tr>
      <w:tr>
        <w:trPr>
          <w:trHeight w:val="102"/>
        </w:trPr>
        <w:tc>
          <w:tcPr>
            <w:tcW w:w="7420" w:type="dxa"/>
            <w:vAlign w:val="bottom"/>
            <w:vMerge w:val="continue"/>
          </w:tcPr>
          <w:p>
            <w:pPr>
              <w:spacing w:after="0"/>
              <w:rPr>
                <w:sz w:val="8"/>
                <w:szCs w:val="8"/>
                <w:color w:val="auto"/>
              </w:rPr>
            </w:pPr>
          </w:p>
        </w:tc>
        <w:tc>
          <w:tcPr>
            <w:tcW w:w="1480" w:type="dxa"/>
            <w:vAlign w:val="bottom"/>
            <w:vMerge w:val="restart"/>
          </w:tcPr>
          <w:p>
            <w:pPr>
              <w:jc w:val="right"/>
              <w:ind w:right="157"/>
              <w:spacing w:after="0"/>
              <w:rPr>
                <w:sz w:val="20"/>
                <w:szCs w:val="20"/>
                <w:color w:val="auto"/>
              </w:rPr>
            </w:pPr>
            <w:r>
              <w:rPr>
                <w:rFonts w:ascii="Courier New" w:cs="Courier New" w:eastAsia="Courier New" w:hAnsi="Courier New"/>
                <w:sz w:val="17"/>
                <w:szCs w:val="17"/>
                <w:color w:val="auto"/>
              </w:rPr>
              <w:t>15,890</w:t>
            </w:r>
          </w:p>
        </w:tc>
        <w:tc>
          <w:tcPr>
            <w:tcW w:w="13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17,043</w:t>
            </w:r>
          </w:p>
        </w:tc>
        <w:tc>
          <w:tcPr>
            <w:tcW w:w="0" w:type="dxa"/>
            <w:vAlign w:val="bottom"/>
          </w:tcPr>
          <w:p>
            <w:pPr>
              <w:spacing w:after="0"/>
              <w:rPr>
                <w:sz w:val="1"/>
                <w:szCs w:val="1"/>
                <w:color w:val="auto"/>
              </w:rPr>
            </w:pPr>
          </w:p>
        </w:tc>
      </w:tr>
      <w:tr>
        <w:trPr>
          <w:trHeight w:val="191"/>
        </w:trPr>
        <w:tc>
          <w:tcPr>
            <w:tcW w:w="7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Cash</w:t>
            </w:r>
          </w:p>
        </w:tc>
        <w:tc>
          <w:tcPr>
            <w:tcW w:w="14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Notes receivable - officers</w:t>
            </w: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1,360</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1,190</w:t>
            </w:r>
          </w:p>
        </w:tc>
        <w:tc>
          <w:tcPr>
            <w:tcW w:w="0" w:type="dxa"/>
            <w:vAlign w:val="bottom"/>
          </w:tcPr>
          <w:p>
            <w:pPr>
              <w:spacing w:after="0"/>
              <w:rPr>
                <w:sz w:val="1"/>
                <w:szCs w:val="1"/>
                <w:color w:val="auto"/>
              </w:rPr>
            </w:pPr>
          </w:p>
        </w:tc>
      </w:tr>
      <w:tr>
        <w:trPr>
          <w:trHeight w:val="191"/>
        </w:trPr>
        <w:tc>
          <w:tcPr>
            <w:tcW w:w="7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Accounts receivable</w:t>
            </w: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16,204</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17,604</w:t>
            </w:r>
          </w:p>
        </w:tc>
        <w:tc>
          <w:tcPr>
            <w:tcW w:w="0" w:type="dxa"/>
            <w:vAlign w:val="bottom"/>
          </w:tcPr>
          <w:p>
            <w:pPr>
              <w:spacing w:after="0"/>
              <w:rPr>
                <w:sz w:val="1"/>
                <w:szCs w:val="1"/>
                <w:color w:val="auto"/>
              </w:rPr>
            </w:pPr>
          </w:p>
        </w:tc>
      </w:tr>
      <w:tr>
        <w:trPr>
          <w:trHeight w:val="191"/>
        </w:trPr>
        <w:tc>
          <w:tcPr>
            <w:tcW w:w="7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Prepaid expenses and other assets, principally</w:t>
            </w:r>
          </w:p>
        </w:tc>
        <w:tc>
          <w:tcPr>
            <w:tcW w:w="1480" w:type="dxa"/>
            <w:vAlign w:val="bottom"/>
            <w:vMerge w:val="restart"/>
          </w:tcPr>
          <w:p>
            <w:pPr>
              <w:jc w:val="right"/>
              <w:ind w:right="157"/>
              <w:spacing w:after="0"/>
              <w:rPr>
                <w:sz w:val="20"/>
                <w:szCs w:val="20"/>
                <w:color w:val="auto"/>
              </w:rPr>
            </w:pPr>
            <w:r>
              <w:rPr>
                <w:rFonts w:ascii="Courier New" w:cs="Courier New" w:eastAsia="Courier New" w:hAnsi="Courier New"/>
                <w:sz w:val="17"/>
                <w:szCs w:val="17"/>
                <w:color w:val="auto"/>
              </w:rPr>
              <w:t>35,939</w:t>
            </w:r>
          </w:p>
        </w:tc>
        <w:tc>
          <w:tcPr>
            <w:tcW w:w="13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32,128</w:t>
            </w:r>
          </w:p>
        </w:tc>
        <w:tc>
          <w:tcPr>
            <w:tcW w:w="0" w:type="dxa"/>
            <w:vAlign w:val="bottom"/>
          </w:tcPr>
          <w:p>
            <w:pPr>
              <w:spacing w:after="0"/>
              <w:rPr>
                <w:sz w:val="1"/>
                <w:szCs w:val="1"/>
                <w:color w:val="auto"/>
              </w:rPr>
            </w:pPr>
          </w:p>
        </w:tc>
      </w:tr>
      <w:tr>
        <w:trPr>
          <w:trHeight w:val="191"/>
        </w:trPr>
        <w:tc>
          <w:tcPr>
            <w:tcW w:w="74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property taxes and lease commissions</w:t>
            </w:r>
          </w:p>
        </w:tc>
        <w:tc>
          <w:tcPr>
            <w:tcW w:w="14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Debt issue costs</w:t>
            </w: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3,339</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4,106</w:t>
            </w:r>
          </w:p>
        </w:tc>
        <w:tc>
          <w:tcPr>
            <w:tcW w:w="0" w:type="dxa"/>
            <w:vAlign w:val="bottom"/>
          </w:tcPr>
          <w:p>
            <w:pPr>
              <w:spacing w:after="0"/>
              <w:rPr>
                <w:sz w:val="1"/>
                <w:szCs w:val="1"/>
                <w:color w:val="auto"/>
              </w:rPr>
            </w:pPr>
          </w:p>
        </w:tc>
      </w:tr>
      <w:tr>
        <w:trPr>
          <w:trHeight w:val="191"/>
        </w:trPr>
        <w:tc>
          <w:tcPr>
            <w:tcW w:w="7420" w:type="dxa"/>
            <w:vAlign w:val="bottom"/>
          </w:tcPr>
          <w:p>
            <w:pPr>
              <w:spacing w:after="0"/>
              <w:rPr>
                <w:sz w:val="16"/>
                <w:szCs w:val="16"/>
                <w:color w:val="auto"/>
              </w:rPr>
            </w:pP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7420" w:type="dxa"/>
            <w:vAlign w:val="bottom"/>
          </w:tcPr>
          <w:p>
            <w:pPr>
              <w:spacing w:after="0"/>
              <w:rPr>
                <w:sz w:val="16"/>
                <w:szCs w:val="16"/>
                <w:color w:val="auto"/>
              </w:rPr>
            </w:pP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$ 1,339,148</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$ 1,316,573</w:t>
            </w:r>
          </w:p>
        </w:tc>
        <w:tc>
          <w:tcPr>
            <w:tcW w:w="0" w:type="dxa"/>
            <w:vAlign w:val="bottom"/>
          </w:tcPr>
          <w:p>
            <w:pPr>
              <w:spacing w:after="0"/>
              <w:rPr>
                <w:sz w:val="1"/>
                <w:szCs w:val="1"/>
                <w:color w:val="auto"/>
              </w:rPr>
            </w:pPr>
          </w:p>
        </w:tc>
      </w:tr>
      <w:tr>
        <w:trPr>
          <w:trHeight w:val="280"/>
        </w:trPr>
        <w:tc>
          <w:tcPr>
            <w:tcW w:w="7420" w:type="dxa"/>
            <w:vAlign w:val="bottom"/>
            <w:vMerge w:val="restart"/>
          </w:tcPr>
          <w:p>
            <w:pPr>
              <w:ind w:left="2680"/>
              <w:spacing w:after="0"/>
              <w:rPr>
                <w:sz w:val="20"/>
                <w:szCs w:val="20"/>
                <w:color w:val="auto"/>
              </w:rPr>
            </w:pPr>
            <w:r>
              <w:rPr>
                <w:rFonts w:ascii="Courier New" w:cs="Courier New" w:eastAsia="Courier New" w:hAnsi="Courier New"/>
                <w:sz w:val="17"/>
                <w:szCs w:val="17"/>
                <w:color w:val="auto"/>
              </w:rPr>
              <w:t>LIABILITIES AND SHAREHOLDERS' EQUITY</w:t>
            </w:r>
          </w:p>
        </w:tc>
        <w:tc>
          <w:tcPr>
            <w:tcW w:w="14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742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7420" w:type="dxa"/>
            <w:vAlign w:val="bottom"/>
          </w:tcPr>
          <w:p>
            <w:pPr>
              <w:spacing w:after="0"/>
              <w:rPr>
                <w:sz w:val="20"/>
                <w:szCs w:val="20"/>
                <w:color w:val="auto"/>
              </w:rPr>
            </w:pPr>
            <w:r>
              <w:rPr>
                <w:rFonts w:ascii="Courier New" w:cs="Courier New" w:eastAsia="Courier New" w:hAnsi="Courier New"/>
                <w:sz w:val="17"/>
                <w:szCs w:val="17"/>
                <w:color w:val="auto"/>
              </w:rPr>
              <w:t>Liabilities</w:t>
            </w:r>
          </w:p>
        </w:tc>
        <w:tc>
          <w:tcPr>
            <w:tcW w:w="1480" w:type="dxa"/>
            <w:vAlign w:val="bottom"/>
            <w:vMerge w:val="restart"/>
          </w:tcPr>
          <w:p>
            <w:pPr>
              <w:jc w:val="right"/>
              <w:ind w:right="157"/>
              <w:spacing w:after="0"/>
              <w:rPr>
                <w:sz w:val="20"/>
                <w:szCs w:val="20"/>
                <w:color w:val="auto"/>
              </w:rPr>
            </w:pPr>
            <w:r>
              <w:rPr>
                <w:rFonts w:ascii="Courier New" w:cs="Courier New" w:eastAsia="Courier New" w:hAnsi="Courier New"/>
                <w:sz w:val="17"/>
                <w:szCs w:val="17"/>
                <w:color w:val="auto"/>
              </w:rPr>
              <w:t>$125,721</w:t>
            </w:r>
          </w:p>
        </w:tc>
        <w:tc>
          <w:tcPr>
            <w:tcW w:w="13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$125,940</w:t>
            </w:r>
          </w:p>
        </w:tc>
        <w:tc>
          <w:tcPr>
            <w:tcW w:w="0" w:type="dxa"/>
            <w:vAlign w:val="bottom"/>
          </w:tcPr>
          <w:p>
            <w:pPr>
              <w:spacing w:after="0"/>
              <w:rPr>
                <w:sz w:val="1"/>
                <w:szCs w:val="1"/>
                <w:color w:val="auto"/>
              </w:rPr>
            </w:pPr>
          </w:p>
        </w:tc>
      </w:tr>
      <w:tr>
        <w:trPr>
          <w:trHeight w:val="191"/>
        </w:trPr>
        <w:tc>
          <w:tcPr>
            <w:tcW w:w="7420" w:type="dxa"/>
            <w:vAlign w:val="bottom"/>
          </w:tcPr>
          <w:p>
            <w:pPr>
              <w:spacing w:after="0" w:line="191" w:lineRule="exact"/>
              <w:rPr>
                <w:sz w:val="20"/>
                <w:szCs w:val="20"/>
                <w:color w:val="auto"/>
              </w:rPr>
            </w:pPr>
            <w:r>
              <w:rPr>
                <w:rFonts w:ascii="Courier New" w:cs="Courier New" w:eastAsia="Courier New" w:hAnsi="Courier New"/>
                <w:sz w:val="17"/>
                <w:szCs w:val="17"/>
                <w:color w:val="auto"/>
              </w:rPr>
              <w:t>Obligations under capital leases</w:t>
            </w:r>
          </w:p>
        </w:tc>
        <w:tc>
          <w:tcPr>
            <w:tcW w:w="14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Mortgages payable</w:t>
            </w: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95,277</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95,633</w:t>
            </w:r>
          </w:p>
        </w:tc>
        <w:tc>
          <w:tcPr>
            <w:tcW w:w="0" w:type="dxa"/>
            <w:vAlign w:val="bottom"/>
          </w:tcPr>
          <w:p>
            <w:pPr>
              <w:spacing w:after="0"/>
              <w:rPr>
                <w:sz w:val="1"/>
                <w:szCs w:val="1"/>
                <w:color w:val="auto"/>
              </w:rPr>
            </w:pPr>
          </w:p>
        </w:tc>
      </w:tr>
      <w:tr>
        <w:trPr>
          <w:trHeight w:val="191"/>
        </w:trPr>
        <w:tc>
          <w:tcPr>
            <w:tcW w:w="7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Notes payable</w:t>
            </w: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67,112</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119,028</w:t>
            </w:r>
          </w:p>
        </w:tc>
        <w:tc>
          <w:tcPr>
            <w:tcW w:w="0" w:type="dxa"/>
            <w:vAlign w:val="bottom"/>
          </w:tcPr>
          <w:p>
            <w:pPr>
              <w:spacing w:after="0"/>
              <w:rPr>
                <w:sz w:val="1"/>
                <w:szCs w:val="1"/>
                <w:color w:val="auto"/>
              </w:rPr>
            </w:pPr>
          </w:p>
        </w:tc>
      </w:tr>
      <w:tr>
        <w:trPr>
          <w:trHeight w:val="191"/>
        </w:trPr>
        <w:tc>
          <w:tcPr>
            <w:tcW w:w="7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Accrued expenses</w:t>
            </w: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18,126</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23,419</w:t>
            </w:r>
          </w:p>
        </w:tc>
        <w:tc>
          <w:tcPr>
            <w:tcW w:w="0" w:type="dxa"/>
            <w:vAlign w:val="bottom"/>
          </w:tcPr>
          <w:p>
            <w:pPr>
              <w:spacing w:after="0"/>
              <w:rPr>
                <w:sz w:val="1"/>
                <w:szCs w:val="1"/>
                <w:color w:val="auto"/>
              </w:rPr>
            </w:pPr>
          </w:p>
        </w:tc>
      </w:tr>
      <w:tr>
        <w:trPr>
          <w:trHeight w:val="191"/>
        </w:trPr>
        <w:tc>
          <w:tcPr>
            <w:tcW w:w="7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Accounts payable</w:t>
            </w: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10,349</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7,093</w:t>
            </w:r>
          </w:p>
        </w:tc>
        <w:tc>
          <w:tcPr>
            <w:tcW w:w="0" w:type="dxa"/>
            <w:vAlign w:val="bottom"/>
          </w:tcPr>
          <w:p>
            <w:pPr>
              <w:spacing w:after="0"/>
              <w:rPr>
                <w:sz w:val="1"/>
                <w:szCs w:val="1"/>
                <w:color w:val="auto"/>
              </w:rPr>
            </w:pPr>
          </w:p>
        </w:tc>
      </w:tr>
      <w:tr>
        <w:trPr>
          <w:trHeight w:val="191"/>
        </w:trPr>
        <w:tc>
          <w:tcPr>
            <w:tcW w:w="7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Dividends payable</w:t>
            </w: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18,448</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18,368</w:t>
            </w:r>
          </w:p>
        </w:tc>
        <w:tc>
          <w:tcPr>
            <w:tcW w:w="0" w:type="dxa"/>
            <w:vAlign w:val="bottom"/>
          </w:tcPr>
          <w:p>
            <w:pPr>
              <w:spacing w:after="0"/>
              <w:rPr>
                <w:sz w:val="1"/>
                <w:szCs w:val="1"/>
                <w:color w:val="auto"/>
              </w:rPr>
            </w:pPr>
          </w:p>
        </w:tc>
      </w:tr>
      <w:tr>
        <w:trPr>
          <w:trHeight w:val="191"/>
        </w:trPr>
        <w:tc>
          <w:tcPr>
            <w:tcW w:w="7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Security deposits</w:t>
            </w: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4,449</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4,423</w:t>
            </w:r>
          </w:p>
        </w:tc>
        <w:tc>
          <w:tcPr>
            <w:tcW w:w="0" w:type="dxa"/>
            <w:vAlign w:val="bottom"/>
          </w:tcPr>
          <w:p>
            <w:pPr>
              <w:spacing w:after="0"/>
              <w:rPr>
                <w:sz w:val="1"/>
                <w:szCs w:val="1"/>
                <w:color w:val="auto"/>
              </w:rPr>
            </w:pPr>
          </w:p>
        </w:tc>
      </w:tr>
      <w:tr>
        <w:trPr>
          <w:trHeight w:val="191"/>
        </w:trPr>
        <w:tc>
          <w:tcPr>
            <w:tcW w:w="7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Prepaid rents</w:t>
            </w: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4,591</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2,818</w:t>
            </w:r>
          </w:p>
        </w:tc>
        <w:tc>
          <w:tcPr>
            <w:tcW w:w="0" w:type="dxa"/>
            <w:vAlign w:val="bottom"/>
          </w:tcPr>
          <w:p>
            <w:pPr>
              <w:spacing w:after="0"/>
              <w:rPr>
                <w:sz w:val="1"/>
                <w:szCs w:val="1"/>
                <w:color w:val="auto"/>
              </w:rPr>
            </w:pPr>
          </w:p>
        </w:tc>
      </w:tr>
      <w:tr>
        <w:trPr>
          <w:trHeight w:val="191"/>
        </w:trPr>
        <w:tc>
          <w:tcPr>
            <w:tcW w:w="7420" w:type="dxa"/>
            <w:vAlign w:val="bottom"/>
          </w:tcPr>
          <w:p>
            <w:pPr>
              <w:spacing w:after="0" w:line="191" w:lineRule="exact"/>
              <w:rPr>
                <w:sz w:val="20"/>
                <w:szCs w:val="20"/>
                <w:color w:val="auto"/>
              </w:rPr>
            </w:pPr>
            <w:r>
              <w:rPr>
                <w:rFonts w:ascii="Courier New" w:cs="Courier New" w:eastAsia="Courier New" w:hAnsi="Courier New"/>
                <w:sz w:val="17"/>
                <w:szCs w:val="17"/>
                <w:color w:val="auto"/>
              </w:rPr>
              <w:t>Senior notes</w:t>
            </w: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335,000</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255,000</w:t>
            </w:r>
          </w:p>
        </w:tc>
        <w:tc>
          <w:tcPr>
            <w:tcW w:w="0" w:type="dxa"/>
            <w:vAlign w:val="bottom"/>
          </w:tcPr>
          <w:p>
            <w:pPr>
              <w:spacing w:after="0"/>
              <w:rPr>
                <w:sz w:val="1"/>
                <w:szCs w:val="1"/>
                <w:color w:val="auto"/>
              </w:rPr>
            </w:pPr>
          </w:p>
        </w:tc>
      </w:tr>
      <w:tr>
        <w:trPr>
          <w:trHeight w:val="191"/>
        </w:trPr>
        <w:tc>
          <w:tcPr>
            <w:tcW w:w="7420" w:type="dxa"/>
            <w:vAlign w:val="bottom"/>
          </w:tcPr>
          <w:p>
            <w:pPr>
              <w:spacing w:after="0" w:line="191" w:lineRule="exact"/>
              <w:rPr>
                <w:sz w:val="20"/>
                <w:szCs w:val="20"/>
                <w:color w:val="auto"/>
              </w:rPr>
            </w:pPr>
            <w:r>
              <w:rPr>
                <w:rFonts w:ascii="Courier New" w:cs="Courier New" w:eastAsia="Courier New" w:hAnsi="Courier New"/>
                <w:sz w:val="17"/>
                <w:szCs w:val="17"/>
                <w:color w:val="auto"/>
              </w:rPr>
              <w:t>5 1/4% Convertible subordinated debentures</w:t>
            </w: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75,289</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75,289</w:t>
            </w:r>
          </w:p>
        </w:tc>
        <w:tc>
          <w:tcPr>
            <w:tcW w:w="0" w:type="dxa"/>
            <w:vAlign w:val="bottom"/>
          </w:tcPr>
          <w:p>
            <w:pPr>
              <w:spacing w:after="0"/>
              <w:rPr>
                <w:sz w:val="1"/>
                <w:szCs w:val="1"/>
                <w:color w:val="auto"/>
              </w:rPr>
            </w:pPr>
          </w:p>
        </w:tc>
      </w:tr>
      <w:tr>
        <w:trPr>
          <w:trHeight w:val="191"/>
        </w:trPr>
        <w:tc>
          <w:tcPr>
            <w:tcW w:w="7420" w:type="dxa"/>
            <w:vAlign w:val="bottom"/>
          </w:tcPr>
          <w:p>
            <w:pPr>
              <w:spacing w:after="0" w:line="191" w:lineRule="exact"/>
              <w:rPr>
                <w:sz w:val="20"/>
                <w:szCs w:val="20"/>
                <w:color w:val="auto"/>
              </w:rPr>
            </w:pPr>
            <w:r>
              <w:rPr>
                <w:rFonts w:ascii="Courier New" w:cs="Courier New" w:eastAsia="Courier New" w:hAnsi="Courier New"/>
                <w:sz w:val="17"/>
                <w:szCs w:val="17"/>
                <w:color w:val="auto"/>
              </w:rPr>
              <w:t>Investors' interest in consolidated assets</w:t>
            </w: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34,973</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35,752</w:t>
            </w:r>
          </w:p>
        </w:tc>
        <w:tc>
          <w:tcPr>
            <w:tcW w:w="0" w:type="dxa"/>
            <w:vAlign w:val="bottom"/>
          </w:tcPr>
          <w:p>
            <w:pPr>
              <w:spacing w:after="0"/>
              <w:rPr>
                <w:sz w:val="1"/>
                <w:szCs w:val="1"/>
                <w:color w:val="auto"/>
              </w:rPr>
            </w:pPr>
          </w:p>
        </w:tc>
      </w:tr>
      <w:tr>
        <w:trPr>
          <w:trHeight w:val="280"/>
        </w:trPr>
        <w:tc>
          <w:tcPr>
            <w:tcW w:w="742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1480" w:type="dxa"/>
            <w:vAlign w:val="bottom"/>
          </w:tcPr>
          <w:p>
            <w:pPr>
              <w:ind w:left="840"/>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742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4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7.95% Series A Cumulative Redeemable Preferred Shares, liquidation</w:t>
            </w:r>
          </w:p>
        </w:tc>
        <w:tc>
          <w:tcPr>
            <w:tcW w:w="1480" w:type="dxa"/>
            <w:vAlign w:val="bottom"/>
            <w:vMerge w:val="restart"/>
          </w:tcPr>
          <w:p>
            <w:pPr>
              <w:jc w:val="right"/>
              <w:ind w:right="157"/>
              <w:spacing w:after="0"/>
              <w:rPr>
                <w:sz w:val="20"/>
                <w:szCs w:val="20"/>
                <w:color w:val="auto"/>
              </w:rPr>
            </w:pPr>
            <w:r>
              <w:rPr>
                <w:rFonts w:ascii="Courier New" w:cs="Courier New" w:eastAsia="Courier New" w:hAnsi="Courier New"/>
                <w:sz w:val="17"/>
                <w:szCs w:val="17"/>
                <w:color w:val="auto"/>
              </w:rPr>
              <w:t>100,000</w:t>
            </w:r>
          </w:p>
        </w:tc>
        <w:tc>
          <w:tcPr>
            <w:tcW w:w="13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100,000</w:t>
            </w:r>
          </w:p>
        </w:tc>
        <w:tc>
          <w:tcPr>
            <w:tcW w:w="0" w:type="dxa"/>
            <w:vAlign w:val="bottom"/>
          </w:tcPr>
          <w:p>
            <w:pPr>
              <w:spacing w:after="0"/>
              <w:rPr>
                <w:sz w:val="1"/>
                <w:szCs w:val="1"/>
                <w:color w:val="auto"/>
              </w:rPr>
            </w:pPr>
          </w:p>
        </w:tc>
      </w:tr>
      <w:tr>
        <w:trPr>
          <w:trHeight w:val="191"/>
        </w:trPr>
        <w:tc>
          <w:tcPr>
            <w:tcW w:w="74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preference $25 per share, 4,000,000 shares issued in 1997</w:t>
            </w:r>
          </w:p>
        </w:tc>
        <w:tc>
          <w:tcPr>
            <w:tcW w:w="14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Common shares of beneficial interest, no par</w:t>
            </w:r>
          </w:p>
        </w:tc>
        <w:tc>
          <w:tcPr>
            <w:tcW w:w="1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4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or stated value, unlimited authorization,</w:t>
            </w:r>
          </w:p>
        </w:tc>
        <w:tc>
          <w:tcPr>
            <w:tcW w:w="1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4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issued 39,849,424 and 39,200,201 shares,</w:t>
            </w:r>
          </w:p>
        </w:tc>
        <w:tc>
          <w:tcPr>
            <w:tcW w:w="1480" w:type="dxa"/>
            <w:vAlign w:val="bottom"/>
            <w:vMerge w:val="restart"/>
          </w:tcPr>
          <w:p>
            <w:pPr>
              <w:jc w:val="right"/>
              <w:ind w:right="157"/>
              <w:spacing w:after="0"/>
              <w:rPr>
                <w:sz w:val="20"/>
                <w:szCs w:val="20"/>
                <w:color w:val="auto"/>
              </w:rPr>
            </w:pPr>
            <w:r>
              <w:rPr>
                <w:rFonts w:ascii="Courier New" w:cs="Courier New" w:eastAsia="Courier New" w:hAnsi="Courier New"/>
                <w:sz w:val="17"/>
                <w:szCs w:val="17"/>
                <w:color w:val="auto"/>
              </w:rPr>
              <w:t>701,246</w:t>
            </w:r>
          </w:p>
        </w:tc>
        <w:tc>
          <w:tcPr>
            <w:tcW w:w="13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684,823</w:t>
            </w:r>
          </w:p>
        </w:tc>
        <w:tc>
          <w:tcPr>
            <w:tcW w:w="0" w:type="dxa"/>
            <w:vAlign w:val="bottom"/>
          </w:tcPr>
          <w:p>
            <w:pPr>
              <w:spacing w:after="0"/>
              <w:rPr>
                <w:sz w:val="1"/>
                <w:szCs w:val="1"/>
                <w:color w:val="auto"/>
              </w:rPr>
            </w:pPr>
          </w:p>
        </w:tc>
      </w:tr>
      <w:tr>
        <w:trPr>
          <w:trHeight w:val="191"/>
        </w:trPr>
        <w:tc>
          <w:tcPr>
            <w:tcW w:w="74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respectively</w:t>
            </w:r>
          </w:p>
        </w:tc>
        <w:tc>
          <w:tcPr>
            <w:tcW w:w="14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Accumulated dividends in excess of Trust net income</w:t>
            </w:r>
          </w:p>
        </w:tc>
        <w:tc>
          <w:tcPr>
            <w:tcW w:w="14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(229,126)</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(222,709)</w:t>
            </w:r>
          </w:p>
        </w:tc>
        <w:tc>
          <w:tcPr>
            <w:tcW w:w="0" w:type="dxa"/>
            <w:vAlign w:val="bottom"/>
          </w:tcPr>
          <w:p>
            <w:pPr>
              <w:spacing w:after="0"/>
              <w:rPr>
                <w:sz w:val="1"/>
                <w:szCs w:val="1"/>
                <w:color w:val="auto"/>
              </w:rPr>
            </w:pPr>
          </w:p>
        </w:tc>
      </w:tr>
      <w:tr>
        <w:trPr>
          <w:trHeight w:val="191"/>
        </w:trPr>
        <w:tc>
          <w:tcPr>
            <w:tcW w:w="7420" w:type="dxa"/>
            <w:vAlign w:val="bottom"/>
          </w:tcPr>
          <w:p>
            <w:pPr>
              <w:spacing w:after="0"/>
              <w:rPr>
                <w:sz w:val="16"/>
                <w:szCs w:val="16"/>
                <w:color w:val="auto"/>
              </w:rPr>
            </w:pP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0"/>
        </w:trPr>
        <w:tc>
          <w:tcPr>
            <w:tcW w:w="7420" w:type="dxa"/>
            <w:vAlign w:val="bottom"/>
          </w:tcPr>
          <w:p>
            <w:pPr>
              <w:spacing w:after="0"/>
              <w:rPr>
                <w:sz w:val="24"/>
                <w:szCs w:val="24"/>
                <w:color w:val="auto"/>
              </w:rPr>
            </w:pPr>
          </w:p>
        </w:tc>
        <w:tc>
          <w:tcPr>
            <w:tcW w:w="14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572,120</w:t>
            </w:r>
          </w:p>
        </w:tc>
        <w:tc>
          <w:tcPr>
            <w:tcW w:w="13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562,114</w:t>
            </w:r>
          </w:p>
        </w:tc>
        <w:tc>
          <w:tcPr>
            <w:tcW w:w="0" w:type="dxa"/>
            <w:vAlign w:val="bottom"/>
          </w:tcPr>
          <w:p>
            <w:pPr>
              <w:spacing w:after="0"/>
              <w:rPr>
                <w:sz w:val="1"/>
                <w:szCs w:val="1"/>
                <w:color w:val="auto"/>
              </w:rPr>
            </w:pPr>
          </w:p>
        </w:tc>
      </w:tr>
      <w:tr>
        <w:trPr>
          <w:trHeight w:val="294"/>
        </w:trPr>
        <w:tc>
          <w:tcPr>
            <w:tcW w:w="7420" w:type="dxa"/>
            <w:vAlign w:val="bottom"/>
          </w:tcPr>
          <w:p>
            <w:pPr>
              <w:spacing w:after="0"/>
              <w:rPr>
                <w:sz w:val="20"/>
                <w:szCs w:val="20"/>
                <w:color w:val="auto"/>
              </w:rPr>
            </w:pPr>
            <w:r>
              <w:rPr>
                <w:rFonts w:ascii="Courier New" w:cs="Courier New" w:eastAsia="Courier New" w:hAnsi="Courier New"/>
                <w:sz w:val="17"/>
                <w:szCs w:val="17"/>
                <w:color w:val="auto"/>
                <w:w w:val="99"/>
              </w:rPr>
              <w:t>Less 27,386 and 52,386 common shares in treasury - at cost, respectively,</w:t>
            </w:r>
          </w:p>
        </w:tc>
        <w:tc>
          <w:tcPr>
            <w:tcW w:w="148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(22,307)</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(8,304)</w:t>
            </w:r>
          </w:p>
        </w:tc>
        <w:tc>
          <w:tcPr>
            <w:tcW w:w="0" w:type="dxa"/>
            <w:vAlign w:val="bottom"/>
          </w:tcPr>
          <w:p>
            <w:pPr>
              <w:spacing w:after="0"/>
              <w:rPr>
                <w:sz w:val="1"/>
                <w:szCs w:val="1"/>
                <w:color w:val="auto"/>
              </w:rPr>
            </w:pPr>
          </w:p>
        </w:tc>
      </w:tr>
      <w:tr>
        <w:trPr>
          <w:trHeight w:val="191"/>
        </w:trPr>
        <w:tc>
          <w:tcPr>
            <w:tcW w:w="7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deferred compensation and subscriptions receivable</w:t>
            </w:r>
          </w:p>
        </w:tc>
        <w:tc>
          <w:tcPr>
            <w:tcW w:w="14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420" w:type="dxa"/>
            <w:vAlign w:val="bottom"/>
          </w:tcPr>
          <w:p>
            <w:pPr>
              <w:spacing w:after="0"/>
              <w:rPr>
                <w:sz w:val="16"/>
                <w:szCs w:val="16"/>
                <w:color w:val="auto"/>
              </w:rPr>
            </w:pP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7420" w:type="dxa"/>
            <w:vAlign w:val="bottom"/>
          </w:tcPr>
          <w:p>
            <w:pPr>
              <w:spacing w:after="0"/>
              <w:rPr>
                <w:sz w:val="16"/>
                <w:szCs w:val="16"/>
                <w:color w:val="auto"/>
              </w:rPr>
            </w:pP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549,813</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553,810</w:t>
            </w:r>
          </w:p>
        </w:tc>
        <w:tc>
          <w:tcPr>
            <w:tcW w:w="0" w:type="dxa"/>
            <w:vAlign w:val="bottom"/>
          </w:tcPr>
          <w:p>
            <w:pPr>
              <w:spacing w:after="0"/>
              <w:rPr>
                <w:sz w:val="1"/>
                <w:szCs w:val="1"/>
                <w:color w:val="auto"/>
              </w:rPr>
            </w:pPr>
          </w:p>
        </w:tc>
      </w:tr>
      <w:tr>
        <w:trPr>
          <w:trHeight w:val="191"/>
        </w:trPr>
        <w:tc>
          <w:tcPr>
            <w:tcW w:w="7420" w:type="dxa"/>
            <w:vAlign w:val="bottom"/>
          </w:tcPr>
          <w:p>
            <w:pPr>
              <w:spacing w:after="0"/>
              <w:rPr>
                <w:sz w:val="16"/>
                <w:szCs w:val="16"/>
                <w:color w:val="auto"/>
              </w:rPr>
            </w:pP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7420" w:type="dxa"/>
            <w:vAlign w:val="bottom"/>
          </w:tcPr>
          <w:p>
            <w:pPr>
              <w:spacing w:after="0"/>
              <w:rPr>
                <w:sz w:val="16"/>
                <w:szCs w:val="16"/>
                <w:color w:val="auto"/>
              </w:rPr>
            </w:pP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$ 1,339,148</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$ 1,316,573</w:t>
            </w:r>
          </w:p>
        </w:tc>
        <w:tc>
          <w:tcPr>
            <w:tcW w:w="0" w:type="dxa"/>
            <w:vAlign w:val="bottom"/>
          </w:tcPr>
          <w:p>
            <w:pPr>
              <w:spacing w:after="0"/>
              <w:rPr>
                <w:sz w:val="1"/>
                <w:szCs w:val="1"/>
                <w:color w:val="auto"/>
              </w:rPr>
            </w:pPr>
          </w:p>
        </w:tc>
      </w:tr>
      <w:tr>
        <w:trPr>
          <w:trHeight w:val="280"/>
        </w:trPr>
        <w:tc>
          <w:tcPr>
            <w:tcW w:w="7420" w:type="dxa"/>
            <w:vAlign w:val="bottom"/>
          </w:tcPr>
          <w:p>
            <w:pPr>
              <w:spacing w:after="0"/>
              <w:rPr>
                <w:sz w:val="24"/>
                <w:szCs w:val="24"/>
                <w:color w:val="auto"/>
              </w:rPr>
            </w:pPr>
          </w:p>
        </w:tc>
        <w:tc>
          <w:tcPr>
            <w:tcW w:w="14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pacing w:after="0" w:line="200" w:lineRule="exact"/>
        <w:rPr>
          <w:sz w:val="20"/>
          <w:szCs w:val="20"/>
          <w:color w:val="auto"/>
        </w:rPr>
      </w:pP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40"/>
          </w:cols>
          <w:pgMar w:left="240" w:top="660" w:right="141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STATEMENTS OF OPERATIONS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accountants' review report)</w:t>
      </w:r>
    </w:p>
    <w:tbl>
      <w:tblPr>
        <w:tblLayout w:type="fixed"/>
        <w:tblInd w:w="0" w:type="dxa"/>
        <w:tblCellMar>
          <w:top w:w="0" w:type="dxa"/>
          <w:left w:w="0" w:type="dxa"/>
          <w:bottom w:w="0" w:type="dxa"/>
          <w:right w:w="0" w:type="dxa"/>
        </w:tblCellMar>
      </w:tblPr>
      <w:tr>
        <w:trPr>
          <w:trHeight w:val="280"/>
        </w:trPr>
        <w:tc>
          <w:tcPr>
            <w:tcW w:w="6020" w:type="dxa"/>
            <w:vAlign w:val="bottom"/>
          </w:tcPr>
          <w:p>
            <w:pPr>
              <w:ind w:left="2980"/>
              <w:spacing w:after="0"/>
              <w:rPr>
                <w:sz w:val="20"/>
                <w:szCs w:val="20"/>
                <w:color w:val="auto"/>
              </w:rPr>
            </w:pPr>
            <w:r>
              <w:rPr>
                <w:rFonts w:ascii="Courier New" w:cs="Courier New" w:eastAsia="Courier New" w:hAnsi="Courier New"/>
                <w:sz w:val="17"/>
                <w:szCs w:val="17"/>
                <w:color w:val="auto"/>
              </w:rPr>
              <w:t>(unaudited)</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6"/>
        </w:trPr>
        <w:tc>
          <w:tcPr>
            <w:tcW w:w="6020" w:type="dxa"/>
            <w:vAlign w:val="bottom"/>
          </w:tcPr>
          <w:p>
            <w:pPr>
              <w:spacing w:after="0"/>
              <w:rPr>
                <w:sz w:val="24"/>
                <w:szCs w:val="24"/>
                <w:color w:val="auto"/>
              </w:rPr>
            </w:pPr>
          </w:p>
        </w:tc>
        <w:tc>
          <w:tcPr>
            <w:tcW w:w="40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Three months ended March 31,</w:t>
            </w:r>
          </w:p>
        </w:tc>
        <w:tc>
          <w:tcPr>
            <w:tcW w:w="0" w:type="dxa"/>
            <w:vAlign w:val="bottom"/>
          </w:tcPr>
          <w:p>
            <w:pPr>
              <w:spacing w:after="0"/>
              <w:rPr>
                <w:sz w:val="1"/>
                <w:szCs w:val="1"/>
                <w:color w:val="auto"/>
              </w:rPr>
            </w:pPr>
          </w:p>
        </w:tc>
      </w:tr>
      <w:tr>
        <w:trPr>
          <w:trHeight w:val="191"/>
        </w:trPr>
        <w:tc>
          <w:tcPr>
            <w:tcW w:w="6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8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1998</w:t>
            </w:r>
          </w:p>
        </w:tc>
        <w:tc>
          <w:tcPr>
            <w:tcW w:w="660" w:type="dxa"/>
            <w:vAlign w:val="bottom"/>
          </w:tcPr>
          <w:p>
            <w:pPr>
              <w:spacing w:after="0"/>
              <w:rPr>
                <w:sz w:val="16"/>
                <w:szCs w:val="16"/>
                <w:color w:val="auto"/>
              </w:rPr>
            </w:pPr>
          </w:p>
        </w:tc>
        <w:tc>
          <w:tcPr>
            <w:tcW w:w="7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88"/>
              </w:rPr>
              <w:t>1997</w:t>
            </w:r>
          </w:p>
        </w:tc>
        <w:tc>
          <w:tcPr>
            <w:tcW w:w="0" w:type="dxa"/>
            <w:vAlign w:val="bottom"/>
          </w:tcPr>
          <w:p>
            <w:pPr>
              <w:spacing w:after="0"/>
              <w:rPr>
                <w:sz w:val="1"/>
                <w:szCs w:val="1"/>
                <w:color w:val="auto"/>
              </w:rPr>
            </w:pPr>
          </w:p>
        </w:tc>
      </w:tr>
      <w:tr>
        <w:trPr>
          <w:trHeight w:val="280"/>
        </w:trPr>
        <w:tc>
          <w:tcPr>
            <w:tcW w:w="6020" w:type="dxa"/>
            <w:vAlign w:val="bottom"/>
          </w:tcPr>
          <w:p>
            <w:pPr>
              <w:spacing w:after="0"/>
              <w:rPr>
                <w:sz w:val="24"/>
                <w:szCs w:val="24"/>
                <w:color w:val="auto"/>
              </w:rPr>
            </w:pPr>
          </w:p>
        </w:tc>
        <w:tc>
          <w:tcPr>
            <w:tcW w:w="2580" w:type="dxa"/>
            <w:vAlign w:val="bottom"/>
            <w:gridSpan w:val="2"/>
          </w:tcPr>
          <w:p>
            <w:pPr>
              <w:jc w:val="right"/>
              <w:ind w:right="157"/>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83"/>
        </w:trPr>
        <w:tc>
          <w:tcPr>
            <w:tcW w:w="6020" w:type="dxa"/>
            <w:vAlign w:val="bottom"/>
          </w:tcPr>
          <w:p>
            <w:pPr>
              <w:spacing w:after="0"/>
              <w:rPr>
                <w:sz w:val="20"/>
                <w:szCs w:val="20"/>
                <w:color w:val="auto"/>
              </w:rPr>
            </w:pPr>
            <w:r>
              <w:rPr>
                <w:rFonts w:ascii="Courier New" w:cs="Courier New" w:eastAsia="Courier New" w:hAnsi="Courier New"/>
                <w:sz w:val="17"/>
                <w:szCs w:val="17"/>
                <w:color w:val="auto"/>
              </w:rPr>
              <w:t>(In thousands, except per share data)</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2580" w:type="dxa"/>
            <w:vAlign w:val="bottom"/>
            <w:gridSpan w:val="2"/>
            <w:vMerge w:val="restart"/>
          </w:tcPr>
          <w:p>
            <w:pPr>
              <w:jc w:val="right"/>
              <w:ind w:right="357"/>
              <w:spacing w:after="0"/>
              <w:rPr>
                <w:sz w:val="20"/>
                <w:szCs w:val="20"/>
                <w:color w:val="auto"/>
              </w:rPr>
            </w:pPr>
            <w:r>
              <w:rPr>
                <w:rFonts w:ascii="Courier New" w:cs="Courier New" w:eastAsia="Courier New" w:hAnsi="Courier New"/>
                <w:sz w:val="17"/>
                <w:szCs w:val="17"/>
                <w:color w:val="auto"/>
              </w:rPr>
              <w:t>$ 52,481</w:t>
            </w:r>
          </w:p>
        </w:tc>
        <w:tc>
          <w:tcPr>
            <w:tcW w:w="1440" w:type="dxa"/>
            <w:vAlign w:val="bottom"/>
            <w:gridSpan w:val="2"/>
            <w:vMerge w:val="restart"/>
          </w:tcPr>
          <w:p>
            <w:pPr>
              <w:jc w:val="right"/>
              <w:ind w:right="17"/>
              <w:spacing w:after="0"/>
              <w:rPr>
                <w:sz w:val="20"/>
                <w:szCs w:val="20"/>
                <w:color w:val="auto"/>
              </w:rPr>
            </w:pPr>
            <w:r>
              <w:rPr>
                <w:rFonts w:ascii="Courier New" w:cs="Courier New" w:eastAsia="Courier New" w:hAnsi="Courier New"/>
                <w:sz w:val="17"/>
                <w:szCs w:val="17"/>
                <w:color w:val="auto"/>
              </w:rPr>
              <w:t>$ 43,920</w:t>
            </w:r>
          </w:p>
        </w:tc>
        <w:tc>
          <w:tcPr>
            <w:tcW w:w="0" w:type="dxa"/>
            <w:vAlign w:val="bottom"/>
          </w:tcPr>
          <w:p>
            <w:pPr>
              <w:spacing w:after="0"/>
              <w:rPr>
                <w:sz w:val="1"/>
                <w:szCs w:val="1"/>
                <w:color w:val="auto"/>
              </w:rPr>
            </w:pPr>
          </w:p>
        </w:tc>
      </w:tr>
      <w:tr>
        <w:trPr>
          <w:trHeight w:val="191"/>
        </w:trPr>
        <w:tc>
          <w:tcPr>
            <w:tcW w:w="6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Rental income</w:t>
            </w:r>
          </w:p>
        </w:tc>
        <w:tc>
          <w:tcPr>
            <w:tcW w:w="258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Interest</w:t>
            </w:r>
          </w:p>
        </w:tc>
        <w:tc>
          <w:tcPr>
            <w:tcW w:w="1500" w:type="dxa"/>
            <w:vAlign w:val="bottom"/>
          </w:tcPr>
          <w:p>
            <w:pPr>
              <w:spacing w:after="0"/>
              <w:rPr>
                <w:sz w:val="16"/>
                <w:szCs w:val="16"/>
                <w:color w:val="auto"/>
              </w:rPr>
            </w:pPr>
          </w:p>
        </w:tc>
        <w:tc>
          <w:tcPr>
            <w:tcW w:w="10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1,594</w:t>
            </w:r>
          </w:p>
        </w:tc>
        <w:tc>
          <w:tcPr>
            <w:tcW w:w="66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1,500</w:t>
            </w:r>
          </w:p>
        </w:tc>
        <w:tc>
          <w:tcPr>
            <w:tcW w:w="0" w:type="dxa"/>
            <w:vAlign w:val="bottom"/>
          </w:tcPr>
          <w:p>
            <w:pPr>
              <w:spacing w:after="0"/>
              <w:rPr>
                <w:sz w:val="1"/>
                <w:szCs w:val="1"/>
                <w:color w:val="auto"/>
              </w:rPr>
            </w:pPr>
          </w:p>
        </w:tc>
      </w:tr>
      <w:tr>
        <w:trPr>
          <w:trHeight w:val="191"/>
        </w:trPr>
        <w:tc>
          <w:tcPr>
            <w:tcW w:w="6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Other income</w:t>
            </w:r>
          </w:p>
        </w:tc>
        <w:tc>
          <w:tcPr>
            <w:tcW w:w="1500" w:type="dxa"/>
            <w:vAlign w:val="bottom"/>
          </w:tcPr>
          <w:p>
            <w:pPr>
              <w:spacing w:after="0"/>
              <w:rPr>
                <w:sz w:val="16"/>
                <w:szCs w:val="16"/>
                <w:color w:val="auto"/>
              </w:rPr>
            </w:pPr>
          </w:p>
        </w:tc>
        <w:tc>
          <w:tcPr>
            <w:tcW w:w="10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2,102</w:t>
            </w:r>
          </w:p>
        </w:tc>
        <w:tc>
          <w:tcPr>
            <w:tcW w:w="66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3,227</w:t>
            </w:r>
          </w:p>
        </w:tc>
        <w:tc>
          <w:tcPr>
            <w:tcW w:w="0" w:type="dxa"/>
            <w:vAlign w:val="bottom"/>
          </w:tcPr>
          <w:p>
            <w:pPr>
              <w:spacing w:after="0"/>
              <w:rPr>
                <w:sz w:val="1"/>
                <w:szCs w:val="1"/>
                <w:color w:val="auto"/>
              </w:rPr>
            </w:pPr>
          </w:p>
        </w:tc>
      </w:tr>
      <w:tr>
        <w:trPr>
          <w:trHeight w:val="191"/>
        </w:trPr>
        <w:tc>
          <w:tcPr>
            <w:tcW w:w="6020" w:type="dxa"/>
            <w:vAlign w:val="bottom"/>
          </w:tcPr>
          <w:p>
            <w:pPr>
              <w:spacing w:after="0"/>
              <w:rPr>
                <w:sz w:val="16"/>
                <w:szCs w:val="16"/>
                <w:color w:val="auto"/>
              </w:rPr>
            </w:pPr>
          </w:p>
        </w:tc>
        <w:tc>
          <w:tcPr>
            <w:tcW w:w="258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0"/>
        </w:trPr>
        <w:tc>
          <w:tcPr>
            <w:tcW w:w="6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56,177</w:t>
            </w:r>
          </w:p>
        </w:tc>
        <w:tc>
          <w:tcPr>
            <w:tcW w:w="66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48,647</w:t>
            </w:r>
          </w:p>
        </w:tc>
        <w:tc>
          <w:tcPr>
            <w:tcW w:w="0" w:type="dxa"/>
            <w:vAlign w:val="bottom"/>
          </w:tcPr>
          <w:p>
            <w:pPr>
              <w:spacing w:after="0"/>
              <w:rPr>
                <w:sz w:val="1"/>
                <w:szCs w:val="1"/>
                <w:color w:val="auto"/>
              </w:rPr>
            </w:pPr>
          </w:p>
        </w:tc>
      </w:tr>
      <w:tr>
        <w:trPr>
          <w:trHeight w:val="485"/>
        </w:trPr>
        <w:tc>
          <w:tcPr>
            <w:tcW w:w="602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1500" w:type="dxa"/>
            <w:vAlign w:val="bottom"/>
          </w:tcPr>
          <w:p>
            <w:pPr>
              <w:spacing w:after="0"/>
              <w:rPr>
                <w:sz w:val="24"/>
                <w:szCs w:val="24"/>
                <w:color w:val="auto"/>
              </w:rPr>
            </w:pPr>
          </w:p>
        </w:tc>
        <w:tc>
          <w:tcPr>
            <w:tcW w:w="1080" w:type="dxa"/>
            <w:vAlign w:val="bottom"/>
            <w:vMerge w:val="restart"/>
          </w:tcPr>
          <w:p>
            <w:pPr>
              <w:jc w:val="right"/>
              <w:ind w:right="357"/>
              <w:spacing w:after="0"/>
              <w:rPr>
                <w:sz w:val="20"/>
                <w:szCs w:val="20"/>
                <w:color w:val="auto"/>
              </w:rPr>
            </w:pPr>
            <w:r>
              <w:rPr>
                <w:rFonts w:ascii="Courier New" w:cs="Courier New" w:eastAsia="Courier New" w:hAnsi="Courier New"/>
                <w:sz w:val="17"/>
                <w:szCs w:val="17"/>
                <w:color w:val="auto"/>
              </w:rPr>
              <w:t>11,922</w:t>
            </w:r>
          </w:p>
        </w:tc>
        <w:tc>
          <w:tcPr>
            <w:tcW w:w="660" w:type="dxa"/>
            <w:vAlign w:val="bottom"/>
          </w:tcPr>
          <w:p>
            <w:pPr>
              <w:spacing w:after="0"/>
              <w:rPr>
                <w:sz w:val="24"/>
                <w:szCs w:val="24"/>
                <w:color w:val="auto"/>
              </w:rPr>
            </w:pPr>
          </w:p>
        </w:tc>
        <w:tc>
          <w:tcPr>
            <w:tcW w:w="7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10,216</w:t>
            </w:r>
          </w:p>
        </w:tc>
        <w:tc>
          <w:tcPr>
            <w:tcW w:w="0" w:type="dxa"/>
            <w:vAlign w:val="bottom"/>
          </w:tcPr>
          <w:p>
            <w:pPr>
              <w:spacing w:after="0"/>
              <w:rPr>
                <w:sz w:val="1"/>
                <w:szCs w:val="1"/>
                <w:color w:val="auto"/>
              </w:rPr>
            </w:pPr>
          </w:p>
        </w:tc>
      </w:tr>
      <w:tr>
        <w:trPr>
          <w:trHeight w:val="191"/>
        </w:trPr>
        <w:tc>
          <w:tcPr>
            <w:tcW w:w="6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Rental</w:t>
            </w:r>
          </w:p>
        </w:tc>
        <w:tc>
          <w:tcPr>
            <w:tcW w:w="15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Real estate taxes</w:t>
            </w:r>
          </w:p>
        </w:tc>
        <w:tc>
          <w:tcPr>
            <w:tcW w:w="1500" w:type="dxa"/>
            <w:vAlign w:val="bottom"/>
          </w:tcPr>
          <w:p>
            <w:pPr>
              <w:spacing w:after="0"/>
              <w:rPr>
                <w:sz w:val="16"/>
                <w:szCs w:val="16"/>
                <w:color w:val="auto"/>
              </w:rPr>
            </w:pPr>
          </w:p>
        </w:tc>
        <w:tc>
          <w:tcPr>
            <w:tcW w:w="10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5,472</w:t>
            </w:r>
          </w:p>
        </w:tc>
        <w:tc>
          <w:tcPr>
            <w:tcW w:w="66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4,574</w:t>
            </w:r>
          </w:p>
        </w:tc>
        <w:tc>
          <w:tcPr>
            <w:tcW w:w="0" w:type="dxa"/>
            <w:vAlign w:val="bottom"/>
          </w:tcPr>
          <w:p>
            <w:pPr>
              <w:spacing w:after="0"/>
              <w:rPr>
                <w:sz w:val="1"/>
                <w:szCs w:val="1"/>
                <w:color w:val="auto"/>
              </w:rPr>
            </w:pPr>
          </w:p>
        </w:tc>
      </w:tr>
      <w:tr>
        <w:trPr>
          <w:trHeight w:val="191"/>
        </w:trPr>
        <w:tc>
          <w:tcPr>
            <w:tcW w:w="6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Interest</w:t>
            </w:r>
          </w:p>
        </w:tc>
        <w:tc>
          <w:tcPr>
            <w:tcW w:w="1500" w:type="dxa"/>
            <w:vAlign w:val="bottom"/>
          </w:tcPr>
          <w:p>
            <w:pPr>
              <w:spacing w:after="0"/>
              <w:rPr>
                <w:sz w:val="16"/>
                <w:szCs w:val="16"/>
                <w:color w:val="auto"/>
              </w:rPr>
            </w:pPr>
          </w:p>
        </w:tc>
        <w:tc>
          <w:tcPr>
            <w:tcW w:w="10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12,693</w:t>
            </w:r>
          </w:p>
        </w:tc>
        <w:tc>
          <w:tcPr>
            <w:tcW w:w="66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11,989</w:t>
            </w:r>
          </w:p>
        </w:tc>
        <w:tc>
          <w:tcPr>
            <w:tcW w:w="0" w:type="dxa"/>
            <w:vAlign w:val="bottom"/>
          </w:tcPr>
          <w:p>
            <w:pPr>
              <w:spacing w:after="0"/>
              <w:rPr>
                <w:sz w:val="1"/>
                <w:szCs w:val="1"/>
                <w:color w:val="auto"/>
              </w:rPr>
            </w:pPr>
          </w:p>
        </w:tc>
      </w:tr>
      <w:tr>
        <w:trPr>
          <w:trHeight w:val="191"/>
        </w:trPr>
        <w:tc>
          <w:tcPr>
            <w:tcW w:w="6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Administrative</w:t>
            </w:r>
          </w:p>
        </w:tc>
        <w:tc>
          <w:tcPr>
            <w:tcW w:w="1500" w:type="dxa"/>
            <w:vAlign w:val="bottom"/>
          </w:tcPr>
          <w:p>
            <w:pPr>
              <w:spacing w:after="0"/>
              <w:rPr>
                <w:sz w:val="16"/>
                <w:szCs w:val="16"/>
                <w:color w:val="auto"/>
              </w:rPr>
            </w:pPr>
          </w:p>
        </w:tc>
        <w:tc>
          <w:tcPr>
            <w:tcW w:w="10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1,841</w:t>
            </w:r>
          </w:p>
        </w:tc>
        <w:tc>
          <w:tcPr>
            <w:tcW w:w="66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2,101</w:t>
            </w:r>
          </w:p>
        </w:tc>
        <w:tc>
          <w:tcPr>
            <w:tcW w:w="0" w:type="dxa"/>
            <w:vAlign w:val="bottom"/>
          </w:tcPr>
          <w:p>
            <w:pPr>
              <w:spacing w:after="0"/>
              <w:rPr>
                <w:sz w:val="1"/>
                <w:szCs w:val="1"/>
                <w:color w:val="auto"/>
              </w:rPr>
            </w:pPr>
          </w:p>
        </w:tc>
      </w:tr>
      <w:tr>
        <w:trPr>
          <w:trHeight w:val="191"/>
        </w:trPr>
        <w:tc>
          <w:tcPr>
            <w:tcW w:w="6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Depreciation and amortization</w:t>
            </w:r>
          </w:p>
        </w:tc>
        <w:tc>
          <w:tcPr>
            <w:tcW w:w="1500" w:type="dxa"/>
            <w:vAlign w:val="bottom"/>
          </w:tcPr>
          <w:p>
            <w:pPr>
              <w:spacing w:after="0"/>
              <w:rPr>
                <w:sz w:val="16"/>
                <w:szCs w:val="16"/>
                <w:color w:val="auto"/>
              </w:rPr>
            </w:pPr>
          </w:p>
        </w:tc>
        <w:tc>
          <w:tcPr>
            <w:tcW w:w="10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10,769</w:t>
            </w:r>
          </w:p>
        </w:tc>
        <w:tc>
          <w:tcPr>
            <w:tcW w:w="66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10,124</w:t>
            </w:r>
          </w:p>
        </w:tc>
        <w:tc>
          <w:tcPr>
            <w:tcW w:w="0" w:type="dxa"/>
            <w:vAlign w:val="bottom"/>
          </w:tcPr>
          <w:p>
            <w:pPr>
              <w:spacing w:after="0"/>
              <w:rPr>
                <w:sz w:val="1"/>
                <w:szCs w:val="1"/>
                <w:color w:val="auto"/>
              </w:rPr>
            </w:pPr>
          </w:p>
        </w:tc>
      </w:tr>
      <w:tr>
        <w:trPr>
          <w:trHeight w:val="191"/>
        </w:trPr>
        <w:tc>
          <w:tcPr>
            <w:tcW w:w="6020" w:type="dxa"/>
            <w:vAlign w:val="bottom"/>
          </w:tcPr>
          <w:p>
            <w:pPr>
              <w:spacing w:after="0"/>
              <w:rPr>
                <w:sz w:val="16"/>
                <w:szCs w:val="16"/>
                <w:color w:val="auto"/>
              </w:rPr>
            </w:pPr>
          </w:p>
        </w:tc>
        <w:tc>
          <w:tcPr>
            <w:tcW w:w="258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6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42,697</w:t>
            </w:r>
          </w:p>
        </w:tc>
        <w:tc>
          <w:tcPr>
            <w:tcW w:w="66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39,004</w:t>
            </w:r>
          </w:p>
        </w:tc>
        <w:tc>
          <w:tcPr>
            <w:tcW w:w="0" w:type="dxa"/>
            <w:vAlign w:val="bottom"/>
          </w:tcPr>
          <w:p>
            <w:pPr>
              <w:spacing w:after="0"/>
              <w:rPr>
                <w:sz w:val="1"/>
                <w:szCs w:val="1"/>
                <w:color w:val="auto"/>
              </w:rPr>
            </w:pPr>
          </w:p>
        </w:tc>
      </w:tr>
      <w:tr>
        <w:trPr>
          <w:trHeight w:val="280"/>
        </w:trPr>
        <w:tc>
          <w:tcPr>
            <w:tcW w:w="6020" w:type="dxa"/>
            <w:vAlign w:val="bottom"/>
            <w:vMerge w:val="restart"/>
          </w:tcPr>
          <w:p>
            <w:pPr>
              <w:spacing w:after="0"/>
              <w:rPr>
                <w:sz w:val="20"/>
                <w:szCs w:val="20"/>
                <w:color w:val="auto"/>
              </w:rPr>
            </w:pPr>
            <w:r>
              <w:rPr>
                <w:rFonts w:ascii="Courier New" w:cs="Courier New" w:eastAsia="Courier New" w:hAnsi="Courier New"/>
                <w:sz w:val="17"/>
                <w:szCs w:val="17"/>
                <w:color w:val="auto"/>
              </w:rPr>
              <w:t>Operating income before investors' share</w:t>
            </w:r>
          </w:p>
        </w:tc>
        <w:tc>
          <w:tcPr>
            <w:tcW w:w="2580" w:type="dxa"/>
            <w:vAlign w:val="bottom"/>
            <w:gridSpan w:val="2"/>
          </w:tcPr>
          <w:p>
            <w:pPr>
              <w:jc w:val="right"/>
              <w:ind w:right="357"/>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2"/>
        </w:trPr>
        <w:tc>
          <w:tcPr>
            <w:tcW w:w="602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080" w:type="dxa"/>
            <w:vAlign w:val="bottom"/>
            <w:vMerge w:val="restart"/>
          </w:tcPr>
          <w:p>
            <w:pPr>
              <w:jc w:val="right"/>
              <w:ind w:right="357"/>
              <w:spacing w:after="0"/>
              <w:rPr>
                <w:sz w:val="20"/>
                <w:szCs w:val="20"/>
                <w:color w:val="auto"/>
              </w:rPr>
            </w:pPr>
            <w:r>
              <w:rPr>
                <w:rFonts w:ascii="Courier New" w:cs="Courier New" w:eastAsia="Courier New" w:hAnsi="Courier New"/>
                <w:sz w:val="17"/>
                <w:szCs w:val="17"/>
                <w:color w:val="auto"/>
              </w:rPr>
              <w:t>13,480</w:t>
            </w:r>
          </w:p>
        </w:tc>
        <w:tc>
          <w:tcPr>
            <w:tcW w:w="660" w:type="dxa"/>
            <w:vAlign w:val="bottom"/>
          </w:tcPr>
          <w:p>
            <w:pPr>
              <w:spacing w:after="0"/>
              <w:rPr>
                <w:sz w:val="8"/>
                <w:szCs w:val="8"/>
                <w:color w:val="auto"/>
              </w:rPr>
            </w:pPr>
          </w:p>
        </w:tc>
        <w:tc>
          <w:tcPr>
            <w:tcW w:w="7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9,643</w:t>
            </w:r>
          </w:p>
        </w:tc>
        <w:tc>
          <w:tcPr>
            <w:tcW w:w="0" w:type="dxa"/>
            <w:vAlign w:val="bottom"/>
          </w:tcPr>
          <w:p>
            <w:pPr>
              <w:spacing w:after="0"/>
              <w:rPr>
                <w:sz w:val="1"/>
                <w:szCs w:val="1"/>
                <w:color w:val="auto"/>
              </w:rPr>
            </w:pPr>
          </w:p>
        </w:tc>
      </w:tr>
      <w:tr>
        <w:trPr>
          <w:trHeight w:val="280"/>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of operations</w:t>
            </w:r>
          </w:p>
        </w:tc>
        <w:tc>
          <w:tcPr>
            <w:tcW w:w="150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20" w:type="dxa"/>
            <w:vAlign w:val="bottom"/>
          </w:tcPr>
          <w:p>
            <w:pPr>
              <w:ind w:left="200"/>
              <w:spacing w:after="0"/>
              <w:rPr>
                <w:sz w:val="20"/>
                <w:szCs w:val="20"/>
                <w:color w:val="auto"/>
              </w:rPr>
            </w:pPr>
            <w:r>
              <w:rPr>
                <w:rFonts w:ascii="Courier New" w:cs="Courier New" w:eastAsia="Courier New" w:hAnsi="Courier New"/>
                <w:sz w:val="17"/>
                <w:szCs w:val="17"/>
                <w:color w:val="auto"/>
              </w:rPr>
              <w:t>Investors' share of operations</w:t>
            </w:r>
          </w:p>
        </w:tc>
        <w:tc>
          <w:tcPr>
            <w:tcW w:w="1500" w:type="dxa"/>
            <w:vAlign w:val="bottom"/>
          </w:tcPr>
          <w:p>
            <w:pPr>
              <w:spacing w:after="0"/>
              <w:rPr>
                <w:sz w:val="24"/>
                <w:szCs w:val="24"/>
                <w:color w:val="auto"/>
              </w:rPr>
            </w:pPr>
          </w:p>
        </w:tc>
        <w:tc>
          <w:tcPr>
            <w:tcW w:w="10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(786)</w:t>
            </w:r>
          </w:p>
        </w:tc>
        <w:tc>
          <w:tcPr>
            <w:tcW w:w="6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(332)</w:t>
            </w:r>
          </w:p>
        </w:tc>
        <w:tc>
          <w:tcPr>
            <w:tcW w:w="0" w:type="dxa"/>
            <w:vAlign w:val="bottom"/>
          </w:tcPr>
          <w:p>
            <w:pPr>
              <w:spacing w:after="0"/>
              <w:rPr>
                <w:sz w:val="1"/>
                <w:szCs w:val="1"/>
                <w:color w:val="auto"/>
              </w:rPr>
            </w:pPr>
          </w:p>
        </w:tc>
      </w:tr>
      <w:tr>
        <w:trPr>
          <w:trHeight w:val="280"/>
        </w:trPr>
        <w:tc>
          <w:tcPr>
            <w:tcW w:w="6020" w:type="dxa"/>
            <w:vAlign w:val="bottom"/>
          </w:tcPr>
          <w:p>
            <w:pPr>
              <w:spacing w:after="0"/>
              <w:rPr>
                <w:sz w:val="24"/>
                <w:szCs w:val="24"/>
                <w:color w:val="auto"/>
              </w:rPr>
            </w:pPr>
          </w:p>
        </w:tc>
        <w:tc>
          <w:tcPr>
            <w:tcW w:w="2580" w:type="dxa"/>
            <w:vAlign w:val="bottom"/>
            <w:gridSpan w:val="2"/>
          </w:tcPr>
          <w:p>
            <w:pPr>
              <w:jc w:val="right"/>
              <w:ind w:right="357"/>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580" w:type="dxa"/>
            <w:vAlign w:val="bottom"/>
            <w:gridSpan w:val="2"/>
          </w:tcPr>
          <w:p>
            <w:pPr>
              <w:jc w:val="right"/>
              <w:ind w:right="357"/>
              <w:spacing w:after="0"/>
              <w:rPr>
                <w:sz w:val="20"/>
                <w:szCs w:val="20"/>
                <w:color w:val="auto"/>
              </w:rPr>
            </w:pPr>
            <w:r>
              <w:rPr>
                <w:rFonts w:ascii="Courier New" w:cs="Courier New" w:eastAsia="Courier New" w:hAnsi="Courier New"/>
                <w:sz w:val="17"/>
                <w:szCs w:val="17"/>
                <w:color w:val="auto"/>
              </w:rPr>
              <w:t>$ 12,694</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9,311</w:t>
            </w:r>
          </w:p>
        </w:tc>
        <w:tc>
          <w:tcPr>
            <w:tcW w:w="0" w:type="dxa"/>
            <w:vAlign w:val="bottom"/>
          </w:tcPr>
          <w:p>
            <w:pPr>
              <w:spacing w:after="0"/>
              <w:rPr>
                <w:sz w:val="1"/>
                <w:szCs w:val="1"/>
                <w:color w:val="auto"/>
              </w:rPr>
            </w:pPr>
          </w:p>
        </w:tc>
      </w:tr>
      <w:tr>
        <w:trPr>
          <w:trHeight w:val="191"/>
        </w:trPr>
        <w:tc>
          <w:tcPr>
            <w:tcW w:w="6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Dividends on preferred stock</w:t>
            </w:r>
          </w:p>
        </w:tc>
        <w:tc>
          <w:tcPr>
            <w:tcW w:w="1500" w:type="dxa"/>
            <w:vAlign w:val="bottom"/>
          </w:tcPr>
          <w:p>
            <w:pPr>
              <w:spacing w:after="0"/>
              <w:rPr>
                <w:sz w:val="16"/>
                <w:szCs w:val="16"/>
                <w:color w:val="auto"/>
              </w:rPr>
            </w:pPr>
          </w:p>
        </w:tc>
        <w:tc>
          <w:tcPr>
            <w:tcW w:w="10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(1,988)</w:t>
            </w:r>
          </w:p>
        </w:tc>
        <w:tc>
          <w:tcPr>
            <w:tcW w:w="66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602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 available for common shareholders</w:t>
            </w:r>
          </w:p>
        </w:tc>
        <w:tc>
          <w:tcPr>
            <w:tcW w:w="258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6020" w:type="dxa"/>
            <w:vAlign w:val="bottom"/>
            <w:vMerge w:val="continue"/>
          </w:tcPr>
          <w:p>
            <w:pPr>
              <w:spacing w:after="0"/>
              <w:rPr>
                <w:sz w:val="16"/>
                <w:szCs w:val="16"/>
                <w:color w:val="auto"/>
              </w:rPr>
            </w:pPr>
          </w:p>
        </w:tc>
        <w:tc>
          <w:tcPr>
            <w:tcW w:w="258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$ 10,706</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9,311</w:t>
            </w:r>
          </w:p>
        </w:tc>
        <w:tc>
          <w:tcPr>
            <w:tcW w:w="0" w:type="dxa"/>
            <w:vAlign w:val="bottom"/>
          </w:tcPr>
          <w:p>
            <w:pPr>
              <w:spacing w:after="0"/>
              <w:rPr>
                <w:sz w:val="1"/>
                <w:szCs w:val="1"/>
                <w:color w:val="auto"/>
              </w:rPr>
            </w:pPr>
          </w:p>
        </w:tc>
      </w:tr>
      <w:tr>
        <w:trPr>
          <w:trHeight w:val="280"/>
        </w:trPr>
        <w:tc>
          <w:tcPr>
            <w:tcW w:w="6020" w:type="dxa"/>
            <w:vAlign w:val="bottom"/>
          </w:tcPr>
          <w:p>
            <w:pPr>
              <w:spacing w:after="0"/>
              <w:rPr>
                <w:sz w:val="24"/>
                <w:szCs w:val="24"/>
                <w:color w:val="auto"/>
              </w:rPr>
            </w:pPr>
          </w:p>
        </w:tc>
        <w:tc>
          <w:tcPr>
            <w:tcW w:w="2580" w:type="dxa"/>
            <w:vAlign w:val="bottom"/>
            <w:gridSpan w:val="2"/>
          </w:tcPr>
          <w:p>
            <w:pPr>
              <w:jc w:val="right"/>
              <w:ind w:right="357"/>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Courier New" w:cs="Courier New" w:eastAsia="Courier New" w:hAnsi="Courier New"/>
                <w:sz w:val="17"/>
                <w:szCs w:val="17"/>
                <w:color w:val="auto"/>
              </w:rPr>
              <w:t>Earnings per common share, basic</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0.27</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0.25</w:t>
            </w:r>
          </w:p>
        </w:tc>
        <w:tc>
          <w:tcPr>
            <w:tcW w:w="0" w:type="dxa"/>
            <w:vAlign w:val="bottom"/>
          </w:tcPr>
          <w:p>
            <w:pPr>
              <w:spacing w:after="0"/>
              <w:rPr>
                <w:sz w:val="1"/>
                <w:szCs w:val="1"/>
                <w:color w:val="auto"/>
              </w:rPr>
            </w:pPr>
          </w:p>
        </w:tc>
      </w:tr>
      <w:tr>
        <w:trPr>
          <w:trHeight w:val="191"/>
        </w:trPr>
        <w:tc>
          <w:tcPr>
            <w:tcW w:w="6020" w:type="dxa"/>
            <w:vAlign w:val="bottom"/>
            <w:vMerge w:val="restart"/>
          </w:tcPr>
          <w:p>
            <w:pPr>
              <w:spacing w:after="0"/>
              <w:rPr>
                <w:sz w:val="20"/>
                <w:szCs w:val="20"/>
                <w:color w:val="auto"/>
              </w:rPr>
            </w:pPr>
            <w:r>
              <w:rPr>
                <w:rFonts w:ascii="Courier New" w:cs="Courier New" w:eastAsia="Courier New" w:hAnsi="Courier New"/>
                <w:sz w:val="17"/>
                <w:szCs w:val="17"/>
                <w:color w:val="auto"/>
              </w:rPr>
              <w:t>Weighted average number of common shares, basic</w:t>
            </w:r>
          </w:p>
        </w:tc>
        <w:tc>
          <w:tcPr>
            <w:tcW w:w="258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602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10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38,949</w:t>
            </w:r>
          </w:p>
        </w:tc>
        <w:tc>
          <w:tcPr>
            <w:tcW w:w="66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37,483</w:t>
            </w:r>
          </w:p>
        </w:tc>
        <w:tc>
          <w:tcPr>
            <w:tcW w:w="0" w:type="dxa"/>
            <w:vAlign w:val="bottom"/>
          </w:tcPr>
          <w:p>
            <w:pPr>
              <w:spacing w:after="0"/>
              <w:rPr>
                <w:sz w:val="1"/>
                <w:szCs w:val="1"/>
                <w:color w:val="auto"/>
              </w:rPr>
            </w:pPr>
          </w:p>
        </w:tc>
      </w:tr>
      <w:tr>
        <w:trPr>
          <w:trHeight w:val="280"/>
        </w:trPr>
        <w:tc>
          <w:tcPr>
            <w:tcW w:w="6020" w:type="dxa"/>
            <w:vAlign w:val="bottom"/>
          </w:tcPr>
          <w:p>
            <w:pPr>
              <w:spacing w:after="0"/>
              <w:rPr>
                <w:sz w:val="24"/>
                <w:szCs w:val="24"/>
                <w:color w:val="auto"/>
              </w:rPr>
            </w:pPr>
          </w:p>
        </w:tc>
        <w:tc>
          <w:tcPr>
            <w:tcW w:w="2580" w:type="dxa"/>
            <w:vAlign w:val="bottom"/>
            <w:gridSpan w:val="2"/>
          </w:tcPr>
          <w:p>
            <w:pPr>
              <w:jc w:val="right"/>
              <w:ind w:right="357"/>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6020" w:type="dxa"/>
            <w:vAlign w:val="bottom"/>
          </w:tcPr>
          <w:p>
            <w:pPr>
              <w:spacing w:after="0"/>
              <w:rPr>
                <w:sz w:val="20"/>
                <w:szCs w:val="20"/>
                <w:color w:val="auto"/>
              </w:rPr>
            </w:pPr>
            <w:r>
              <w:rPr>
                <w:rFonts w:ascii="Courier New" w:cs="Courier New" w:eastAsia="Courier New" w:hAnsi="Courier New"/>
                <w:sz w:val="17"/>
                <w:szCs w:val="17"/>
                <w:color w:val="auto"/>
              </w:rPr>
              <w:t>Earnings per common share, diluted</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0.27</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0.24</w:t>
            </w:r>
          </w:p>
        </w:tc>
        <w:tc>
          <w:tcPr>
            <w:tcW w:w="0" w:type="dxa"/>
            <w:vAlign w:val="bottom"/>
          </w:tcPr>
          <w:p>
            <w:pPr>
              <w:spacing w:after="0"/>
              <w:rPr>
                <w:sz w:val="1"/>
                <w:szCs w:val="1"/>
                <w:color w:val="auto"/>
              </w:rPr>
            </w:pPr>
          </w:p>
        </w:tc>
      </w:tr>
      <w:tr>
        <w:trPr>
          <w:trHeight w:val="191"/>
        </w:trPr>
        <w:tc>
          <w:tcPr>
            <w:tcW w:w="6020" w:type="dxa"/>
            <w:vAlign w:val="bottom"/>
            <w:vMerge w:val="restart"/>
          </w:tcPr>
          <w:p>
            <w:pPr>
              <w:spacing w:after="0"/>
              <w:rPr>
                <w:sz w:val="20"/>
                <w:szCs w:val="20"/>
                <w:color w:val="auto"/>
              </w:rPr>
            </w:pPr>
            <w:r>
              <w:rPr>
                <w:rFonts w:ascii="Courier New" w:cs="Courier New" w:eastAsia="Courier New" w:hAnsi="Courier New"/>
                <w:sz w:val="17"/>
                <w:szCs w:val="17"/>
                <w:color w:val="auto"/>
              </w:rPr>
              <w:t>Weighted average number of common shares, diluted</w:t>
            </w:r>
          </w:p>
        </w:tc>
        <w:tc>
          <w:tcPr>
            <w:tcW w:w="258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602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10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39,870</w:t>
            </w:r>
          </w:p>
        </w:tc>
        <w:tc>
          <w:tcPr>
            <w:tcW w:w="66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38,033</w:t>
            </w:r>
          </w:p>
        </w:tc>
        <w:tc>
          <w:tcPr>
            <w:tcW w:w="0" w:type="dxa"/>
            <w:vAlign w:val="bottom"/>
          </w:tcPr>
          <w:p>
            <w:pPr>
              <w:spacing w:after="0"/>
              <w:rPr>
                <w:sz w:val="1"/>
                <w:szCs w:val="1"/>
                <w:color w:val="auto"/>
              </w:rPr>
            </w:pPr>
          </w:p>
        </w:tc>
      </w:tr>
      <w:tr>
        <w:trPr>
          <w:trHeight w:val="280"/>
        </w:trPr>
        <w:tc>
          <w:tcPr>
            <w:tcW w:w="6020" w:type="dxa"/>
            <w:vAlign w:val="bottom"/>
          </w:tcPr>
          <w:p>
            <w:pPr>
              <w:spacing w:after="0"/>
              <w:rPr>
                <w:sz w:val="24"/>
                <w:szCs w:val="24"/>
                <w:color w:val="auto"/>
              </w:rPr>
            </w:pPr>
          </w:p>
        </w:tc>
        <w:tc>
          <w:tcPr>
            <w:tcW w:w="2580" w:type="dxa"/>
            <w:vAlign w:val="bottom"/>
            <w:gridSpan w:val="2"/>
          </w:tcPr>
          <w:p>
            <w:pPr>
              <w:jc w:val="right"/>
              <w:ind w:right="357"/>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60"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STATEMENTS OF SHAREHOLDERS' EQUITY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accountants' review report)</w:t>
      </w:r>
    </w:p>
    <w:tbl>
      <w:tblPr>
        <w:tblLayout w:type="fixed"/>
        <w:tblInd w:w="0" w:type="dxa"/>
        <w:tblCellMar>
          <w:top w:w="0" w:type="dxa"/>
          <w:left w:w="0" w:type="dxa"/>
          <w:bottom w:w="0" w:type="dxa"/>
          <w:right w:w="0" w:type="dxa"/>
        </w:tblCellMar>
      </w:tblPr>
      <w:tr>
        <w:trPr>
          <w:trHeight w:val="280"/>
        </w:trPr>
        <w:tc>
          <w:tcPr>
            <w:tcW w:w="5220" w:type="dxa"/>
            <w:vAlign w:val="bottom"/>
          </w:tcPr>
          <w:p>
            <w:pPr>
              <w:ind w:left="2980"/>
              <w:spacing w:after="0"/>
              <w:rPr>
                <w:sz w:val="20"/>
                <w:szCs w:val="20"/>
                <w:color w:val="auto"/>
              </w:rPr>
            </w:pPr>
            <w:r>
              <w:rPr>
                <w:rFonts w:ascii="Courier New" w:cs="Courier New" w:eastAsia="Courier New" w:hAnsi="Courier New"/>
                <w:sz w:val="17"/>
                <w:szCs w:val="17"/>
                <w:color w:val="auto"/>
              </w:rPr>
              <w:t>(unaudited)</w:t>
            </w: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5220" w:type="dxa"/>
            <w:vAlign w:val="bottom"/>
          </w:tcPr>
          <w:p>
            <w:pPr>
              <w:spacing w:after="0"/>
              <w:rPr>
                <w:sz w:val="24"/>
                <w:szCs w:val="24"/>
                <w:color w:val="auto"/>
              </w:rPr>
            </w:pPr>
          </w:p>
        </w:tc>
        <w:tc>
          <w:tcPr>
            <w:tcW w:w="1640" w:type="dxa"/>
            <w:vAlign w:val="bottom"/>
            <w:vMerge w:val="restart"/>
          </w:tcPr>
          <w:p>
            <w:pPr>
              <w:jc w:val="right"/>
              <w:ind w:right="417"/>
              <w:spacing w:after="0"/>
              <w:rPr>
                <w:sz w:val="20"/>
                <w:szCs w:val="20"/>
                <w:color w:val="auto"/>
              </w:rPr>
            </w:pPr>
            <w:r>
              <w:rPr>
                <w:rFonts w:ascii="Courier New" w:cs="Courier New" w:eastAsia="Courier New" w:hAnsi="Courier New"/>
                <w:sz w:val="17"/>
                <w:szCs w:val="17"/>
                <w:color w:val="auto"/>
              </w:rPr>
              <w:t>1998</w:t>
            </w:r>
          </w:p>
        </w:tc>
        <w:tc>
          <w:tcPr>
            <w:tcW w:w="300" w:type="dxa"/>
            <w:vAlign w:val="bottom"/>
          </w:tcPr>
          <w:p>
            <w:pPr>
              <w:spacing w:after="0"/>
              <w:rPr>
                <w:sz w:val="24"/>
                <w:szCs w:val="24"/>
                <w:color w:val="auto"/>
              </w:rPr>
            </w:pPr>
          </w:p>
        </w:tc>
        <w:tc>
          <w:tcPr>
            <w:tcW w:w="288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w w:val="96"/>
              </w:rPr>
              <w:t>Three months ended March 31,</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22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w w:val="96"/>
              </w:rPr>
              <w:t>------------</w:t>
            </w:r>
          </w:p>
        </w:tc>
        <w:tc>
          <w:tcPr>
            <w:tcW w:w="15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1997</w:t>
            </w:r>
          </w:p>
        </w:tc>
        <w:tc>
          <w:tcPr>
            <w:tcW w:w="30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4"/>
              </w:rPr>
              <w:t>------------</w:t>
            </w:r>
          </w:p>
        </w:tc>
        <w:tc>
          <w:tcPr>
            <w:tcW w:w="0" w:type="dxa"/>
            <w:vAlign w:val="bottom"/>
          </w:tcPr>
          <w:p>
            <w:pPr>
              <w:spacing w:after="0"/>
              <w:rPr>
                <w:sz w:val="1"/>
                <w:szCs w:val="1"/>
                <w:color w:val="auto"/>
              </w:rPr>
            </w:pPr>
          </w:p>
        </w:tc>
      </w:tr>
      <w:tr>
        <w:trPr>
          <w:trHeight w:val="280"/>
        </w:trPr>
        <w:tc>
          <w:tcPr>
            <w:tcW w:w="5220" w:type="dxa"/>
            <w:vAlign w:val="bottom"/>
          </w:tcPr>
          <w:p>
            <w:pPr>
              <w:spacing w:after="0"/>
              <w:rPr>
                <w:sz w:val="24"/>
                <w:szCs w:val="24"/>
                <w:color w:val="auto"/>
              </w:rPr>
            </w:pPr>
          </w:p>
        </w:tc>
        <w:tc>
          <w:tcPr>
            <w:tcW w:w="16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5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5220" w:type="dxa"/>
            <w:vAlign w:val="bottom"/>
          </w:tcPr>
          <w:p>
            <w:pPr>
              <w:spacing w:after="0"/>
              <w:rPr>
                <w:sz w:val="20"/>
                <w:szCs w:val="20"/>
                <w:color w:val="auto"/>
              </w:rPr>
            </w:pPr>
            <w:r>
              <w:rPr>
                <w:rFonts w:ascii="Courier New" w:cs="Courier New" w:eastAsia="Courier New" w:hAnsi="Courier New"/>
                <w:sz w:val="17"/>
                <w:szCs w:val="17"/>
                <w:color w:val="auto"/>
              </w:rPr>
              <w:t>(In thousands, except per share amounts)</w:t>
            </w:r>
          </w:p>
        </w:tc>
        <w:tc>
          <w:tcPr>
            <w:tcW w:w="16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Shares</w:t>
            </w:r>
          </w:p>
        </w:tc>
        <w:tc>
          <w:tcPr>
            <w:tcW w:w="300" w:type="dxa"/>
            <w:vAlign w:val="bottom"/>
          </w:tcPr>
          <w:p>
            <w:pPr>
              <w:spacing w:after="0"/>
              <w:rPr>
                <w:sz w:val="24"/>
                <w:szCs w:val="24"/>
                <w:color w:val="auto"/>
              </w:rPr>
            </w:pP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Amount</w:t>
            </w:r>
          </w:p>
        </w:tc>
        <w:tc>
          <w:tcPr>
            <w:tcW w:w="158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Shares</w:t>
            </w:r>
          </w:p>
        </w:tc>
        <w:tc>
          <w:tcPr>
            <w:tcW w:w="300" w:type="dxa"/>
            <w:vAlign w:val="bottom"/>
          </w:tcPr>
          <w:p>
            <w:pPr>
              <w:spacing w:after="0"/>
              <w:rPr>
                <w:sz w:val="24"/>
                <w:szCs w:val="24"/>
                <w:color w:val="auto"/>
              </w:rPr>
            </w:pPr>
          </w:p>
        </w:tc>
        <w:tc>
          <w:tcPr>
            <w:tcW w:w="11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Amount</w:t>
            </w:r>
          </w:p>
        </w:tc>
        <w:tc>
          <w:tcPr>
            <w:tcW w:w="0" w:type="dxa"/>
            <w:vAlign w:val="bottom"/>
          </w:tcPr>
          <w:p>
            <w:pPr>
              <w:spacing w:after="0"/>
              <w:rPr>
                <w:sz w:val="1"/>
                <w:szCs w:val="1"/>
                <w:color w:val="auto"/>
              </w:rPr>
            </w:pPr>
          </w:p>
        </w:tc>
      </w:tr>
      <w:tr>
        <w:trPr>
          <w:trHeight w:val="294"/>
        </w:trPr>
        <w:tc>
          <w:tcPr>
            <w:tcW w:w="5220" w:type="dxa"/>
            <w:vAlign w:val="bottom"/>
          </w:tcPr>
          <w:p>
            <w:pPr>
              <w:spacing w:after="0"/>
              <w:rPr>
                <w:sz w:val="20"/>
                <w:szCs w:val="20"/>
                <w:color w:val="auto"/>
              </w:rPr>
            </w:pPr>
            <w:r>
              <w:rPr>
                <w:rFonts w:ascii="Courier New" w:cs="Courier New" w:eastAsia="Courier New" w:hAnsi="Courier New"/>
                <w:sz w:val="17"/>
                <w:szCs w:val="17"/>
                <w:color w:val="auto"/>
              </w:rPr>
              <w:t>Common Shares of Beneficial Interest</w:t>
            </w:r>
          </w:p>
        </w:tc>
        <w:tc>
          <w:tcPr>
            <w:tcW w:w="164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39,200,201</w:t>
            </w:r>
          </w:p>
        </w:tc>
        <w:tc>
          <w:tcPr>
            <w:tcW w:w="30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w:t>
            </w:r>
          </w:p>
        </w:tc>
        <w:tc>
          <w:tcPr>
            <w:tcW w:w="130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684,823</w:t>
            </w:r>
          </w:p>
        </w:tc>
        <w:tc>
          <w:tcPr>
            <w:tcW w:w="158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35,948,044</w:t>
            </w:r>
          </w:p>
        </w:tc>
        <w:tc>
          <w:tcPr>
            <w:tcW w:w="30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w:t>
            </w:r>
          </w:p>
        </w:tc>
        <w:tc>
          <w:tcPr>
            <w:tcW w:w="1180" w:type="dxa"/>
            <w:vAlign w:val="bottom"/>
            <w:vMerge w:val="restart"/>
          </w:tcPr>
          <w:p>
            <w:pPr>
              <w:jc w:val="right"/>
              <w:ind w:right="97"/>
              <w:spacing w:after="0"/>
              <w:rPr>
                <w:sz w:val="20"/>
                <w:szCs w:val="20"/>
                <w:color w:val="auto"/>
              </w:rPr>
            </w:pPr>
            <w:r>
              <w:rPr>
                <w:rFonts w:ascii="Courier New" w:cs="Courier New" w:eastAsia="Courier New" w:hAnsi="Courier New"/>
                <w:sz w:val="17"/>
                <w:szCs w:val="17"/>
                <w:color w:val="auto"/>
              </w:rPr>
              <w:t>597,917</w:t>
            </w:r>
          </w:p>
        </w:tc>
        <w:tc>
          <w:tcPr>
            <w:tcW w:w="0" w:type="dxa"/>
            <w:vAlign w:val="bottom"/>
          </w:tcPr>
          <w:p>
            <w:pPr>
              <w:spacing w:after="0"/>
              <w:rPr>
                <w:sz w:val="1"/>
                <w:szCs w:val="1"/>
                <w:color w:val="auto"/>
              </w:rPr>
            </w:pP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Balance, beginning of period</w:t>
            </w:r>
          </w:p>
        </w:tc>
        <w:tc>
          <w:tcPr>
            <w:tcW w:w="164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proceeds from sale of shares</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3,000,000</w:t>
            </w:r>
          </w:p>
        </w:tc>
        <w:tc>
          <w:tcPr>
            <w:tcW w:w="300" w:type="dxa"/>
            <w:vAlign w:val="bottom"/>
          </w:tcPr>
          <w:p>
            <w:pPr>
              <w:spacing w:after="0"/>
              <w:rPr>
                <w:sz w:val="16"/>
                <w:szCs w:val="16"/>
                <w:color w:val="auto"/>
              </w:rPr>
            </w:pPr>
          </w:p>
        </w:tc>
        <w:tc>
          <w:tcPr>
            <w:tcW w:w="11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83,925</w:t>
            </w:r>
          </w:p>
        </w:tc>
        <w:tc>
          <w:tcPr>
            <w:tcW w:w="0" w:type="dxa"/>
            <w:vAlign w:val="bottom"/>
          </w:tcPr>
          <w:p>
            <w:pPr>
              <w:spacing w:after="0"/>
              <w:rPr>
                <w:sz w:val="1"/>
                <w:szCs w:val="1"/>
                <w:color w:val="auto"/>
              </w:rPr>
            </w:pP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Exercise of stock options</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95,365</w:t>
            </w:r>
          </w:p>
        </w:tc>
        <w:tc>
          <w:tcPr>
            <w:tcW w:w="3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2,051</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64,501</w:t>
            </w:r>
          </w:p>
        </w:tc>
        <w:tc>
          <w:tcPr>
            <w:tcW w:w="300" w:type="dxa"/>
            <w:vAlign w:val="bottom"/>
          </w:tcPr>
          <w:p>
            <w:pPr>
              <w:spacing w:after="0"/>
              <w:rPr>
                <w:sz w:val="16"/>
                <w:szCs w:val="16"/>
                <w:color w:val="auto"/>
              </w:rPr>
            </w:pPr>
          </w:p>
        </w:tc>
        <w:tc>
          <w:tcPr>
            <w:tcW w:w="11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1,360</w:t>
            </w:r>
          </w:p>
        </w:tc>
        <w:tc>
          <w:tcPr>
            <w:tcW w:w="0" w:type="dxa"/>
            <w:vAlign w:val="bottom"/>
          </w:tcPr>
          <w:p>
            <w:pPr>
              <w:spacing w:after="0"/>
              <w:rPr>
                <w:sz w:val="1"/>
                <w:szCs w:val="1"/>
                <w:color w:val="auto"/>
              </w:rPr>
            </w:pP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Shares issued under dividend reinvestment plan</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39,803</w:t>
            </w:r>
          </w:p>
        </w:tc>
        <w:tc>
          <w:tcPr>
            <w:tcW w:w="3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1,003</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36,997</w:t>
            </w:r>
          </w:p>
        </w:tc>
        <w:tc>
          <w:tcPr>
            <w:tcW w:w="300" w:type="dxa"/>
            <w:vAlign w:val="bottom"/>
          </w:tcPr>
          <w:p>
            <w:pPr>
              <w:spacing w:after="0"/>
              <w:rPr>
                <w:sz w:val="16"/>
                <w:szCs w:val="16"/>
                <w:color w:val="auto"/>
              </w:rPr>
            </w:pPr>
          </w:p>
        </w:tc>
        <w:tc>
          <w:tcPr>
            <w:tcW w:w="11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1,030</w:t>
            </w:r>
          </w:p>
        </w:tc>
        <w:tc>
          <w:tcPr>
            <w:tcW w:w="0" w:type="dxa"/>
            <w:vAlign w:val="bottom"/>
          </w:tcPr>
          <w:p>
            <w:pPr>
              <w:spacing w:after="0"/>
              <w:rPr>
                <w:sz w:val="1"/>
                <w:szCs w:val="1"/>
                <w:color w:val="auto"/>
              </w:rPr>
            </w:pPr>
          </w:p>
        </w:tc>
      </w:tr>
      <w:tr>
        <w:trPr>
          <w:trHeight w:val="191"/>
        </w:trPr>
        <w:tc>
          <w:tcPr>
            <w:tcW w:w="522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w w:val="99"/>
              </w:rPr>
              <w:t>Performance and Restricted Shares granted</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514,055</w:t>
            </w:r>
          </w:p>
        </w:tc>
        <w:tc>
          <w:tcPr>
            <w:tcW w:w="3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13,369</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22,000</w:t>
            </w:r>
          </w:p>
        </w:tc>
        <w:tc>
          <w:tcPr>
            <w:tcW w:w="300" w:type="dxa"/>
            <w:vAlign w:val="bottom"/>
          </w:tcPr>
          <w:p>
            <w:pPr>
              <w:spacing w:after="0"/>
              <w:rPr>
                <w:sz w:val="16"/>
                <w:szCs w:val="16"/>
                <w:color w:val="auto"/>
              </w:rPr>
            </w:pPr>
          </w:p>
        </w:tc>
        <w:tc>
          <w:tcPr>
            <w:tcW w:w="11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621</w:t>
            </w:r>
          </w:p>
        </w:tc>
        <w:tc>
          <w:tcPr>
            <w:tcW w:w="0" w:type="dxa"/>
            <w:vAlign w:val="bottom"/>
          </w:tcPr>
          <w:p>
            <w:pPr>
              <w:spacing w:after="0"/>
              <w:rPr>
                <w:sz w:val="1"/>
                <w:szCs w:val="1"/>
                <w:color w:val="auto"/>
              </w:rPr>
            </w:pPr>
          </w:p>
        </w:tc>
      </w:tr>
      <w:tr>
        <w:trPr>
          <w:trHeight w:val="191"/>
        </w:trPr>
        <w:tc>
          <w:tcPr>
            <w:tcW w:w="522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Balance, end of period</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5220" w:type="dxa"/>
            <w:vAlign w:val="bottom"/>
            <w:vMerge w:val="continue"/>
          </w:tcPr>
          <w:p>
            <w:pPr>
              <w:spacing w:after="0"/>
              <w:rPr>
                <w:sz w:val="16"/>
                <w:szCs w:val="16"/>
                <w:color w:val="auto"/>
              </w:rPr>
            </w:pP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39,849,424</w:t>
            </w:r>
          </w:p>
        </w:tc>
        <w:tc>
          <w:tcPr>
            <w:tcW w:w="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701,246</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39,071,542</w:t>
            </w:r>
          </w:p>
        </w:tc>
        <w:tc>
          <w:tcPr>
            <w:tcW w:w="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684,853</w:t>
            </w:r>
          </w:p>
        </w:tc>
        <w:tc>
          <w:tcPr>
            <w:tcW w:w="0" w:type="dxa"/>
            <w:vAlign w:val="bottom"/>
          </w:tcPr>
          <w:p>
            <w:pPr>
              <w:spacing w:after="0"/>
              <w:rPr>
                <w:sz w:val="1"/>
                <w:szCs w:val="1"/>
                <w:color w:val="auto"/>
              </w:rPr>
            </w:pPr>
          </w:p>
        </w:tc>
      </w:tr>
      <w:tr>
        <w:trPr>
          <w:trHeight w:val="280"/>
        </w:trPr>
        <w:tc>
          <w:tcPr>
            <w:tcW w:w="5220" w:type="dxa"/>
            <w:vAlign w:val="bottom"/>
          </w:tcPr>
          <w:p>
            <w:pPr>
              <w:spacing w:after="0"/>
              <w:rPr>
                <w:sz w:val="24"/>
                <w:szCs w:val="24"/>
                <w:color w:val="auto"/>
              </w:rPr>
            </w:pPr>
          </w:p>
        </w:tc>
        <w:tc>
          <w:tcPr>
            <w:tcW w:w="16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9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867"/>
        </w:trPr>
        <w:tc>
          <w:tcPr>
            <w:tcW w:w="5220" w:type="dxa"/>
            <w:vAlign w:val="bottom"/>
          </w:tcPr>
          <w:p>
            <w:pPr>
              <w:spacing w:after="0"/>
              <w:rPr>
                <w:sz w:val="20"/>
                <w:szCs w:val="20"/>
                <w:color w:val="auto"/>
              </w:rPr>
            </w:pPr>
            <w:r>
              <w:rPr>
                <w:rFonts w:ascii="Courier New" w:cs="Courier New" w:eastAsia="Courier New" w:hAnsi="Courier New"/>
                <w:sz w:val="17"/>
                <w:szCs w:val="17"/>
                <w:color w:val="auto"/>
              </w:rPr>
              <w:t>Common Shares of Beneficial Interest</w:t>
            </w: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22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rPr>
              <w:t>in Treasury, Deferred Compensation and</w:t>
            </w: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2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Subscriptions Receivable</w:t>
            </w:r>
          </w:p>
        </w:tc>
        <w:tc>
          <w:tcPr>
            <w:tcW w:w="164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(457,111)</w:t>
            </w:r>
          </w:p>
        </w:tc>
        <w:tc>
          <w:tcPr>
            <w:tcW w:w="300" w:type="dxa"/>
            <w:vAlign w:val="bottom"/>
            <w:vMerge w:val="restart"/>
          </w:tcPr>
          <w:p>
            <w:pPr>
              <w:ind w:left="100"/>
              <w:spacing w:after="0"/>
              <w:rPr>
                <w:sz w:val="20"/>
                <w:szCs w:val="20"/>
                <w:color w:val="auto"/>
              </w:rPr>
            </w:pPr>
            <w:r>
              <w:rPr>
                <w:rFonts w:ascii="Courier New" w:cs="Courier New" w:eastAsia="Courier New" w:hAnsi="Courier New"/>
                <w:sz w:val="17"/>
                <w:szCs w:val="17"/>
                <w:color w:val="auto"/>
                <w:w w:val="87"/>
              </w:rPr>
              <w:t>($</w:t>
            </w:r>
          </w:p>
        </w:tc>
        <w:tc>
          <w:tcPr>
            <w:tcW w:w="13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8,304)</w:t>
            </w:r>
          </w:p>
        </w:tc>
        <w:tc>
          <w:tcPr>
            <w:tcW w:w="158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(480,948)</w:t>
            </w:r>
          </w:p>
        </w:tc>
        <w:tc>
          <w:tcPr>
            <w:tcW w:w="300" w:type="dxa"/>
            <w:vAlign w:val="bottom"/>
            <w:vMerge w:val="restart"/>
          </w:tcPr>
          <w:p>
            <w:pPr>
              <w:ind w:left="100"/>
              <w:spacing w:after="0"/>
              <w:rPr>
                <w:sz w:val="20"/>
                <w:szCs w:val="20"/>
                <w:color w:val="auto"/>
              </w:rPr>
            </w:pPr>
            <w:r>
              <w:rPr>
                <w:rFonts w:ascii="Courier New" w:cs="Courier New" w:eastAsia="Courier New" w:hAnsi="Courier New"/>
                <w:sz w:val="17"/>
                <w:szCs w:val="17"/>
                <w:color w:val="auto"/>
                <w:w w:val="87"/>
              </w:rPr>
              <w:t>($</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8,332)</w:t>
            </w:r>
          </w:p>
        </w:tc>
        <w:tc>
          <w:tcPr>
            <w:tcW w:w="0" w:type="dxa"/>
            <w:vAlign w:val="bottom"/>
          </w:tcPr>
          <w:p>
            <w:pPr>
              <w:spacing w:after="0"/>
              <w:rPr>
                <w:sz w:val="1"/>
                <w:szCs w:val="1"/>
                <w:color w:val="auto"/>
              </w:rPr>
            </w:pP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Balance, beginning of period</w:t>
            </w:r>
          </w:p>
        </w:tc>
        <w:tc>
          <w:tcPr>
            <w:tcW w:w="164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Amortization of deferred compensation</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36,937</w:t>
            </w:r>
          </w:p>
        </w:tc>
        <w:tc>
          <w:tcPr>
            <w:tcW w:w="3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679</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30,125</w:t>
            </w:r>
          </w:p>
        </w:tc>
        <w:tc>
          <w:tcPr>
            <w:tcW w:w="300" w:type="dxa"/>
            <w:vAlign w:val="bottom"/>
          </w:tcPr>
          <w:p>
            <w:pPr>
              <w:spacing w:after="0"/>
              <w:rPr>
                <w:sz w:val="16"/>
                <w:szCs w:val="16"/>
                <w:color w:val="auto"/>
              </w:rPr>
            </w:pPr>
          </w:p>
        </w:tc>
        <w:tc>
          <w:tcPr>
            <w:tcW w:w="11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480</w:t>
            </w:r>
          </w:p>
        </w:tc>
        <w:tc>
          <w:tcPr>
            <w:tcW w:w="0" w:type="dxa"/>
            <w:vAlign w:val="bottom"/>
          </w:tcPr>
          <w:p>
            <w:pPr>
              <w:spacing w:after="0"/>
              <w:rPr>
                <w:sz w:val="1"/>
                <w:szCs w:val="1"/>
                <w:color w:val="auto"/>
              </w:rPr>
            </w:pPr>
          </w:p>
        </w:tc>
      </w:tr>
      <w:tr>
        <w:trPr>
          <w:trHeight w:val="191"/>
        </w:trPr>
        <w:tc>
          <w:tcPr>
            <w:tcW w:w="522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w w:val="99"/>
              </w:rPr>
              <w:t>Performance and Restricted Shares granted</w:t>
            </w:r>
          </w:p>
        </w:tc>
        <w:tc>
          <w:tcPr>
            <w:tcW w:w="1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(539,055)</w:t>
            </w:r>
          </w:p>
        </w:tc>
        <w:tc>
          <w:tcPr>
            <w:tcW w:w="30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(13,830)</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(22,000)</w:t>
            </w:r>
          </w:p>
        </w:tc>
        <w:tc>
          <w:tcPr>
            <w:tcW w:w="3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(621)</w:t>
            </w:r>
          </w:p>
        </w:tc>
        <w:tc>
          <w:tcPr>
            <w:tcW w:w="0" w:type="dxa"/>
            <w:vAlign w:val="bottom"/>
          </w:tcPr>
          <w:p>
            <w:pPr>
              <w:spacing w:after="0"/>
              <w:rPr>
                <w:sz w:val="1"/>
                <w:szCs w:val="1"/>
                <w:color w:val="auto"/>
              </w:rPr>
            </w:pP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Purchase of shares under share purchase plan</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6,250</w:t>
            </w:r>
          </w:p>
        </w:tc>
        <w:tc>
          <w:tcPr>
            <w:tcW w:w="3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94</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13,856</w:t>
            </w:r>
          </w:p>
        </w:tc>
        <w:tc>
          <w:tcPr>
            <w:tcW w:w="300" w:type="dxa"/>
            <w:vAlign w:val="bottom"/>
          </w:tcPr>
          <w:p>
            <w:pPr>
              <w:spacing w:after="0"/>
              <w:rPr>
                <w:sz w:val="16"/>
                <w:szCs w:val="16"/>
                <w:color w:val="auto"/>
              </w:rPr>
            </w:pPr>
          </w:p>
        </w:tc>
        <w:tc>
          <w:tcPr>
            <w:tcW w:w="11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193</w:t>
            </w:r>
          </w:p>
        </w:tc>
        <w:tc>
          <w:tcPr>
            <w:tcW w:w="0" w:type="dxa"/>
            <w:vAlign w:val="bottom"/>
          </w:tcPr>
          <w:p>
            <w:pPr>
              <w:spacing w:after="0"/>
              <w:rPr>
                <w:sz w:val="1"/>
                <w:szCs w:val="1"/>
                <w:color w:val="auto"/>
              </w:rPr>
            </w:pP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Reisssuance of treasury shares</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25,000</w:t>
            </w:r>
          </w:p>
        </w:tc>
        <w:tc>
          <w:tcPr>
            <w:tcW w:w="3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462</w:t>
            </w:r>
          </w:p>
        </w:tc>
        <w:tc>
          <w:tcPr>
            <w:tcW w:w="15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Increase in stock option loans, net</w:t>
            </w:r>
          </w:p>
        </w:tc>
        <w:tc>
          <w:tcPr>
            <w:tcW w:w="1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(65,069)</w:t>
            </w:r>
          </w:p>
        </w:tc>
        <w:tc>
          <w:tcPr>
            <w:tcW w:w="30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(1,408)</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(12,500)</w:t>
            </w:r>
          </w:p>
        </w:tc>
        <w:tc>
          <w:tcPr>
            <w:tcW w:w="3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(264)</w:t>
            </w:r>
          </w:p>
        </w:tc>
        <w:tc>
          <w:tcPr>
            <w:tcW w:w="0" w:type="dxa"/>
            <w:vAlign w:val="bottom"/>
          </w:tcPr>
          <w:p>
            <w:pPr>
              <w:spacing w:after="0"/>
              <w:rPr>
                <w:sz w:val="1"/>
                <w:szCs w:val="1"/>
                <w:color w:val="auto"/>
              </w:rPr>
            </w:pPr>
          </w:p>
        </w:tc>
      </w:tr>
      <w:tr>
        <w:trPr>
          <w:trHeight w:val="191"/>
        </w:trPr>
        <w:tc>
          <w:tcPr>
            <w:tcW w:w="522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Balance, end of period</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5220" w:type="dxa"/>
            <w:vAlign w:val="bottom"/>
            <w:vMerge w:val="continue"/>
          </w:tcPr>
          <w:p>
            <w:pPr>
              <w:spacing w:after="0"/>
              <w:rPr>
                <w:sz w:val="16"/>
                <w:szCs w:val="16"/>
                <w:color w:val="auto"/>
              </w:rPr>
            </w:pPr>
          </w:p>
        </w:tc>
        <w:tc>
          <w:tcPr>
            <w:tcW w:w="1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(993,048)</w:t>
            </w:r>
          </w:p>
        </w:tc>
        <w:tc>
          <w:tcPr>
            <w:tcW w:w="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87"/>
              </w:rPr>
              <w:t>($</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22,307)</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(471,467)</w:t>
            </w:r>
          </w:p>
        </w:tc>
        <w:tc>
          <w:tcPr>
            <w:tcW w:w="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87"/>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8,544)</w:t>
            </w:r>
          </w:p>
        </w:tc>
        <w:tc>
          <w:tcPr>
            <w:tcW w:w="0" w:type="dxa"/>
            <w:vAlign w:val="bottom"/>
          </w:tcPr>
          <w:p>
            <w:pPr>
              <w:spacing w:after="0"/>
              <w:rPr>
                <w:sz w:val="1"/>
                <w:szCs w:val="1"/>
                <w:color w:val="auto"/>
              </w:rPr>
            </w:pPr>
          </w:p>
        </w:tc>
      </w:tr>
      <w:tr>
        <w:trPr>
          <w:trHeight w:val="280"/>
        </w:trPr>
        <w:tc>
          <w:tcPr>
            <w:tcW w:w="5220" w:type="dxa"/>
            <w:vAlign w:val="bottom"/>
          </w:tcPr>
          <w:p>
            <w:pPr>
              <w:spacing w:after="0"/>
              <w:rPr>
                <w:sz w:val="24"/>
                <w:szCs w:val="24"/>
                <w:color w:val="auto"/>
              </w:rPr>
            </w:pPr>
          </w:p>
        </w:tc>
        <w:tc>
          <w:tcPr>
            <w:tcW w:w="16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9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867"/>
        </w:trPr>
        <w:tc>
          <w:tcPr>
            <w:tcW w:w="5220" w:type="dxa"/>
            <w:vAlign w:val="bottom"/>
          </w:tcPr>
          <w:p>
            <w:pPr>
              <w:spacing w:after="0"/>
              <w:rPr>
                <w:sz w:val="20"/>
                <w:szCs w:val="20"/>
                <w:color w:val="auto"/>
              </w:rPr>
            </w:pPr>
            <w:r>
              <w:rPr>
                <w:rFonts w:ascii="Courier New" w:cs="Courier New" w:eastAsia="Courier New" w:hAnsi="Courier New"/>
                <w:sz w:val="17"/>
                <w:szCs w:val="17"/>
                <w:color w:val="auto"/>
                <w:w w:val="99"/>
              </w:rPr>
              <w:t>Accumulated Dividends in Excess of Trust Net Income</w:t>
            </w:r>
          </w:p>
        </w:tc>
        <w:tc>
          <w:tcPr>
            <w:tcW w:w="1640" w:type="dxa"/>
            <w:vAlign w:val="bottom"/>
          </w:tcPr>
          <w:p>
            <w:pPr>
              <w:spacing w:after="0"/>
              <w:rPr>
                <w:sz w:val="24"/>
                <w:szCs w:val="24"/>
                <w:color w:val="auto"/>
              </w:rPr>
            </w:pPr>
          </w:p>
        </w:tc>
        <w:tc>
          <w:tcPr>
            <w:tcW w:w="300" w:type="dxa"/>
            <w:vAlign w:val="bottom"/>
            <w:vMerge w:val="restart"/>
          </w:tcPr>
          <w:p>
            <w:pPr>
              <w:ind w:left="100"/>
              <w:spacing w:after="0"/>
              <w:rPr>
                <w:sz w:val="20"/>
                <w:szCs w:val="20"/>
                <w:color w:val="auto"/>
              </w:rPr>
            </w:pPr>
            <w:r>
              <w:rPr>
                <w:rFonts w:ascii="Courier New" w:cs="Courier New" w:eastAsia="Courier New" w:hAnsi="Courier New"/>
                <w:sz w:val="17"/>
                <w:szCs w:val="17"/>
                <w:color w:val="auto"/>
                <w:w w:val="87"/>
              </w:rPr>
              <w:t>($</w:t>
            </w:r>
          </w:p>
        </w:tc>
        <w:tc>
          <w:tcPr>
            <w:tcW w:w="13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222,709)</w:t>
            </w:r>
          </w:p>
        </w:tc>
        <w:tc>
          <w:tcPr>
            <w:tcW w:w="1580" w:type="dxa"/>
            <w:vAlign w:val="bottom"/>
          </w:tcPr>
          <w:p>
            <w:pPr>
              <w:spacing w:after="0"/>
              <w:rPr>
                <w:sz w:val="24"/>
                <w:szCs w:val="24"/>
                <w:color w:val="auto"/>
              </w:rPr>
            </w:pPr>
          </w:p>
        </w:tc>
        <w:tc>
          <w:tcPr>
            <w:tcW w:w="300" w:type="dxa"/>
            <w:vAlign w:val="bottom"/>
            <w:vMerge w:val="restart"/>
          </w:tcPr>
          <w:p>
            <w:pPr>
              <w:ind w:left="100"/>
              <w:spacing w:after="0"/>
              <w:rPr>
                <w:sz w:val="20"/>
                <w:szCs w:val="20"/>
                <w:color w:val="auto"/>
              </w:rPr>
            </w:pPr>
            <w:r>
              <w:rPr>
                <w:rFonts w:ascii="Courier New" w:cs="Courier New" w:eastAsia="Courier New" w:hAnsi="Courier New"/>
                <w:sz w:val="17"/>
                <w:szCs w:val="17"/>
                <w:color w:val="auto"/>
                <w:w w:val="87"/>
              </w:rPr>
              <w:t>($</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200,700)</w:t>
            </w:r>
          </w:p>
        </w:tc>
        <w:tc>
          <w:tcPr>
            <w:tcW w:w="0" w:type="dxa"/>
            <w:vAlign w:val="bottom"/>
          </w:tcPr>
          <w:p>
            <w:pPr>
              <w:spacing w:after="0"/>
              <w:rPr>
                <w:sz w:val="1"/>
                <w:szCs w:val="1"/>
                <w:color w:val="auto"/>
              </w:rPr>
            </w:pP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Balance, beginning of period</w:t>
            </w:r>
          </w:p>
        </w:tc>
        <w:tc>
          <w:tcPr>
            <w:tcW w:w="16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income</w:t>
            </w: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12,694</w:t>
            </w: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9,311</w:t>
            </w:r>
          </w:p>
        </w:tc>
        <w:tc>
          <w:tcPr>
            <w:tcW w:w="0" w:type="dxa"/>
            <w:vAlign w:val="bottom"/>
          </w:tcPr>
          <w:p>
            <w:pPr>
              <w:spacing w:after="0"/>
              <w:rPr>
                <w:sz w:val="1"/>
                <w:szCs w:val="1"/>
                <w:color w:val="auto"/>
              </w:rPr>
            </w:pPr>
          </w:p>
        </w:tc>
      </w:tr>
      <w:tr>
        <w:trPr>
          <w:trHeight w:val="191"/>
        </w:trPr>
        <w:tc>
          <w:tcPr>
            <w:tcW w:w="5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Dividends declared to shareholders</w:t>
            </w: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(19,111)</w:t>
            </w: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(16,382)</w:t>
            </w:r>
          </w:p>
        </w:tc>
        <w:tc>
          <w:tcPr>
            <w:tcW w:w="0" w:type="dxa"/>
            <w:vAlign w:val="bottom"/>
          </w:tcPr>
          <w:p>
            <w:pPr>
              <w:spacing w:after="0"/>
              <w:rPr>
                <w:sz w:val="1"/>
                <w:szCs w:val="1"/>
                <w:color w:val="auto"/>
              </w:rPr>
            </w:pPr>
          </w:p>
        </w:tc>
      </w:tr>
      <w:tr>
        <w:trPr>
          <w:trHeight w:val="191"/>
        </w:trPr>
        <w:tc>
          <w:tcPr>
            <w:tcW w:w="522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Balance, end of period</w:t>
            </w:r>
          </w:p>
        </w:tc>
        <w:tc>
          <w:tcPr>
            <w:tcW w:w="1640" w:type="dxa"/>
            <w:vAlign w:val="bottom"/>
          </w:tcPr>
          <w:p>
            <w:pPr>
              <w:spacing w:after="0"/>
              <w:rPr>
                <w:sz w:val="16"/>
                <w:szCs w:val="16"/>
                <w:color w:val="auto"/>
              </w:rPr>
            </w:pPr>
          </w:p>
        </w:tc>
        <w:tc>
          <w:tcPr>
            <w:tcW w:w="16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spacing w:after="0"/>
              <w:rPr>
                <w:sz w:val="16"/>
                <w:szCs w:val="16"/>
                <w:color w:val="auto"/>
              </w:rPr>
            </w:pPr>
          </w:p>
        </w:tc>
        <w:tc>
          <w:tcPr>
            <w:tcW w:w="1480" w:type="dxa"/>
            <w:vAlign w:val="bottom"/>
            <w:gridSpan w:val="2"/>
          </w:tcPr>
          <w:p>
            <w:pPr>
              <w:jc w:val="right"/>
              <w:ind w:right="9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5220" w:type="dxa"/>
            <w:vAlign w:val="bottom"/>
            <w:vMerge w:val="continue"/>
          </w:tcPr>
          <w:p>
            <w:pPr>
              <w:spacing w:after="0"/>
              <w:rPr>
                <w:sz w:val="16"/>
                <w:szCs w:val="16"/>
                <w:color w:val="auto"/>
              </w:rPr>
            </w:pPr>
          </w:p>
        </w:tc>
        <w:tc>
          <w:tcPr>
            <w:tcW w:w="1640" w:type="dxa"/>
            <w:vAlign w:val="bottom"/>
          </w:tcPr>
          <w:p>
            <w:pPr>
              <w:spacing w:after="0"/>
              <w:rPr>
                <w:sz w:val="16"/>
                <w:szCs w:val="16"/>
                <w:color w:val="auto"/>
              </w:rPr>
            </w:pPr>
          </w:p>
        </w:tc>
        <w:tc>
          <w:tcPr>
            <w:tcW w:w="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87"/>
              </w:rPr>
              <w:t>($</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229,126)</w:t>
            </w:r>
          </w:p>
        </w:tc>
        <w:tc>
          <w:tcPr>
            <w:tcW w:w="1580" w:type="dxa"/>
            <w:vAlign w:val="bottom"/>
          </w:tcPr>
          <w:p>
            <w:pPr>
              <w:spacing w:after="0"/>
              <w:rPr>
                <w:sz w:val="16"/>
                <w:szCs w:val="16"/>
                <w:color w:val="auto"/>
              </w:rPr>
            </w:pPr>
          </w:p>
        </w:tc>
        <w:tc>
          <w:tcPr>
            <w:tcW w:w="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87"/>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207,771)</w:t>
            </w:r>
          </w:p>
        </w:tc>
        <w:tc>
          <w:tcPr>
            <w:tcW w:w="0" w:type="dxa"/>
            <w:vAlign w:val="bottom"/>
          </w:tcPr>
          <w:p>
            <w:pPr>
              <w:spacing w:after="0"/>
              <w:rPr>
                <w:sz w:val="1"/>
                <w:szCs w:val="1"/>
                <w:color w:val="auto"/>
              </w:rPr>
            </w:pPr>
          </w:p>
        </w:tc>
      </w:tr>
      <w:tr>
        <w:trPr>
          <w:trHeight w:val="280"/>
        </w:trPr>
        <w:tc>
          <w:tcPr>
            <w:tcW w:w="5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gridSpan w:val="2"/>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spacing w:after="0"/>
              <w:rPr>
                <w:sz w:val="24"/>
                <w:szCs w:val="24"/>
                <w:color w:val="auto"/>
              </w:rPr>
            </w:pPr>
          </w:p>
        </w:tc>
        <w:tc>
          <w:tcPr>
            <w:tcW w:w="1480" w:type="dxa"/>
            <w:vAlign w:val="bottom"/>
            <w:gridSpan w:val="2"/>
          </w:tcPr>
          <w:p>
            <w:pPr>
              <w:jc w:val="right"/>
              <w:ind w:right="9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pacing w:after="0" w:line="200" w:lineRule="exact"/>
        <w:rPr>
          <w:sz w:val="20"/>
          <w:szCs w:val="20"/>
          <w:color w:val="auto"/>
        </w:rPr>
      </w:pP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1520"/>
          </w:cols>
          <w:pgMar w:left="240" w:top="660" w:right="13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accountants' review report)</w:t>
      </w:r>
    </w:p>
    <w:tbl>
      <w:tblPr>
        <w:tblLayout w:type="fixed"/>
        <w:tblInd w:w="0" w:type="dxa"/>
        <w:tblCellMar>
          <w:top w:w="0" w:type="dxa"/>
          <w:left w:w="0" w:type="dxa"/>
          <w:bottom w:w="0" w:type="dxa"/>
          <w:right w:w="0" w:type="dxa"/>
        </w:tblCellMar>
      </w:tblPr>
      <w:tr>
        <w:trPr>
          <w:trHeight w:val="280"/>
        </w:trPr>
        <w:tc>
          <w:tcPr>
            <w:tcW w:w="5920" w:type="dxa"/>
            <w:vAlign w:val="bottom"/>
          </w:tcPr>
          <w:p>
            <w:pPr>
              <w:ind w:left="900"/>
              <w:spacing w:after="0"/>
              <w:rPr>
                <w:sz w:val="20"/>
                <w:szCs w:val="20"/>
                <w:color w:val="auto"/>
              </w:rPr>
            </w:pPr>
            <w:r>
              <w:rPr>
                <w:rFonts w:ascii="Courier New" w:cs="Courier New" w:eastAsia="Courier New" w:hAnsi="Courier New"/>
                <w:sz w:val="17"/>
                <w:szCs w:val="17"/>
                <w:color w:val="auto"/>
              </w:rPr>
              <w:t>(unaudited)</w:t>
            </w:r>
          </w:p>
        </w:tc>
        <w:tc>
          <w:tcPr>
            <w:tcW w:w="1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5920" w:type="dxa"/>
            <w:vAlign w:val="bottom"/>
            <w:vMerge w:val="restart"/>
          </w:tcPr>
          <w:p>
            <w:pPr>
              <w:spacing w:after="0"/>
              <w:rPr>
                <w:sz w:val="20"/>
                <w:szCs w:val="20"/>
                <w:color w:val="auto"/>
              </w:rPr>
            </w:pPr>
            <w:r>
              <w:rPr>
                <w:rFonts w:ascii="Courier New" w:cs="Courier New" w:eastAsia="Courier New" w:hAnsi="Courier New"/>
                <w:sz w:val="17"/>
                <w:szCs w:val="17"/>
                <w:color w:val="auto"/>
              </w:rPr>
              <w:t>(In thousands)</w:t>
            </w:r>
          </w:p>
        </w:tc>
        <w:tc>
          <w:tcPr>
            <w:tcW w:w="3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Three months ended March 31,</w:t>
            </w:r>
          </w:p>
        </w:tc>
        <w:tc>
          <w:tcPr>
            <w:tcW w:w="0" w:type="dxa"/>
            <w:vAlign w:val="bottom"/>
          </w:tcPr>
          <w:p>
            <w:pPr>
              <w:spacing w:after="0"/>
              <w:rPr>
                <w:sz w:val="1"/>
                <w:szCs w:val="1"/>
                <w:color w:val="auto"/>
              </w:rPr>
            </w:pPr>
          </w:p>
        </w:tc>
      </w:tr>
      <w:tr>
        <w:trPr>
          <w:trHeight w:val="191"/>
        </w:trPr>
        <w:tc>
          <w:tcPr>
            <w:tcW w:w="5920" w:type="dxa"/>
            <w:vAlign w:val="bottom"/>
            <w:vMerge w:val="continue"/>
          </w:tcPr>
          <w:p>
            <w:pPr>
              <w:spacing w:after="0"/>
              <w:rPr>
                <w:sz w:val="16"/>
                <w:szCs w:val="16"/>
                <w:color w:val="auto"/>
              </w:rPr>
            </w:pPr>
          </w:p>
        </w:tc>
        <w:tc>
          <w:tcPr>
            <w:tcW w:w="198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1998</w:t>
            </w:r>
          </w:p>
        </w:tc>
        <w:tc>
          <w:tcPr>
            <w:tcW w:w="13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1997</w:t>
            </w:r>
          </w:p>
        </w:tc>
        <w:tc>
          <w:tcPr>
            <w:tcW w:w="0" w:type="dxa"/>
            <w:vAlign w:val="bottom"/>
          </w:tcPr>
          <w:p>
            <w:pPr>
              <w:spacing w:after="0"/>
              <w:rPr>
                <w:sz w:val="1"/>
                <w:szCs w:val="1"/>
                <w:color w:val="auto"/>
              </w:rPr>
            </w:pPr>
          </w:p>
        </w:tc>
      </w:tr>
      <w:tr>
        <w:trPr>
          <w:trHeight w:val="280"/>
        </w:trPr>
        <w:tc>
          <w:tcPr>
            <w:tcW w:w="5920" w:type="dxa"/>
            <w:vAlign w:val="bottom"/>
          </w:tcPr>
          <w:p>
            <w:pPr>
              <w:spacing w:after="0"/>
              <w:rPr>
                <w:sz w:val="24"/>
                <w:szCs w:val="24"/>
                <w:color w:val="auto"/>
              </w:rPr>
            </w:pPr>
          </w:p>
        </w:tc>
        <w:tc>
          <w:tcPr>
            <w:tcW w:w="19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592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1980" w:type="dxa"/>
            <w:vAlign w:val="bottom"/>
            <w:vMerge w:val="restart"/>
          </w:tcPr>
          <w:p>
            <w:pPr>
              <w:jc w:val="right"/>
              <w:ind w:right="357"/>
              <w:spacing w:after="0"/>
              <w:rPr>
                <w:sz w:val="20"/>
                <w:szCs w:val="20"/>
                <w:color w:val="auto"/>
              </w:rPr>
            </w:pPr>
            <w:r>
              <w:rPr>
                <w:rFonts w:ascii="Courier New" w:cs="Courier New" w:eastAsia="Courier New" w:hAnsi="Courier New"/>
                <w:sz w:val="17"/>
                <w:szCs w:val="17"/>
                <w:color w:val="auto"/>
              </w:rPr>
              <w:t>$ 12,694</w:t>
            </w:r>
          </w:p>
        </w:tc>
        <w:tc>
          <w:tcPr>
            <w:tcW w:w="136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  9,311</w:t>
            </w:r>
          </w:p>
        </w:tc>
        <w:tc>
          <w:tcPr>
            <w:tcW w:w="0" w:type="dxa"/>
            <w:vAlign w:val="bottom"/>
          </w:tcPr>
          <w:p>
            <w:pPr>
              <w:spacing w:after="0"/>
              <w:rPr>
                <w:sz w:val="1"/>
                <w:szCs w:val="1"/>
                <w:color w:val="auto"/>
              </w:rPr>
            </w:pPr>
          </w:p>
        </w:tc>
      </w:tr>
      <w:tr>
        <w:trPr>
          <w:trHeight w:val="191"/>
        </w:trPr>
        <w:tc>
          <w:tcPr>
            <w:tcW w:w="5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income</w:t>
            </w:r>
          </w:p>
        </w:tc>
        <w:tc>
          <w:tcPr>
            <w:tcW w:w="198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Adjustments to reconcile net income to net cash</w:t>
            </w:r>
          </w:p>
        </w:tc>
        <w:tc>
          <w:tcPr>
            <w:tcW w:w="19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provided by operations</w:t>
            </w:r>
          </w:p>
        </w:tc>
        <w:tc>
          <w:tcPr>
            <w:tcW w:w="1980" w:type="dxa"/>
            <w:vAlign w:val="bottom"/>
            <w:vMerge w:val="restart"/>
          </w:tcPr>
          <w:p>
            <w:pPr>
              <w:jc w:val="right"/>
              <w:ind w:right="357"/>
              <w:spacing w:after="0"/>
              <w:rPr>
                <w:sz w:val="20"/>
                <w:szCs w:val="20"/>
                <w:color w:val="auto"/>
              </w:rPr>
            </w:pPr>
            <w:r>
              <w:rPr>
                <w:rFonts w:ascii="Courier New" w:cs="Courier New" w:eastAsia="Courier New" w:hAnsi="Courier New"/>
                <w:sz w:val="17"/>
                <w:szCs w:val="17"/>
                <w:color w:val="auto"/>
              </w:rPr>
              <w:t>10,769</w:t>
            </w:r>
          </w:p>
        </w:tc>
        <w:tc>
          <w:tcPr>
            <w:tcW w:w="136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10,124</w:t>
            </w:r>
          </w:p>
        </w:tc>
        <w:tc>
          <w:tcPr>
            <w:tcW w:w="0" w:type="dxa"/>
            <w:vAlign w:val="bottom"/>
          </w:tcPr>
          <w:p>
            <w:pPr>
              <w:spacing w:after="0"/>
              <w:rPr>
                <w:sz w:val="1"/>
                <w:szCs w:val="1"/>
                <w:color w:val="auto"/>
              </w:rPr>
            </w:pPr>
          </w:p>
        </w:tc>
      </w:tr>
      <w:tr>
        <w:trPr>
          <w:trHeight w:val="191"/>
        </w:trPr>
        <w:tc>
          <w:tcPr>
            <w:tcW w:w="5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Depreciation and amortization</w:t>
            </w:r>
          </w:p>
        </w:tc>
        <w:tc>
          <w:tcPr>
            <w:tcW w:w="198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Rent abatements in lieu of leasehold improvements,</w:t>
            </w:r>
          </w:p>
        </w:tc>
        <w:tc>
          <w:tcPr>
            <w:tcW w:w="1980" w:type="dxa"/>
            <w:vAlign w:val="bottom"/>
            <w:vMerge w:val="restart"/>
          </w:tcPr>
          <w:p>
            <w:pPr>
              <w:jc w:val="right"/>
              <w:ind w:right="257"/>
              <w:spacing w:after="0"/>
              <w:rPr>
                <w:sz w:val="20"/>
                <w:szCs w:val="20"/>
                <w:color w:val="auto"/>
              </w:rPr>
            </w:pPr>
            <w:r>
              <w:rPr>
                <w:rFonts w:ascii="Courier New" w:cs="Courier New" w:eastAsia="Courier New" w:hAnsi="Courier New"/>
                <w:sz w:val="17"/>
                <w:szCs w:val="17"/>
                <w:color w:val="auto"/>
              </w:rPr>
              <w:t>(543)</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(178)</w:t>
            </w:r>
          </w:p>
        </w:tc>
        <w:tc>
          <w:tcPr>
            <w:tcW w:w="0" w:type="dxa"/>
            <w:vAlign w:val="bottom"/>
          </w:tcPr>
          <w:p>
            <w:pPr>
              <w:spacing w:after="0"/>
              <w:rPr>
                <w:sz w:val="1"/>
                <w:szCs w:val="1"/>
                <w:color w:val="auto"/>
              </w:rPr>
            </w:pPr>
          </w:p>
        </w:tc>
      </w:tr>
      <w:tr>
        <w:trPr>
          <w:trHeight w:val="191"/>
        </w:trPr>
        <w:tc>
          <w:tcPr>
            <w:tcW w:w="59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net of tenant improvements retired</w:t>
            </w:r>
          </w:p>
        </w:tc>
        <w:tc>
          <w:tcPr>
            <w:tcW w:w="198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Imputed interest and amortization of debt cost</w:t>
            </w:r>
          </w:p>
        </w:tc>
        <w:tc>
          <w:tcPr>
            <w:tcW w:w="19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207</w:t>
            </w:r>
          </w:p>
        </w:tc>
        <w:tc>
          <w:tcPr>
            <w:tcW w:w="13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165</w:t>
            </w:r>
          </w:p>
        </w:tc>
        <w:tc>
          <w:tcPr>
            <w:tcW w:w="0" w:type="dxa"/>
            <w:vAlign w:val="bottom"/>
          </w:tcPr>
          <w:p>
            <w:pPr>
              <w:spacing w:after="0"/>
              <w:rPr>
                <w:sz w:val="1"/>
                <w:szCs w:val="1"/>
                <w:color w:val="auto"/>
              </w:rPr>
            </w:pPr>
          </w:p>
        </w:tc>
      </w:tr>
      <w:tr>
        <w:trPr>
          <w:trHeight w:val="191"/>
        </w:trPr>
        <w:tc>
          <w:tcPr>
            <w:tcW w:w="5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Amortization of deferred compensation and</w:t>
            </w:r>
          </w:p>
        </w:tc>
        <w:tc>
          <w:tcPr>
            <w:tcW w:w="1980" w:type="dxa"/>
            <w:vAlign w:val="bottom"/>
            <w:vMerge w:val="restart"/>
          </w:tcPr>
          <w:p>
            <w:pPr>
              <w:jc w:val="right"/>
              <w:ind w:right="357"/>
              <w:spacing w:after="0"/>
              <w:rPr>
                <w:sz w:val="20"/>
                <w:szCs w:val="20"/>
                <w:color w:val="auto"/>
              </w:rPr>
            </w:pPr>
            <w:r>
              <w:rPr>
                <w:rFonts w:ascii="Courier New" w:cs="Courier New" w:eastAsia="Courier New" w:hAnsi="Courier New"/>
                <w:sz w:val="17"/>
                <w:szCs w:val="17"/>
                <w:color w:val="auto"/>
              </w:rPr>
              <w:t>527</w:t>
            </w:r>
          </w:p>
        </w:tc>
        <w:tc>
          <w:tcPr>
            <w:tcW w:w="136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172</w:t>
            </w:r>
          </w:p>
        </w:tc>
        <w:tc>
          <w:tcPr>
            <w:tcW w:w="0" w:type="dxa"/>
            <w:vAlign w:val="bottom"/>
          </w:tcPr>
          <w:p>
            <w:pPr>
              <w:spacing w:after="0"/>
              <w:rPr>
                <w:sz w:val="1"/>
                <w:szCs w:val="1"/>
                <w:color w:val="auto"/>
              </w:rPr>
            </w:pPr>
          </w:p>
        </w:tc>
      </w:tr>
      <w:tr>
        <w:trPr>
          <w:trHeight w:val="191"/>
        </w:trPr>
        <w:tc>
          <w:tcPr>
            <w:tcW w:w="59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forgiveness of officers' notes</w:t>
            </w:r>
          </w:p>
        </w:tc>
        <w:tc>
          <w:tcPr>
            <w:tcW w:w="198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Changes in assets and liabilities</w:t>
            </w:r>
          </w:p>
        </w:tc>
        <w:tc>
          <w:tcPr>
            <w:tcW w:w="1980" w:type="dxa"/>
            <w:vAlign w:val="bottom"/>
            <w:vMerge w:val="restart"/>
          </w:tcPr>
          <w:p>
            <w:pPr>
              <w:jc w:val="right"/>
              <w:ind w:right="357"/>
              <w:spacing w:after="0"/>
              <w:rPr>
                <w:sz w:val="20"/>
                <w:szCs w:val="20"/>
                <w:color w:val="auto"/>
              </w:rPr>
            </w:pPr>
            <w:r>
              <w:rPr>
                <w:rFonts w:ascii="Courier New" w:cs="Courier New" w:eastAsia="Courier New" w:hAnsi="Courier New"/>
                <w:sz w:val="17"/>
                <w:szCs w:val="17"/>
                <w:color w:val="auto"/>
              </w:rPr>
              <w:t>1,400</w:t>
            </w:r>
          </w:p>
        </w:tc>
        <w:tc>
          <w:tcPr>
            <w:tcW w:w="136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1,214</w:t>
            </w:r>
          </w:p>
        </w:tc>
        <w:tc>
          <w:tcPr>
            <w:tcW w:w="0" w:type="dxa"/>
            <w:vAlign w:val="bottom"/>
          </w:tcPr>
          <w:p>
            <w:pPr>
              <w:spacing w:after="0"/>
              <w:rPr>
                <w:sz w:val="1"/>
                <w:szCs w:val="1"/>
                <w:color w:val="auto"/>
              </w:rPr>
            </w:pPr>
          </w:p>
        </w:tc>
      </w:tr>
      <w:tr>
        <w:trPr>
          <w:trHeight w:val="191"/>
        </w:trPr>
        <w:tc>
          <w:tcPr>
            <w:tcW w:w="5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Decrease in accounts receivable</w:t>
            </w:r>
          </w:p>
        </w:tc>
        <w:tc>
          <w:tcPr>
            <w:tcW w:w="198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Increase in prepaid expenses and other</w:t>
            </w:r>
          </w:p>
        </w:tc>
        <w:tc>
          <w:tcPr>
            <w:tcW w:w="1980" w:type="dxa"/>
            <w:vAlign w:val="bottom"/>
            <w:vMerge w:val="restart"/>
          </w:tcPr>
          <w:p>
            <w:pPr>
              <w:jc w:val="right"/>
              <w:ind w:right="257"/>
              <w:spacing w:after="0"/>
              <w:rPr>
                <w:sz w:val="20"/>
                <w:szCs w:val="20"/>
                <w:color w:val="auto"/>
              </w:rPr>
            </w:pPr>
            <w:r>
              <w:rPr>
                <w:rFonts w:ascii="Courier New" w:cs="Courier New" w:eastAsia="Courier New" w:hAnsi="Courier New"/>
                <w:sz w:val="17"/>
                <w:szCs w:val="17"/>
                <w:color w:val="auto"/>
              </w:rPr>
              <w:t>(3,653)</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(152)</w:t>
            </w:r>
          </w:p>
        </w:tc>
        <w:tc>
          <w:tcPr>
            <w:tcW w:w="0" w:type="dxa"/>
            <w:vAlign w:val="bottom"/>
          </w:tcPr>
          <w:p>
            <w:pPr>
              <w:spacing w:after="0"/>
              <w:rPr>
                <w:sz w:val="1"/>
                <w:szCs w:val="1"/>
                <w:color w:val="auto"/>
              </w:rPr>
            </w:pPr>
          </w:p>
        </w:tc>
      </w:tr>
      <w:tr>
        <w:trPr>
          <w:trHeight w:val="191"/>
        </w:trPr>
        <w:tc>
          <w:tcPr>
            <w:tcW w:w="59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assets before depreciation and amortization</w:t>
            </w:r>
          </w:p>
        </w:tc>
        <w:tc>
          <w:tcPr>
            <w:tcW w:w="198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Increase (decrease) in operating accounts payable,</w:t>
            </w:r>
          </w:p>
        </w:tc>
        <w:tc>
          <w:tcPr>
            <w:tcW w:w="1980" w:type="dxa"/>
            <w:vAlign w:val="bottom"/>
            <w:vMerge w:val="restart"/>
          </w:tcPr>
          <w:p>
            <w:pPr>
              <w:jc w:val="right"/>
              <w:ind w:right="357"/>
              <w:spacing w:after="0"/>
              <w:rPr>
                <w:sz w:val="20"/>
                <w:szCs w:val="20"/>
                <w:color w:val="auto"/>
              </w:rPr>
            </w:pPr>
            <w:r>
              <w:rPr>
                <w:rFonts w:ascii="Courier New" w:cs="Courier New" w:eastAsia="Courier New" w:hAnsi="Courier New"/>
                <w:sz w:val="17"/>
                <w:szCs w:val="17"/>
                <w:color w:val="auto"/>
              </w:rPr>
              <w:t>5,037</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(548)</w:t>
            </w:r>
          </w:p>
        </w:tc>
        <w:tc>
          <w:tcPr>
            <w:tcW w:w="0" w:type="dxa"/>
            <w:vAlign w:val="bottom"/>
          </w:tcPr>
          <w:p>
            <w:pPr>
              <w:spacing w:after="0"/>
              <w:rPr>
                <w:sz w:val="1"/>
                <w:szCs w:val="1"/>
                <w:color w:val="auto"/>
              </w:rPr>
            </w:pPr>
          </w:p>
        </w:tc>
      </w:tr>
      <w:tr>
        <w:trPr>
          <w:trHeight w:val="191"/>
        </w:trPr>
        <w:tc>
          <w:tcPr>
            <w:tcW w:w="59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security deposits and prepaid rent</w:t>
            </w:r>
          </w:p>
        </w:tc>
        <w:tc>
          <w:tcPr>
            <w:tcW w:w="198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Decrease in accrued expenses</w:t>
            </w:r>
          </w:p>
        </w:tc>
        <w:tc>
          <w:tcPr>
            <w:tcW w:w="19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(5,126)</w:t>
            </w:r>
          </w:p>
        </w:tc>
        <w:tc>
          <w:tcPr>
            <w:tcW w:w="1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(2,900)</w:t>
            </w:r>
          </w:p>
        </w:tc>
        <w:tc>
          <w:tcPr>
            <w:tcW w:w="0" w:type="dxa"/>
            <w:vAlign w:val="bottom"/>
          </w:tcPr>
          <w:p>
            <w:pPr>
              <w:spacing w:after="0"/>
              <w:rPr>
                <w:sz w:val="1"/>
                <w:szCs w:val="1"/>
                <w:color w:val="auto"/>
              </w:rPr>
            </w:pPr>
          </w:p>
        </w:tc>
      </w:tr>
      <w:tr>
        <w:trPr>
          <w:trHeight w:val="191"/>
        </w:trPr>
        <w:tc>
          <w:tcPr>
            <w:tcW w:w="592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Net cash provided by operating activities</w:t>
            </w:r>
          </w:p>
        </w:tc>
        <w:tc>
          <w:tcPr>
            <w:tcW w:w="19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0"/>
        </w:trPr>
        <w:tc>
          <w:tcPr>
            <w:tcW w:w="5920" w:type="dxa"/>
            <w:vAlign w:val="bottom"/>
            <w:vMerge w:val="continue"/>
          </w:tcPr>
          <w:p>
            <w:pPr>
              <w:spacing w:after="0"/>
              <w:rPr>
                <w:sz w:val="24"/>
                <w:szCs w:val="24"/>
                <w:color w:val="auto"/>
              </w:rPr>
            </w:pPr>
          </w:p>
        </w:tc>
        <w:tc>
          <w:tcPr>
            <w:tcW w:w="198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21,312</w:t>
            </w:r>
          </w:p>
        </w:tc>
        <w:tc>
          <w:tcPr>
            <w:tcW w:w="13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17,208</w:t>
            </w:r>
          </w:p>
        </w:tc>
        <w:tc>
          <w:tcPr>
            <w:tcW w:w="0" w:type="dxa"/>
            <w:vAlign w:val="bottom"/>
          </w:tcPr>
          <w:p>
            <w:pPr>
              <w:spacing w:after="0"/>
              <w:rPr>
                <w:sz w:val="1"/>
                <w:szCs w:val="1"/>
                <w:color w:val="auto"/>
              </w:rPr>
            </w:pPr>
          </w:p>
        </w:tc>
      </w:tr>
      <w:tr>
        <w:trPr>
          <w:trHeight w:val="294"/>
        </w:trPr>
        <w:tc>
          <w:tcPr>
            <w:tcW w:w="5920" w:type="dxa"/>
            <w:vAlign w:val="bottom"/>
          </w:tcPr>
          <w:p>
            <w:pPr>
              <w:spacing w:after="0"/>
              <w:rPr>
                <w:sz w:val="20"/>
                <w:szCs w:val="20"/>
                <w:color w:val="auto"/>
              </w:rPr>
            </w:pPr>
            <w:r>
              <w:rPr>
                <w:rFonts w:ascii="Courier New" w:cs="Courier New" w:eastAsia="Courier New" w:hAnsi="Courier New"/>
                <w:sz w:val="17"/>
                <w:szCs w:val="17"/>
                <w:color w:val="auto"/>
              </w:rPr>
              <w:t>INVESTING ACTIVITIES</w:t>
            </w:r>
          </w:p>
        </w:tc>
        <w:tc>
          <w:tcPr>
            <w:tcW w:w="1980" w:type="dxa"/>
            <w:vAlign w:val="bottom"/>
            <w:vMerge w:val="restart"/>
          </w:tcPr>
          <w:p>
            <w:pPr>
              <w:jc w:val="right"/>
              <w:ind w:right="257"/>
              <w:spacing w:after="0"/>
              <w:rPr>
                <w:sz w:val="20"/>
                <w:szCs w:val="20"/>
                <w:color w:val="auto"/>
              </w:rPr>
            </w:pPr>
            <w:r>
              <w:rPr>
                <w:rFonts w:ascii="Courier New" w:cs="Courier New" w:eastAsia="Courier New" w:hAnsi="Courier New"/>
                <w:sz w:val="17"/>
                <w:szCs w:val="17"/>
                <w:color w:val="auto"/>
              </w:rPr>
              <w:t>(13,592)</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(96,550)</w:t>
            </w:r>
          </w:p>
        </w:tc>
        <w:tc>
          <w:tcPr>
            <w:tcW w:w="0" w:type="dxa"/>
            <w:vAlign w:val="bottom"/>
          </w:tcPr>
          <w:p>
            <w:pPr>
              <w:spacing w:after="0"/>
              <w:rPr>
                <w:sz w:val="1"/>
                <w:szCs w:val="1"/>
                <w:color w:val="auto"/>
              </w:rPr>
            </w:pPr>
          </w:p>
        </w:tc>
      </w:tr>
      <w:tr>
        <w:trPr>
          <w:trHeight w:val="191"/>
        </w:trPr>
        <w:tc>
          <w:tcPr>
            <w:tcW w:w="5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Acquisition of real estate</w:t>
            </w:r>
          </w:p>
        </w:tc>
        <w:tc>
          <w:tcPr>
            <w:tcW w:w="198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Capital expenditures</w:t>
            </w:r>
          </w:p>
        </w:tc>
        <w:tc>
          <w:tcPr>
            <w:tcW w:w="19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(15,251)</w:t>
            </w:r>
          </w:p>
        </w:tc>
        <w:tc>
          <w:tcPr>
            <w:tcW w:w="1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(9,369)</w:t>
            </w:r>
          </w:p>
        </w:tc>
        <w:tc>
          <w:tcPr>
            <w:tcW w:w="0" w:type="dxa"/>
            <w:vAlign w:val="bottom"/>
          </w:tcPr>
          <w:p>
            <w:pPr>
              <w:spacing w:after="0"/>
              <w:rPr>
                <w:sz w:val="1"/>
                <w:szCs w:val="1"/>
                <w:color w:val="auto"/>
              </w:rPr>
            </w:pPr>
          </w:p>
        </w:tc>
      </w:tr>
      <w:tr>
        <w:trPr>
          <w:trHeight w:val="191"/>
        </w:trPr>
        <w:tc>
          <w:tcPr>
            <w:tcW w:w="5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Application of deposit on real estate</w:t>
            </w:r>
          </w:p>
        </w:tc>
        <w:tc>
          <w:tcPr>
            <w:tcW w:w="198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23,447</w:t>
            </w:r>
          </w:p>
        </w:tc>
        <w:tc>
          <w:tcPr>
            <w:tcW w:w="0" w:type="dxa"/>
            <w:vAlign w:val="bottom"/>
          </w:tcPr>
          <w:p>
            <w:pPr>
              <w:spacing w:after="0"/>
              <w:rPr>
                <w:sz w:val="1"/>
                <w:szCs w:val="1"/>
                <w:color w:val="auto"/>
              </w:rPr>
            </w:pPr>
          </w:p>
        </w:tc>
      </w:tr>
      <w:tr>
        <w:trPr>
          <w:trHeight w:val="191"/>
        </w:trPr>
        <w:tc>
          <w:tcPr>
            <w:tcW w:w="5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increase in notes receivable</w:t>
            </w:r>
          </w:p>
        </w:tc>
        <w:tc>
          <w:tcPr>
            <w:tcW w:w="19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(2,543)</w:t>
            </w:r>
          </w:p>
        </w:tc>
        <w:tc>
          <w:tcPr>
            <w:tcW w:w="1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(9,545)</w:t>
            </w:r>
          </w:p>
        </w:tc>
        <w:tc>
          <w:tcPr>
            <w:tcW w:w="0" w:type="dxa"/>
            <w:vAlign w:val="bottom"/>
          </w:tcPr>
          <w:p>
            <w:pPr>
              <w:spacing w:after="0"/>
              <w:rPr>
                <w:sz w:val="1"/>
                <w:szCs w:val="1"/>
                <w:color w:val="auto"/>
              </w:rPr>
            </w:pPr>
          </w:p>
        </w:tc>
      </w:tr>
      <w:tr>
        <w:trPr>
          <w:trHeight w:val="191"/>
        </w:trPr>
        <w:tc>
          <w:tcPr>
            <w:tcW w:w="592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Net cash used in investing activities</w:t>
            </w:r>
          </w:p>
        </w:tc>
        <w:tc>
          <w:tcPr>
            <w:tcW w:w="19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0"/>
        </w:trPr>
        <w:tc>
          <w:tcPr>
            <w:tcW w:w="5920" w:type="dxa"/>
            <w:vAlign w:val="bottom"/>
            <w:vMerge w:val="continue"/>
          </w:tcPr>
          <w:p>
            <w:pPr>
              <w:spacing w:after="0"/>
              <w:rPr>
                <w:sz w:val="24"/>
                <w:szCs w:val="24"/>
                <w:color w:val="auto"/>
              </w:rPr>
            </w:pPr>
          </w:p>
        </w:tc>
        <w:tc>
          <w:tcPr>
            <w:tcW w:w="19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(31,386)</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(92,017)</w:t>
            </w:r>
          </w:p>
        </w:tc>
        <w:tc>
          <w:tcPr>
            <w:tcW w:w="0" w:type="dxa"/>
            <w:vAlign w:val="bottom"/>
          </w:tcPr>
          <w:p>
            <w:pPr>
              <w:spacing w:after="0"/>
              <w:rPr>
                <w:sz w:val="1"/>
                <w:szCs w:val="1"/>
                <w:color w:val="auto"/>
              </w:rPr>
            </w:pPr>
          </w:p>
        </w:tc>
      </w:tr>
      <w:tr>
        <w:trPr>
          <w:trHeight w:val="294"/>
        </w:trPr>
        <w:tc>
          <w:tcPr>
            <w:tcW w:w="5920" w:type="dxa"/>
            <w:vAlign w:val="bottom"/>
          </w:tcPr>
          <w:p>
            <w:pPr>
              <w:spacing w:after="0"/>
              <w:rPr>
                <w:sz w:val="20"/>
                <w:szCs w:val="20"/>
                <w:color w:val="auto"/>
              </w:rPr>
            </w:pPr>
            <w:r>
              <w:rPr>
                <w:rFonts w:ascii="Courier New" w:cs="Courier New" w:eastAsia="Courier New" w:hAnsi="Courier New"/>
                <w:sz w:val="17"/>
                <w:szCs w:val="17"/>
                <w:color w:val="auto"/>
              </w:rPr>
              <w:t>FINANCING ACTIVITIES</w:t>
            </w:r>
          </w:p>
        </w:tc>
        <w:tc>
          <w:tcPr>
            <w:tcW w:w="1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Regular payments on mortgages, capital leases, and</w:t>
            </w:r>
          </w:p>
        </w:tc>
        <w:tc>
          <w:tcPr>
            <w:tcW w:w="1980" w:type="dxa"/>
            <w:vAlign w:val="bottom"/>
            <w:vMerge w:val="restart"/>
          </w:tcPr>
          <w:p>
            <w:pPr>
              <w:jc w:val="right"/>
              <w:ind w:right="257"/>
              <w:spacing w:after="0"/>
              <w:rPr>
                <w:sz w:val="20"/>
                <w:szCs w:val="20"/>
                <w:color w:val="auto"/>
              </w:rPr>
            </w:pPr>
            <w:r>
              <w:rPr>
                <w:rFonts w:ascii="Courier New" w:cs="Courier New" w:eastAsia="Courier New" w:hAnsi="Courier New"/>
                <w:sz w:val="17"/>
                <w:szCs w:val="17"/>
                <w:color w:val="auto"/>
              </w:rPr>
              <w:t>(701)</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(654)</w:t>
            </w:r>
          </w:p>
        </w:tc>
        <w:tc>
          <w:tcPr>
            <w:tcW w:w="0" w:type="dxa"/>
            <w:vAlign w:val="bottom"/>
          </w:tcPr>
          <w:p>
            <w:pPr>
              <w:spacing w:after="0"/>
              <w:rPr>
                <w:sz w:val="1"/>
                <w:szCs w:val="1"/>
                <w:color w:val="auto"/>
              </w:rPr>
            </w:pPr>
          </w:p>
        </w:tc>
      </w:tr>
      <w:tr>
        <w:trPr>
          <w:trHeight w:val="191"/>
        </w:trPr>
        <w:tc>
          <w:tcPr>
            <w:tcW w:w="59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notes payable</w:t>
            </w:r>
          </w:p>
        </w:tc>
        <w:tc>
          <w:tcPr>
            <w:tcW w:w="198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Increase (decrease) in short-term debt, net</w:t>
            </w:r>
          </w:p>
        </w:tc>
        <w:tc>
          <w:tcPr>
            <w:tcW w:w="19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(51,790)</w:t>
            </w:r>
          </w:p>
        </w:tc>
        <w:tc>
          <w:tcPr>
            <w:tcW w:w="13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4,845</w:t>
            </w:r>
          </w:p>
        </w:tc>
        <w:tc>
          <w:tcPr>
            <w:tcW w:w="0" w:type="dxa"/>
            <w:vAlign w:val="bottom"/>
          </w:tcPr>
          <w:p>
            <w:pPr>
              <w:spacing w:after="0"/>
              <w:rPr>
                <w:sz w:val="1"/>
                <w:szCs w:val="1"/>
                <w:color w:val="auto"/>
              </w:rPr>
            </w:pPr>
          </w:p>
        </w:tc>
      </w:tr>
      <w:tr>
        <w:trPr>
          <w:trHeight w:val="191"/>
        </w:trPr>
        <w:tc>
          <w:tcPr>
            <w:tcW w:w="5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Issuance of senior notes, net of costs</w:t>
            </w:r>
          </w:p>
        </w:tc>
        <w:tc>
          <w:tcPr>
            <w:tcW w:w="19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79,540</w:t>
            </w:r>
          </w:p>
        </w:tc>
        <w:tc>
          <w:tcPr>
            <w:tcW w:w="13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5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Dividends paid</w:t>
            </w:r>
          </w:p>
        </w:tc>
        <w:tc>
          <w:tcPr>
            <w:tcW w:w="19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(18,383)</w:t>
            </w:r>
          </w:p>
        </w:tc>
        <w:tc>
          <w:tcPr>
            <w:tcW w:w="1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(14,403)</w:t>
            </w:r>
          </w:p>
        </w:tc>
        <w:tc>
          <w:tcPr>
            <w:tcW w:w="0" w:type="dxa"/>
            <w:vAlign w:val="bottom"/>
          </w:tcPr>
          <w:p>
            <w:pPr>
              <w:spacing w:after="0"/>
              <w:rPr>
                <w:sz w:val="1"/>
                <w:szCs w:val="1"/>
                <w:color w:val="auto"/>
              </w:rPr>
            </w:pPr>
          </w:p>
        </w:tc>
      </w:tr>
      <w:tr>
        <w:trPr>
          <w:trHeight w:val="191"/>
        </w:trPr>
        <w:tc>
          <w:tcPr>
            <w:tcW w:w="5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Issuance of shares of beneficial interest</w:t>
            </w:r>
          </w:p>
        </w:tc>
        <w:tc>
          <w:tcPr>
            <w:tcW w:w="19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1,093</w:t>
            </w:r>
          </w:p>
        </w:tc>
        <w:tc>
          <w:tcPr>
            <w:tcW w:w="13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85,575</w:t>
            </w:r>
          </w:p>
        </w:tc>
        <w:tc>
          <w:tcPr>
            <w:tcW w:w="0" w:type="dxa"/>
            <w:vAlign w:val="bottom"/>
          </w:tcPr>
          <w:p>
            <w:pPr>
              <w:spacing w:after="0"/>
              <w:rPr>
                <w:sz w:val="1"/>
                <w:szCs w:val="1"/>
                <w:color w:val="auto"/>
              </w:rPr>
            </w:pPr>
          </w:p>
        </w:tc>
      </w:tr>
      <w:tr>
        <w:trPr>
          <w:trHeight w:val="191"/>
        </w:trPr>
        <w:tc>
          <w:tcPr>
            <w:tcW w:w="59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(Decrease) increase in minority interest</w:t>
            </w:r>
          </w:p>
        </w:tc>
        <w:tc>
          <w:tcPr>
            <w:tcW w:w="19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(838)</w:t>
            </w:r>
          </w:p>
        </w:tc>
        <w:tc>
          <w:tcPr>
            <w:tcW w:w="13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167</w:t>
            </w:r>
          </w:p>
        </w:tc>
        <w:tc>
          <w:tcPr>
            <w:tcW w:w="0" w:type="dxa"/>
            <w:vAlign w:val="bottom"/>
          </w:tcPr>
          <w:p>
            <w:pPr>
              <w:spacing w:after="0"/>
              <w:rPr>
                <w:sz w:val="1"/>
                <w:szCs w:val="1"/>
                <w:color w:val="auto"/>
              </w:rPr>
            </w:pPr>
          </w:p>
        </w:tc>
      </w:tr>
      <w:tr>
        <w:trPr>
          <w:trHeight w:val="191"/>
        </w:trPr>
        <w:tc>
          <w:tcPr>
            <w:tcW w:w="592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Net cash provided by financing activities</w:t>
            </w:r>
          </w:p>
        </w:tc>
        <w:tc>
          <w:tcPr>
            <w:tcW w:w="19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5920" w:type="dxa"/>
            <w:vAlign w:val="bottom"/>
            <w:vMerge w:val="continue"/>
          </w:tcPr>
          <w:p>
            <w:pPr>
              <w:spacing w:after="0"/>
              <w:rPr>
                <w:sz w:val="16"/>
                <w:szCs w:val="16"/>
                <w:color w:val="auto"/>
              </w:rPr>
            </w:pPr>
          </w:p>
        </w:tc>
        <w:tc>
          <w:tcPr>
            <w:tcW w:w="19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8,921</w:t>
            </w:r>
          </w:p>
        </w:tc>
        <w:tc>
          <w:tcPr>
            <w:tcW w:w="13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75,530</w:t>
            </w:r>
          </w:p>
        </w:tc>
        <w:tc>
          <w:tcPr>
            <w:tcW w:w="0" w:type="dxa"/>
            <w:vAlign w:val="bottom"/>
          </w:tcPr>
          <w:p>
            <w:pPr>
              <w:spacing w:after="0"/>
              <w:rPr>
                <w:sz w:val="1"/>
                <w:szCs w:val="1"/>
                <w:color w:val="auto"/>
              </w:rPr>
            </w:pPr>
          </w:p>
        </w:tc>
      </w:tr>
      <w:tr>
        <w:trPr>
          <w:trHeight w:val="191"/>
        </w:trPr>
        <w:tc>
          <w:tcPr>
            <w:tcW w:w="5920" w:type="dxa"/>
            <w:vAlign w:val="bottom"/>
            <w:vMerge w:val="restart"/>
          </w:tcPr>
          <w:p>
            <w:pPr>
              <w:spacing w:after="0"/>
              <w:rPr>
                <w:sz w:val="20"/>
                <w:szCs w:val="20"/>
                <w:color w:val="auto"/>
              </w:rPr>
            </w:pPr>
            <w:r>
              <w:rPr>
                <w:rFonts w:ascii="Courier New" w:cs="Courier New" w:eastAsia="Courier New" w:hAnsi="Courier New"/>
                <w:sz w:val="17"/>
                <w:szCs w:val="17"/>
                <w:color w:val="auto"/>
              </w:rPr>
              <w:t>Increase (decrease) in cash</w:t>
            </w:r>
          </w:p>
        </w:tc>
        <w:tc>
          <w:tcPr>
            <w:tcW w:w="19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0"/>
        </w:trPr>
        <w:tc>
          <w:tcPr>
            <w:tcW w:w="5920" w:type="dxa"/>
            <w:vAlign w:val="bottom"/>
            <w:vMerge w:val="continue"/>
          </w:tcPr>
          <w:p>
            <w:pPr>
              <w:spacing w:after="0"/>
              <w:rPr>
                <w:sz w:val="24"/>
                <w:szCs w:val="24"/>
                <w:color w:val="auto"/>
              </w:rPr>
            </w:pPr>
          </w:p>
        </w:tc>
        <w:tc>
          <w:tcPr>
            <w:tcW w:w="19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(1,153)</w:t>
            </w:r>
          </w:p>
        </w:tc>
        <w:tc>
          <w:tcPr>
            <w:tcW w:w="13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721</w:t>
            </w:r>
          </w:p>
        </w:tc>
        <w:tc>
          <w:tcPr>
            <w:tcW w:w="0" w:type="dxa"/>
            <w:vAlign w:val="bottom"/>
          </w:tcPr>
          <w:p>
            <w:pPr>
              <w:spacing w:after="0"/>
              <w:rPr>
                <w:sz w:val="1"/>
                <w:szCs w:val="1"/>
                <w:color w:val="auto"/>
              </w:rPr>
            </w:pPr>
          </w:p>
        </w:tc>
      </w:tr>
      <w:tr>
        <w:trPr>
          <w:trHeight w:val="294"/>
        </w:trPr>
        <w:tc>
          <w:tcPr>
            <w:tcW w:w="5920" w:type="dxa"/>
            <w:vAlign w:val="bottom"/>
          </w:tcPr>
          <w:p>
            <w:pPr>
              <w:spacing w:after="0"/>
              <w:rPr>
                <w:sz w:val="20"/>
                <w:szCs w:val="20"/>
                <w:color w:val="auto"/>
              </w:rPr>
            </w:pPr>
            <w:r>
              <w:rPr>
                <w:rFonts w:ascii="Courier New" w:cs="Courier New" w:eastAsia="Courier New" w:hAnsi="Courier New"/>
                <w:sz w:val="17"/>
                <w:szCs w:val="17"/>
                <w:color w:val="auto"/>
              </w:rPr>
              <w:t>Cash at beginning of period</w:t>
            </w:r>
          </w:p>
        </w:tc>
        <w:tc>
          <w:tcPr>
            <w:tcW w:w="198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17,043</w:t>
            </w:r>
          </w:p>
        </w:tc>
        <w:tc>
          <w:tcPr>
            <w:tcW w:w="13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11,041</w:t>
            </w:r>
          </w:p>
        </w:tc>
        <w:tc>
          <w:tcPr>
            <w:tcW w:w="0" w:type="dxa"/>
            <w:vAlign w:val="bottom"/>
          </w:tcPr>
          <w:p>
            <w:pPr>
              <w:spacing w:after="0"/>
              <w:rPr>
                <w:sz w:val="1"/>
                <w:szCs w:val="1"/>
                <w:color w:val="auto"/>
              </w:rPr>
            </w:pPr>
          </w:p>
        </w:tc>
      </w:tr>
      <w:tr>
        <w:trPr>
          <w:trHeight w:val="191"/>
        </w:trPr>
        <w:tc>
          <w:tcPr>
            <w:tcW w:w="5920" w:type="dxa"/>
            <w:vAlign w:val="bottom"/>
            <w:vMerge w:val="restart"/>
          </w:tcPr>
          <w:p>
            <w:pPr>
              <w:spacing w:after="0"/>
              <w:rPr>
                <w:sz w:val="20"/>
                <w:szCs w:val="20"/>
                <w:color w:val="auto"/>
              </w:rPr>
            </w:pPr>
            <w:r>
              <w:rPr>
                <w:rFonts w:ascii="Courier New" w:cs="Courier New" w:eastAsia="Courier New" w:hAnsi="Courier New"/>
                <w:sz w:val="17"/>
                <w:szCs w:val="17"/>
                <w:color w:val="auto"/>
              </w:rPr>
              <w:t>Cash at end of period</w:t>
            </w:r>
          </w:p>
        </w:tc>
        <w:tc>
          <w:tcPr>
            <w:tcW w:w="19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5920" w:type="dxa"/>
            <w:vAlign w:val="bottom"/>
            <w:vMerge w:val="continue"/>
          </w:tcPr>
          <w:p>
            <w:pPr>
              <w:spacing w:after="0"/>
              <w:rPr>
                <w:sz w:val="16"/>
                <w:szCs w:val="16"/>
                <w:color w:val="auto"/>
              </w:rPr>
            </w:pPr>
          </w:p>
        </w:tc>
        <w:tc>
          <w:tcPr>
            <w:tcW w:w="19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$ 15,890</w:t>
            </w:r>
          </w:p>
        </w:tc>
        <w:tc>
          <w:tcPr>
            <w:tcW w:w="13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$ 11,762</w:t>
            </w:r>
          </w:p>
        </w:tc>
        <w:tc>
          <w:tcPr>
            <w:tcW w:w="0" w:type="dxa"/>
            <w:vAlign w:val="bottom"/>
          </w:tcPr>
          <w:p>
            <w:pPr>
              <w:spacing w:after="0"/>
              <w:rPr>
                <w:sz w:val="1"/>
                <w:szCs w:val="1"/>
                <w:color w:val="auto"/>
              </w:rPr>
            </w:pPr>
          </w:p>
        </w:tc>
      </w:tr>
      <w:tr>
        <w:trPr>
          <w:trHeight w:val="280"/>
        </w:trPr>
        <w:tc>
          <w:tcPr>
            <w:tcW w:w="5920" w:type="dxa"/>
            <w:vAlign w:val="bottom"/>
          </w:tcPr>
          <w:p>
            <w:pPr>
              <w:spacing w:after="0"/>
              <w:rPr>
                <w:sz w:val="24"/>
                <w:szCs w:val="24"/>
                <w:color w:val="auto"/>
              </w:rPr>
            </w:pPr>
          </w:p>
        </w:tc>
        <w:tc>
          <w:tcPr>
            <w:tcW w:w="198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60" w:right="1440" w:bottom="1440" w:gutter="0" w:footer="0" w:header="0"/>
        </w:sectPr>
      </w:pPr>
    </w:p>
    <w:bookmarkStart w:id="8" w:name="page9"/>
    <w:bookmarkEnd w:id="8"/>
    <w:p>
      <w:pPr>
        <w:ind w:left="23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19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March 31, 1998</w:t>
      </w:r>
    </w:p>
    <w:p>
      <w:pPr>
        <w:spacing w:after="0" w:line="27"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(see accountants' review report)</w:t>
      </w:r>
    </w:p>
    <w:p>
      <w:pPr>
        <w:jc w:val="center"/>
        <w:ind w:right="2359"/>
        <w:spacing w:after="0"/>
        <w:rPr>
          <w:sz w:val="20"/>
          <w:szCs w:val="20"/>
          <w:color w:val="auto"/>
        </w:rPr>
      </w:pPr>
      <w:r>
        <w:rPr>
          <w:rFonts w:ascii="Courier New" w:cs="Courier New" w:eastAsia="Courier New" w:hAnsi="Courier New"/>
          <w:sz w:val="17"/>
          <w:szCs w:val="17"/>
          <w:color w:val="auto"/>
        </w:rPr>
        <w:t>(unaudited)</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A - ACCOUNTING POLICIES AND OTHER DATA</w:t>
      </w:r>
    </w:p>
    <w:p>
      <w:pPr>
        <w:spacing w:after="0" w:line="190" w:lineRule="exact"/>
        <w:rPr>
          <w:sz w:val="20"/>
          <w:szCs w:val="20"/>
          <w:color w:val="auto"/>
        </w:rPr>
      </w:pPr>
    </w:p>
    <w:p>
      <w:pPr>
        <w:ind w:right="2459" w:firstLine="497"/>
        <w:spacing w:after="0" w:line="292" w:lineRule="auto"/>
        <w:rPr>
          <w:sz w:val="20"/>
          <w:szCs w:val="20"/>
          <w:color w:val="auto"/>
        </w:rPr>
      </w:pPr>
      <w:r>
        <w:rPr>
          <w:rFonts w:ascii="Courier New" w:cs="Courier New" w:eastAsia="Courier New" w:hAnsi="Courier New"/>
          <w:sz w:val="17"/>
          <w:szCs w:val="17"/>
          <w:color w:val="auto"/>
        </w:rPr>
        <w:t>Reference should be made to the notes to financial statements included in the Annual Report to shareholders for the year ended December 31, 1997 which contain the Trust's accounting policies and other data.</w:t>
      </w:r>
    </w:p>
    <w:p>
      <w:pPr>
        <w:spacing w:after="0" w:line="62"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The following table sets forth the reconciliation between basic and diluted</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EPS: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480" w:type="dxa"/>
            <w:vAlign w:val="bottom"/>
          </w:tcPr>
          <w:p>
            <w:pPr>
              <w:spacing w:after="0"/>
              <w:rPr>
                <w:sz w:val="24"/>
                <w:szCs w:val="24"/>
                <w:color w:val="auto"/>
              </w:rPr>
            </w:pPr>
          </w:p>
        </w:tc>
        <w:tc>
          <w:tcPr>
            <w:tcW w:w="11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1998</w:t>
            </w:r>
          </w:p>
        </w:tc>
        <w:tc>
          <w:tcPr>
            <w:tcW w:w="8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1997</w:t>
            </w:r>
          </w:p>
        </w:tc>
        <w:tc>
          <w:tcPr>
            <w:tcW w:w="0" w:type="dxa"/>
            <w:vAlign w:val="bottom"/>
          </w:tcPr>
          <w:p>
            <w:pPr>
              <w:spacing w:after="0"/>
              <w:rPr>
                <w:sz w:val="1"/>
                <w:szCs w:val="1"/>
                <w:color w:val="auto"/>
              </w:rPr>
            </w:pPr>
          </w:p>
        </w:tc>
      </w:tr>
      <w:tr>
        <w:trPr>
          <w:trHeight w:val="294"/>
        </w:trPr>
        <w:tc>
          <w:tcPr>
            <w:tcW w:w="3480" w:type="dxa"/>
            <w:vAlign w:val="bottom"/>
          </w:tcPr>
          <w:p>
            <w:pPr>
              <w:spacing w:after="0"/>
              <w:rPr>
                <w:sz w:val="20"/>
                <w:szCs w:val="20"/>
                <w:color w:val="auto"/>
              </w:rPr>
            </w:pPr>
            <w:r>
              <w:rPr>
                <w:rFonts w:ascii="Courier New" w:cs="Courier New" w:eastAsia="Courier New" w:hAnsi="Courier New"/>
                <w:sz w:val="17"/>
                <w:szCs w:val="17"/>
                <w:color w:val="auto"/>
              </w:rPr>
              <w:t>NUMERATOR</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 available for common</w:t>
            </w:r>
          </w:p>
        </w:tc>
        <w:tc>
          <w:tcPr>
            <w:tcW w:w="114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$10,706</w:t>
            </w:r>
          </w:p>
        </w:tc>
        <w:tc>
          <w:tcPr>
            <w:tcW w:w="8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$ 9,311</w:t>
            </w:r>
          </w:p>
        </w:tc>
        <w:tc>
          <w:tcPr>
            <w:tcW w:w="0" w:type="dxa"/>
            <w:vAlign w:val="bottom"/>
          </w:tcPr>
          <w:p>
            <w:pPr>
              <w:spacing w:after="0"/>
              <w:rPr>
                <w:sz w:val="1"/>
                <w:szCs w:val="1"/>
                <w:color w:val="auto"/>
              </w:rPr>
            </w:pPr>
          </w:p>
        </w:tc>
      </w:tr>
      <w:tr>
        <w:trPr>
          <w:trHeight w:val="191"/>
        </w:trPr>
        <w:tc>
          <w:tcPr>
            <w:tcW w:w="3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shareholders - basic</w:t>
            </w:r>
          </w:p>
        </w:tc>
        <w:tc>
          <w:tcPr>
            <w:tcW w:w="1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attributable to operating</w:t>
            </w:r>
          </w:p>
        </w:tc>
        <w:tc>
          <w:tcPr>
            <w:tcW w:w="114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207</w:t>
            </w:r>
          </w:p>
        </w:tc>
        <w:tc>
          <w:tcPr>
            <w:tcW w:w="86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partnership units</w:t>
            </w:r>
          </w:p>
        </w:tc>
        <w:tc>
          <w:tcPr>
            <w:tcW w:w="1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48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 available for common</w:t>
            </w:r>
          </w:p>
        </w:tc>
        <w:tc>
          <w:tcPr>
            <w:tcW w:w="11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2"/>
        </w:trPr>
        <w:tc>
          <w:tcPr>
            <w:tcW w:w="3480" w:type="dxa"/>
            <w:vAlign w:val="bottom"/>
            <w:vMerge w:val="continue"/>
          </w:tcPr>
          <w:p>
            <w:pPr>
              <w:spacing w:after="0"/>
              <w:rPr>
                <w:sz w:val="8"/>
                <w:szCs w:val="8"/>
                <w:color w:val="auto"/>
              </w:rPr>
            </w:pPr>
          </w:p>
        </w:tc>
        <w:tc>
          <w:tcPr>
            <w:tcW w:w="114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$10,913</w:t>
            </w:r>
          </w:p>
        </w:tc>
        <w:tc>
          <w:tcPr>
            <w:tcW w:w="8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$ 9,311</w:t>
            </w:r>
          </w:p>
        </w:tc>
        <w:tc>
          <w:tcPr>
            <w:tcW w:w="0" w:type="dxa"/>
            <w:vAlign w:val="bottom"/>
          </w:tcPr>
          <w:p>
            <w:pPr>
              <w:spacing w:after="0"/>
              <w:rPr>
                <w:sz w:val="1"/>
                <w:szCs w:val="1"/>
                <w:color w:val="auto"/>
              </w:rPr>
            </w:pPr>
          </w:p>
        </w:tc>
      </w:tr>
      <w:tr>
        <w:trPr>
          <w:trHeight w:val="280"/>
        </w:trPr>
        <w:tc>
          <w:tcPr>
            <w:tcW w:w="3480" w:type="dxa"/>
            <w:vAlign w:val="bottom"/>
          </w:tcPr>
          <w:p>
            <w:pPr>
              <w:ind w:left="300"/>
              <w:spacing w:after="0"/>
              <w:rPr>
                <w:sz w:val="20"/>
                <w:szCs w:val="20"/>
                <w:color w:val="auto"/>
              </w:rPr>
            </w:pPr>
            <w:r>
              <w:rPr>
                <w:rFonts w:ascii="Courier New" w:cs="Courier New" w:eastAsia="Courier New" w:hAnsi="Courier New"/>
                <w:sz w:val="17"/>
                <w:szCs w:val="17"/>
                <w:color w:val="auto"/>
              </w:rPr>
              <w:t>shareholders - diluted</w:t>
            </w:r>
          </w:p>
        </w:tc>
        <w:tc>
          <w:tcPr>
            <w:tcW w:w="1140" w:type="dxa"/>
            <w:vAlign w:val="bottom"/>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480" w:type="dxa"/>
            <w:vAlign w:val="bottom"/>
          </w:tcPr>
          <w:p>
            <w:pPr>
              <w:spacing w:after="0"/>
              <w:rPr>
                <w:sz w:val="20"/>
                <w:szCs w:val="20"/>
                <w:color w:val="auto"/>
              </w:rPr>
            </w:pPr>
            <w:r>
              <w:rPr>
                <w:rFonts w:ascii="Courier New" w:cs="Courier New" w:eastAsia="Courier New" w:hAnsi="Courier New"/>
                <w:sz w:val="17"/>
                <w:szCs w:val="17"/>
                <w:color w:val="auto"/>
              </w:rPr>
              <w:t>DENOMINATOR</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Denominator for basic EPS-</w:t>
            </w:r>
          </w:p>
        </w:tc>
        <w:tc>
          <w:tcPr>
            <w:tcW w:w="114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38,949</w:t>
            </w:r>
          </w:p>
        </w:tc>
        <w:tc>
          <w:tcPr>
            <w:tcW w:w="8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37,483</w:t>
            </w:r>
          </w:p>
        </w:tc>
        <w:tc>
          <w:tcPr>
            <w:tcW w:w="0" w:type="dxa"/>
            <w:vAlign w:val="bottom"/>
          </w:tcPr>
          <w:p>
            <w:pPr>
              <w:spacing w:after="0"/>
              <w:rPr>
                <w:sz w:val="1"/>
                <w:szCs w:val="1"/>
                <w:color w:val="auto"/>
              </w:rPr>
            </w:pPr>
          </w:p>
        </w:tc>
      </w:tr>
      <w:tr>
        <w:trPr>
          <w:trHeight w:val="191"/>
        </w:trPr>
        <w:tc>
          <w:tcPr>
            <w:tcW w:w="3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weighted average shares</w:t>
            </w:r>
          </w:p>
        </w:tc>
        <w:tc>
          <w:tcPr>
            <w:tcW w:w="1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Effect of dilutive securities</w:t>
            </w:r>
          </w:p>
        </w:tc>
        <w:tc>
          <w:tcPr>
            <w:tcW w:w="114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440</w:t>
            </w:r>
          </w:p>
        </w:tc>
        <w:tc>
          <w:tcPr>
            <w:tcW w:w="8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550</w:t>
            </w:r>
          </w:p>
        </w:tc>
        <w:tc>
          <w:tcPr>
            <w:tcW w:w="0" w:type="dxa"/>
            <w:vAlign w:val="bottom"/>
          </w:tcPr>
          <w:p>
            <w:pPr>
              <w:spacing w:after="0"/>
              <w:rPr>
                <w:sz w:val="1"/>
                <w:szCs w:val="1"/>
                <w:color w:val="auto"/>
              </w:rPr>
            </w:pPr>
          </w:p>
        </w:tc>
      </w:tr>
      <w:tr>
        <w:trPr>
          <w:trHeight w:val="191"/>
        </w:trPr>
        <w:tc>
          <w:tcPr>
            <w:tcW w:w="3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Stock options and awards</w:t>
            </w:r>
          </w:p>
        </w:tc>
        <w:tc>
          <w:tcPr>
            <w:tcW w:w="1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Operating partnership units</w:t>
            </w: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481</w:t>
            </w:r>
          </w:p>
        </w:tc>
        <w:tc>
          <w:tcPr>
            <w:tcW w:w="8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3480" w:type="dxa"/>
            <w:vAlign w:val="bottom"/>
            <w:vMerge w:val="restart"/>
          </w:tcPr>
          <w:p>
            <w:pPr>
              <w:spacing w:after="0"/>
              <w:rPr>
                <w:sz w:val="20"/>
                <w:szCs w:val="20"/>
                <w:color w:val="auto"/>
              </w:rPr>
            </w:pPr>
            <w:r>
              <w:rPr>
                <w:rFonts w:ascii="Courier New" w:cs="Courier New" w:eastAsia="Courier New" w:hAnsi="Courier New"/>
                <w:sz w:val="17"/>
                <w:szCs w:val="17"/>
                <w:color w:val="auto"/>
              </w:rPr>
              <w:t>Denominator for diluted EPS</w:t>
            </w: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0"/>
        </w:trPr>
        <w:tc>
          <w:tcPr>
            <w:tcW w:w="3480" w:type="dxa"/>
            <w:vAlign w:val="bottom"/>
            <w:vMerge w:val="continue"/>
          </w:tcPr>
          <w:p>
            <w:pPr>
              <w:spacing w:after="0"/>
              <w:rPr>
                <w:sz w:val="24"/>
                <w:szCs w:val="24"/>
                <w:color w:val="auto"/>
              </w:rPr>
            </w:pPr>
          </w:p>
        </w:tc>
        <w:tc>
          <w:tcPr>
            <w:tcW w:w="11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39,870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38,033</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2359" w:firstLine="497"/>
        <w:spacing w:after="0" w:line="267" w:lineRule="auto"/>
        <w:rPr>
          <w:sz w:val="20"/>
          <w:szCs w:val="20"/>
          <w:color w:val="auto"/>
        </w:rPr>
      </w:pPr>
      <w:r>
        <w:rPr>
          <w:rFonts w:ascii="Courier New" w:cs="Courier New" w:eastAsia="Courier New" w:hAnsi="Courier New"/>
          <w:sz w:val="16"/>
          <w:szCs w:val="16"/>
          <w:color w:val="auto"/>
        </w:rPr>
        <w:t>On March 19, 1998 the Emerging Issues Task Force ("EITF") of the Financial Accounting Standards Board reached a consensus opinion on issue #97-11, "Accounting for Internal Costs Relating to Real Estate Property Acquisitions" which requires that the internal costs of preacquisition activities incurred in connection with the acquisition of an operating property be expensed as incurred, whereas the internal costs of preacqusition activities directly identifiable with the acquistion of a nonoperating or to be developed property should be capitalized as part of the cost of the acquistion. The Trust has traditionally capitalized internal preacquistion costs of both operating and nonoperating properties as a component of the acquisition price.</w:t>
      </w:r>
    </w:p>
    <w:p>
      <w:pPr>
        <w:spacing w:after="0" w:line="2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60" w:right="1440" w:bottom="1440" w:gutter="0" w:footer="0" w:header="0"/>
        </w:sectPr>
      </w:pPr>
    </w:p>
    <w:bookmarkStart w:id="9" w:name="page10"/>
    <w:bookmarkEnd w:id="9"/>
    <w:p>
      <w:pPr>
        <w:ind w:right="2259"/>
        <w:spacing w:after="0" w:line="260" w:lineRule="auto"/>
        <w:rPr>
          <w:sz w:val="20"/>
          <w:szCs w:val="20"/>
          <w:color w:val="auto"/>
        </w:rPr>
      </w:pPr>
      <w:r>
        <w:rPr>
          <w:rFonts w:ascii="Courier New" w:cs="Courier New" w:eastAsia="Courier New" w:hAnsi="Courier New"/>
          <w:sz w:val="17"/>
          <w:szCs w:val="17"/>
          <w:color w:val="auto"/>
        </w:rPr>
        <w:t>Consequently, beginning in the second quarter of 1998 the Trust's general and administrative costs will increase, with a corresponding decrease to net income. The exact amount of the decrease to net income cannot be determined at this time, because the amount of acquisition effort to be spent on acquiring operating properties versus development properties is not known as it is dependent on what types of properties and opportunities are identified.</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B - DIVIDENDS PAYABLE</w:t>
      </w:r>
    </w:p>
    <w:p>
      <w:pPr>
        <w:spacing w:after="0" w:line="190" w:lineRule="exact"/>
        <w:rPr>
          <w:sz w:val="20"/>
          <w:szCs w:val="20"/>
          <w:color w:val="auto"/>
        </w:rPr>
      </w:pPr>
    </w:p>
    <w:p>
      <w:pPr>
        <w:ind w:right="2359" w:firstLine="497"/>
        <w:spacing w:after="0" w:line="292" w:lineRule="auto"/>
        <w:rPr>
          <w:sz w:val="20"/>
          <w:szCs w:val="20"/>
          <w:color w:val="auto"/>
        </w:rPr>
      </w:pPr>
      <w:r>
        <w:rPr>
          <w:rFonts w:ascii="Courier New" w:cs="Courier New" w:eastAsia="Courier New" w:hAnsi="Courier New"/>
          <w:sz w:val="17"/>
          <w:szCs w:val="17"/>
          <w:color w:val="auto"/>
        </w:rPr>
        <w:t>On February 20, 1998 the Trustees declared a cash dividend of $.43 per common share, payable April 15, 1998 to common shareholders of record March 25, 1998.</w:t>
      </w:r>
    </w:p>
    <w:p>
      <w:pPr>
        <w:spacing w:after="0" w:line="62" w:lineRule="exact"/>
        <w:rPr>
          <w:sz w:val="20"/>
          <w:szCs w:val="20"/>
          <w:color w:val="auto"/>
        </w:rPr>
      </w:pPr>
    </w:p>
    <w:p>
      <w:pPr>
        <w:jc w:val="both"/>
        <w:ind w:right="2459" w:firstLine="497"/>
        <w:spacing w:after="0" w:line="292" w:lineRule="auto"/>
        <w:rPr>
          <w:sz w:val="20"/>
          <w:szCs w:val="20"/>
          <w:color w:val="auto"/>
        </w:rPr>
      </w:pPr>
      <w:r>
        <w:rPr>
          <w:rFonts w:ascii="Courier New" w:cs="Courier New" w:eastAsia="Courier New" w:hAnsi="Courier New"/>
          <w:sz w:val="17"/>
          <w:szCs w:val="17"/>
          <w:color w:val="auto"/>
        </w:rPr>
        <w:t>On February 20, 1998 the Trustees declared a cash dividend of $.49688 per share on its Series A Cumulative Redeemable Preferred Shares, payable on April 30, 1998 to shareholders of record on April 15, 1998.</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C - REAL ESTATE</w:t>
      </w:r>
    </w:p>
    <w:p>
      <w:pPr>
        <w:spacing w:after="0" w:line="190" w:lineRule="exact"/>
        <w:rPr>
          <w:sz w:val="20"/>
          <w:szCs w:val="20"/>
          <w:color w:val="auto"/>
        </w:rPr>
      </w:pPr>
    </w:p>
    <w:p>
      <w:pPr>
        <w:ind w:right="2359" w:firstLine="497"/>
        <w:spacing w:after="0" w:line="260" w:lineRule="auto"/>
        <w:rPr>
          <w:sz w:val="20"/>
          <w:szCs w:val="20"/>
          <w:color w:val="auto"/>
        </w:rPr>
      </w:pPr>
      <w:r>
        <w:rPr>
          <w:rFonts w:ascii="Courier New" w:cs="Courier New" w:eastAsia="Courier New" w:hAnsi="Courier New"/>
          <w:sz w:val="17"/>
          <w:szCs w:val="17"/>
          <w:color w:val="auto"/>
        </w:rPr>
        <w:t>During February and March 1998 the Trust purchased seven properties in San Antonio, Texas for $10.7 million in cash. An additional two properties were purchased in April 1998 for $1.3 million in cash. These properties, located on Houston Street near San Antonio's River Walk, are currently vacant and with other properties still to be purchased will be redeveloped, retenanted and remerchandised.</w:t>
      </w:r>
    </w:p>
    <w:p>
      <w:pPr>
        <w:spacing w:after="0" w:line="87" w:lineRule="exact"/>
        <w:rPr>
          <w:sz w:val="20"/>
          <w:szCs w:val="20"/>
          <w:color w:val="auto"/>
        </w:rPr>
      </w:pPr>
    </w:p>
    <w:p>
      <w:pPr>
        <w:ind w:right="2359" w:firstLine="497"/>
        <w:spacing w:after="0" w:line="296" w:lineRule="auto"/>
        <w:rPr>
          <w:sz w:val="20"/>
          <w:szCs w:val="20"/>
          <w:color w:val="auto"/>
        </w:rPr>
      </w:pPr>
      <w:r>
        <w:rPr>
          <w:rFonts w:ascii="Courier New" w:cs="Courier New" w:eastAsia="Courier New" w:hAnsi="Courier New"/>
          <w:sz w:val="16"/>
          <w:szCs w:val="16"/>
          <w:color w:val="auto"/>
        </w:rPr>
        <w:t>On February 3, 1998 the Trust purchased a retail building in close proximity to its other properties in Santa Monica, California for $2.0 million in cash. On March 30, 1998 the Trust purchased for $865,000 in cash a property adjacent to its Bethesda Row property in order to allow for future expansion.</w:t>
      </w:r>
    </w:p>
    <w:p>
      <w:pPr>
        <w:spacing w:after="0" w:line="62"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7"/>
          <w:szCs w:val="17"/>
          <w:color w:val="auto"/>
        </w:rPr>
        <w:t>On January 14, 1998 the Trust increased by $2.3 million, extended and refinanced mortgage loans which had been made on retail properties in Philadelphia, Pennsylvania. The new loan, which is available for up to $25 million, bears interest at 10%, and is due May 1, 2021, totalled $5.3 million at March 31, 1998. From and after May 2006, which date may be extended to April 2008, the Trust has the option to convert the loan into a partnership interest in the properties.</w:t>
      </w:r>
    </w:p>
    <w:p>
      <w:pPr>
        <w:spacing w:after="0" w:line="92" w:lineRule="exact"/>
        <w:rPr>
          <w:sz w:val="20"/>
          <w:szCs w:val="20"/>
          <w:color w:val="auto"/>
        </w:rPr>
      </w:pPr>
    </w:p>
    <w:p>
      <w:pPr>
        <w:ind w:right="2259" w:firstLine="497"/>
        <w:spacing w:after="0" w:line="296" w:lineRule="auto"/>
        <w:rPr>
          <w:sz w:val="20"/>
          <w:szCs w:val="20"/>
          <w:color w:val="auto"/>
        </w:rPr>
      </w:pPr>
      <w:r>
        <w:rPr>
          <w:rFonts w:ascii="Courier New" w:cs="Courier New" w:eastAsia="Courier New" w:hAnsi="Courier New"/>
          <w:sz w:val="16"/>
          <w:szCs w:val="16"/>
          <w:color w:val="auto"/>
        </w:rPr>
        <w:t>In January 1998 the Trust acquired the remaining .23% minority interest in the Barracks Road Shopping Center for $60,000, bringing the Trust's ownership to virtually 100%. In January 1998 the Trust also purchased 31% of the 1% minority interest outstanding in the Pike 7 Shopping Center for $143,000.</w:t>
      </w:r>
    </w:p>
    <w:p>
      <w:pPr>
        <w:spacing w:after="0" w:line="25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60"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NOTE D - NOTES PAYABLE</w:t>
      </w:r>
    </w:p>
    <w:p>
      <w:pPr>
        <w:spacing w:after="0" w:line="190" w:lineRule="exact"/>
        <w:rPr>
          <w:sz w:val="20"/>
          <w:szCs w:val="20"/>
          <w:color w:val="auto"/>
        </w:rPr>
      </w:pPr>
    </w:p>
    <w:p>
      <w:pPr>
        <w:ind w:right="2259" w:firstLine="497"/>
        <w:spacing w:after="0" w:line="251" w:lineRule="auto"/>
        <w:rPr>
          <w:sz w:val="20"/>
          <w:szCs w:val="20"/>
          <w:color w:val="auto"/>
        </w:rPr>
      </w:pPr>
      <w:r>
        <w:rPr>
          <w:rFonts w:ascii="Courier New" w:cs="Courier New" w:eastAsia="Courier New" w:hAnsi="Courier New"/>
          <w:sz w:val="17"/>
          <w:szCs w:val="17"/>
          <w:color w:val="auto"/>
        </w:rPr>
        <w:t>In December 1997 the Trust replaced its unsecured medium term revolving credit facilities with four banks with a five-year syndicated line, thereby increasing the aggregate amount available from $135 million to $300 million. The syndicated line bears interest at LIBOR plus 65 basis points, requires fees and has covenants requiring a minimum shareholders' equity and a maximum ratio of debt to net worth. At March 31, 1998 there was $63 million borrowed under this facility. The maximum drawn during the first quarter of 1998 was $136 million. The weighted average interest rate on borrowings for the quarter ended March 31, 1998 was 6.2%.</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E - SENIOR NOTES</w:t>
      </w:r>
    </w:p>
    <w:p>
      <w:pPr>
        <w:spacing w:after="0" w:line="190" w:lineRule="exact"/>
        <w:rPr>
          <w:sz w:val="20"/>
          <w:szCs w:val="20"/>
          <w:color w:val="auto"/>
        </w:rPr>
      </w:pPr>
    </w:p>
    <w:p>
      <w:pPr>
        <w:ind w:right="2259" w:firstLine="497"/>
        <w:spacing w:after="0" w:line="251" w:lineRule="auto"/>
        <w:rPr>
          <w:sz w:val="20"/>
          <w:szCs w:val="20"/>
          <w:color w:val="auto"/>
        </w:rPr>
      </w:pPr>
      <w:r>
        <w:rPr>
          <w:rFonts w:ascii="Courier New" w:cs="Courier New" w:eastAsia="Courier New" w:hAnsi="Courier New"/>
          <w:sz w:val="17"/>
          <w:szCs w:val="17"/>
          <w:color w:val="auto"/>
        </w:rPr>
        <w:t>On March 5, 1998 the Trust issued $39.5 million of 6.74% Medium-Term Notes due 2004, netting approximately $39.3 million and $40.5 million of 6.99% Medium-Term Notes due 2006, netting approximately $40.2 million. The notes pay interest semi-annually on March 30 and September 30. In anticipation of this transaction, on January 13, 1998 the Trust purchased a Treasury Yield Hedge (notional amount of $50 million) to minimize the risk of changes in interest rates. The hedge was terminated on March 5, 1998 at a gain of $1.1 million which will be recognized as a reduction in interest expense over the term of the notes.</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F - SHAREHOLDERS' EQUITY</w:t>
      </w:r>
    </w:p>
    <w:p>
      <w:pPr>
        <w:spacing w:after="0" w:line="190" w:lineRule="exact"/>
        <w:rPr>
          <w:sz w:val="20"/>
          <w:szCs w:val="20"/>
          <w:color w:val="auto"/>
        </w:rPr>
      </w:pPr>
    </w:p>
    <w:p>
      <w:pPr>
        <w:ind w:right="2259" w:firstLine="497"/>
        <w:spacing w:after="0" w:line="246" w:lineRule="auto"/>
        <w:rPr>
          <w:sz w:val="20"/>
          <w:szCs w:val="20"/>
          <w:color w:val="auto"/>
        </w:rPr>
      </w:pPr>
      <w:r>
        <w:rPr>
          <w:rFonts w:ascii="Courier New" w:cs="Courier New" w:eastAsia="Courier New" w:hAnsi="Courier New"/>
          <w:sz w:val="17"/>
          <w:szCs w:val="17"/>
          <w:color w:val="auto"/>
        </w:rPr>
        <w:t>On January 1, 1998, 300,000 and 62,500 common shares, respectively, were awarded to the Trust's president and chief investment officer in a program designed to directly link a significant portion of these executives' long term compensation to the prosperity of the Trust and its shareholders. The shares vest over 13 years, but accelerated vesting over an eight year period is possible if the Trust meets certain performance critera. In order to further link his compensation with the prosperity of the shareholders, the president elected under another agreement to accept stock in lieu of his 1997 bonus and his 1998 salary. As a result in January 1998, 39,055 common shares were awarded to the president. The shares vest at the end of five years if the president is still employed by the Trust. An additional 62,500 common shares, which vest over eight years, were awarded to the chief investment officer on January 1, 1998; 25,000 of these shares were issued from treasury shares. On January 26, 1998, a third officer was awarded 75,000 restricted common shares which will vest as the Trust meets certain performance criteria.</w:t>
      </w:r>
    </w:p>
    <w:p>
      <w:pPr>
        <w:spacing w:after="0" w:line="99" w:lineRule="exact"/>
        <w:rPr>
          <w:sz w:val="20"/>
          <w:szCs w:val="20"/>
          <w:color w:val="auto"/>
        </w:rPr>
      </w:pPr>
    </w:p>
    <w:p>
      <w:pPr>
        <w:ind w:right="2359" w:firstLine="497"/>
        <w:spacing w:after="0" w:line="292" w:lineRule="auto"/>
        <w:rPr>
          <w:sz w:val="20"/>
          <w:szCs w:val="20"/>
          <w:color w:val="auto"/>
        </w:rPr>
      </w:pPr>
      <w:r>
        <w:rPr>
          <w:rFonts w:ascii="Courier New" w:cs="Courier New" w:eastAsia="Courier New" w:hAnsi="Courier New"/>
          <w:sz w:val="17"/>
          <w:szCs w:val="17"/>
          <w:color w:val="auto"/>
        </w:rPr>
        <w:t>During the first three months of 1998, 95,365 common shares were issued at prices ranging from $20.75 per share to $25.75 per share from the exercise of stock options.</w:t>
      </w:r>
    </w:p>
    <w:p>
      <w:pPr>
        <w:spacing w:after="0" w:line="25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60" w:right="1440" w:bottom="1440" w:gutter="0" w:footer="0" w:header="0"/>
        </w:sectPr>
      </w:pPr>
    </w:p>
    <w:bookmarkStart w:id="11" w:name="page12"/>
    <w:bookmarkEnd w:id="11"/>
    <w:p>
      <w:pPr>
        <w:ind w:right="2959"/>
        <w:spacing w:after="0" w:line="379" w:lineRule="auto"/>
        <w:rPr>
          <w:sz w:val="20"/>
          <w:szCs w:val="20"/>
          <w:color w:val="auto"/>
        </w:rPr>
      </w:pPr>
      <w:r>
        <w:rPr>
          <w:rFonts w:ascii="Courier New" w:cs="Courier New" w:eastAsia="Courier New" w:hAnsi="Courier New"/>
          <w:sz w:val="16"/>
          <w:szCs w:val="16"/>
          <w:color w:val="auto"/>
        </w:rPr>
        <w:t>The Trust accepted notes of $1.6 million from certain of its officers and employees in connection with the issuance of 73,947 of these shares.</w:t>
      </w:r>
    </w:p>
    <w:p>
      <w:pPr>
        <w:spacing w:after="0" w:line="1" w:lineRule="exact"/>
        <w:rPr>
          <w:sz w:val="20"/>
          <w:szCs w:val="20"/>
          <w:color w:val="auto"/>
        </w:rPr>
      </w:pPr>
    </w:p>
    <w:p>
      <w:pPr>
        <w:ind w:right="2259" w:firstLine="497"/>
        <w:spacing w:after="0" w:line="265" w:lineRule="auto"/>
        <w:rPr>
          <w:sz w:val="20"/>
          <w:szCs w:val="20"/>
          <w:color w:val="auto"/>
        </w:rPr>
      </w:pPr>
      <w:r>
        <w:rPr>
          <w:rFonts w:ascii="Courier New" w:cs="Courier New" w:eastAsia="Courier New" w:hAnsi="Courier New"/>
          <w:sz w:val="17"/>
          <w:szCs w:val="17"/>
          <w:color w:val="auto"/>
        </w:rPr>
        <w:t>On January 2, 1998, 200,000 options were awarded to an officer of the Trust at a price of $25.875 per share. The options vest at the rate of 50,000 shares at the end of years two through five. On January 26, 1998, 796,000 options, vesting over three years, were awarded to certain officers and employees at a price of $25.1875 per share.</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G - INTEREST EXPENSE</w:t>
      </w:r>
    </w:p>
    <w:p>
      <w:pPr>
        <w:spacing w:after="0" w:line="190" w:lineRule="exact"/>
        <w:rPr>
          <w:sz w:val="20"/>
          <w:szCs w:val="20"/>
          <w:color w:val="auto"/>
        </w:rPr>
      </w:pPr>
    </w:p>
    <w:p>
      <w:pPr>
        <w:ind w:right="2259" w:firstLine="497"/>
        <w:spacing w:after="0" w:line="265" w:lineRule="auto"/>
        <w:rPr>
          <w:sz w:val="20"/>
          <w:szCs w:val="20"/>
          <w:color w:val="auto"/>
        </w:rPr>
      </w:pPr>
      <w:r>
        <w:rPr>
          <w:rFonts w:ascii="Courier New" w:cs="Courier New" w:eastAsia="Courier New" w:hAnsi="Courier New"/>
          <w:sz w:val="17"/>
          <w:szCs w:val="17"/>
          <w:color w:val="auto"/>
        </w:rPr>
        <w:t>The Trust incurred interest expense totaling $14.0 million during the first quarter of 1998 and $12.4 million during the first quarter of 1997, of which $1.3 million and $368,000, respectively, were capitalized. Interest paid was $16.1 million in the first quarter of 1998 and $13.0 million in the first quarter of 1997.</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H - COMMITMENTS AND CONTINGENCIES</w:t>
      </w:r>
    </w:p>
    <w:p>
      <w:pPr>
        <w:spacing w:after="0" w:line="190" w:lineRule="exact"/>
        <w:rPr>
          <w:sz w:val="20"/>
          <w:szCs w:val="20"/>
          <w:color w:val="auto"/>
        </w:rPr>
      </w:pPr>
    </w:p>
    <w:p>
      <w:pPr>
        <w:ind w:right="2259" w:firstLine="994"/>
        <w:spacing w:after="0" w:line="247" w:lineRule="auto"/>
        <w:rPr>
          <w:sz w:val="20"/>
          <w:szCs w:val="20"/>
          <w:color w:val="auto"/>
        </w:rPr>
      </w:pPr>
      <w:r>
        <w:rPr>
          <w:rFonts w:ascii="Courier New" w:cs="Courier New" w:eastAsia="Courier New" w:hAnsi="Courier New"/>
          <w:sz w:val="17"/>
          <w:szCs w:val="17"/>
          <w:color w:val="auto"/>
        </w:rPr>
        <w:t>As previously reported, certain of the Trust's shopping centers have some environmental contamination. The Trust has retained an environmental consultant to investigate contamination at a shopping center in New Jersey. The Trust is evaluating whether it has insurance coverage for this matter. Although the Trust is still investigating the chlorinated solvent contamination in response to NJDEP directives, information collected to date indicates that remediation of this contamination is not likely to have a material effect upon the Trust's financial condition.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at this time, to estimate the range of remediation costs, if any.</w:t>
      </w:r>
    </w:p>
    <w:p>
      <w:pPr>
        <w:spacing w:after="0" w:line="101" w:lineRule="exact"/>
        <w:rPr>
          <w:sz w:val="20"/>
          <w:szCs w:val="20"/>
          <w:color w:val="auto"/>
        </w:rPr>
      </w:pPr>
    </w:p>
    <w:p>
      <w:pPr>
        <w:ind w:right="2259" w:firstLine="497"/>
        <w:spacing w:after="0" w:line="250" w:lineRule="auto"/>
        <w:rPr>
          <w:sz w:val="20"/>
          <w:szCs w:val="20"/>
          <w:color w:val="auto"/>
        </w:rPr>
      </w:pPr>
      <w:r>
        <w:rPr>
          <w:rFonts w:ascii="Courier New" w:cs="Courier New" w:eastAsia="Courier New" w:hAnsi="Courier New"/>
          <w:sz w:val="17"/>
          <w:szCs w:val="17"/>
          <w:color w:val="auto"/>
        </w:rPr>
        <w:t>On December 4, 1997 the Trust purchased the retail portion of a mixed use property located in Queens, New York. Environmental studies performed prior to the acquisition identified petroleum and solvent contamination in the soil and groundwater at various locations at the property. Additional investigation as to the nature and extent of contamination is required at this property. Although the seller states that it is not responsible for this investigation or remediation, the Trust disagrees and intends to pursue the seller to enforce its obligations with respect to contamination at the property. At this time, the Trust is unable to determine what impact, if any, this situation will have on the Trust's financial condition.</w:t>
      </w:r>
    </w:p>
    <w:p>
      <w:pPr>
        <w:spacing w:after="0" w:line="9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60" w:right="1440" w:bottom="1440" w:gutter="0" w:footer="0" w:header="0"/>
        </w:sectPr>
      </w:pPr>
    </w:p>
    <w:bookmarkStart w:id="12" w:name="page13"/>
    <w:bookmarkEnd w:id="12"/>
    <w:p>
      <w:pPr>
        <w:ind w:right="2259" w:firstLine="497"/>
        <w:spacing w:after="0" w:line="265" w:lineRule="auto"/>
        <w:rPr>
          <w:sz w:val="20"/>
          <w:szCs w:val="20"/>
          <w:color w:val="auto"/>
        </w:rPr>
      </w:pPr>
      <w:r>
        <w:rPr>
          <w:rFonts w:ascii="Courier New" w:cs="Courier New" w:eastAsia="Courier New" w:hAnsi="Courier New"/>
          <w:sz w:val="17"/>
          <w:szCs w:val="17"/>
          <w:color w:val="auto"/>
        </w:rPr>
        <w:t>Pursuant to the provisions of the respective partnership agreements, in the event of the exercise of put options by the other partners, the Trust would be required to purchase the 99% limited partnership interest at Loehmann's Plaza at its then fair market value and an 18.75% interest at Congressional Plaza at its then fair market value.</w:t>
      </w:r>
    </w:p>
    <w:p>
      <w:pPr>
        <w:spacing w:after="0" w:line="84" w:lineRule="exact"/>
        <w:rPr>
          <w:sz w:val="20"/>
          <w:szCs w:val="20"/>
          <w:color w:val="auto"/>
        </w:rPr>
      </w:pPr>
    </w:p>
    <w:p>
      <w:pPr>
        <w:ind w:right="2259" w:firstLine="497"/>
        <w:spacing w:after="0" w:line="250" w:lineRule="auto"/>
        <w:rPr>
          <w:sz w:val="20"/>
          <w:szCs w:val="20"/>
          <w:color w:val="auto"/>
        </w:rPr>
      </w:pPr>
      <w:r>
        <w:rPr>
          <w:rFonts w:ascii="Courier New" w:cs="Courier New" w:eastAsia="Courier New" w:hAnsi="Courier New"/>
          <w:sz w:val="17"/>
          <w:szCs w:val="17"/>
          <w:color w:val="auto"/>
        </w:rPr>
        <w:t>Under the terms of certain other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stock of the Trust at the election of the limited partners. If the limited partners do not redeem their interest, the Trust may choose to purchase the limited partnership interests upon the same terms. Under the terms of another partnership, the partners may exchange their 481,378 operating units into cash or common shares of the Trust, at the option of the Trust.</w:t>
      </w:r>
    </w:p>
    <w:p>
      <w:pPr>
        <w:spacing w:after="0" w:line="98" w:lineRule="exact"/>
        <w:rPr>
          <w:sz w:val="20"/>
          <w:szCs w:val="20"/>
          <w:color w:val="auto"/>
        </w:rPr>
      </w:pPr>
    </w:p>
    <w:p>
      <w:pPr>
        <w:ind w:right="2659" w:firstLine="497"/>
        <w:spacing w:after="0" w:line="265" w:lineRule="auto"/>
        <w:rPr>
          <w:sz w:val="20"/>
          <w:szCs w:val="20"/>
          <w:color w:val="auto"/>
        </w:rPr>
      </w:pPr>
      <w:r>
        <w:rPr>
          <w:rFonts w:ascii="Courier New" w:cs="Courier New" w:eastAsia="Courier New" w:hAnsi="Courier New"/>
          <w:sz w:val="17"/>
          <w:szCs w:val="17"/>
          <w:color w:val="auto"/>
        </w:rPr>
        <w:t>At March 31, 1998 in connection with certain redevelopment projects and tenant improvements, the Trust is contractually obligated on contracts of approximately $10.8 million. At March 31, 1998 the Trust is also obligated under leases with tenants to provide up to an additional $10.7 million in building and tenant improvements.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I - COMPONENTS OF RENTAL INCOME</w:t>
      </w:r>
    </w:p>
    <w:p>
      <w:pPr>
        <w:spacing w:after="0" w:line="190" w:lineRule="exact"/>
        <w:rPr>
          <w:sz w:val="20"/>
          <w:szCs w:val="20"/>
          <w:color w:val="auto"/>
        </w:rPr>
      </w:pPr>
    </w:p>
    <w:p>
      <w:pPr>
        <w:ind w:right="2359" w:firstLine="497"/>
        <w:spacing w:after="0" w:line="347" w:lineRule="auto"/>
        <w:rPr>
          <w:sz w:val="20"/>
          <w:szCs w:val="20"/>
          <w:color w:val="auto"/>
        </w:rPr>
      </w:pPr>
      <w:r>
        <w:rPr>
          <w:rFonts w:ascii="Courier New" w:cs="Courier New" w:eastAsia="Courier New" w:hAnsi="Courier New"/>
          <w:sz w:val="17"/>
          <w:szCs w:val="17"/>
          <w:color w:val="auto"/>
        </w:rPr>
        <w:t>The components of rental income for the three months ended March 31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80" w:type="dxa"/>
            <w:vAlign w:val="bottom"/>
          </w:tcPr>
          <w:p>
            <w:pPr>
              <w:spacing w:after="0"/>
              <w:rPr>
                <w:sz w:val="16"/>
                <w:szCs w:val="16"/>
                <w:color w:val="auto"/>
              </w:rPr>
            </w:pPr>
          </w:p>
        </w:tc>
        <w:tc>
          <w:tcPr>
            <w:tcW w:w="1160" w:type="dxa"/>
            <w:vAlign w:val="bottom"/>
          </w:tcPr>
          <w:p>
            <w:pPr>
              <w:ind w:left="400"/>
              <w:spacing w:after="0"/>
              <w:rPr>
                <w:sz w:val="20"/>
                <w:szCs w:val="20"/>
                <w:color w:val="auto"/>
              </w:rPr>
            </w:pPr>
            <w:r>
              <w:rPr>
                <w:rFonts w:ascii="Courier New" w:cs="Courier New" w:eastAsia="Courier New" w:hAnsi="Courier New"/>
                <w:sz w:val="17"/>
                <w:szCs w:val="17"/>
                <w:color w:val="auto"/>
              </w:rPr>
              <w:t>1998</w:t>
            </w:r>
          </w:p>
        </w:tc>
        <w:tc>
          <w:tcPr>
            <w:tcW w:w="8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1997</w:t>
            </w:r>
          </w:p>
        </w:tc>
        <w:tc>
          <w:tcPr>
            <w:tcW w:w="0" w:type="dxa"/>
            <w:vAlign w:val="bottom"/>
          </w:tcPr>
          <w:p>
            <w:pPr>
              <w:spacing w:after="0"/>
              <w:rPr>
                <w:sz w:val="1"/>
                <w:szCs w:val="1"/>
                <w:color w:val="auto"/>
              </w:rPr>
            </w:pPr>
          </w:p>
        </w:tc>
      </w:tr>
      <w:tr>
        <w:trPr>
          <w:trHeight w:val="280"/>
        </w:trPr>
        <w:tc>
          <w:tcPr>
            <w:tcW w:w="2280" w:type="dxa"/>
            <w:vAlign w:val="bottom"/>
          </w:tcPr>
          <w:p>
            <w:pPr>
              <w:spacing w:after="0"/>
              <w:rPr>
                <w:sz w:val="24"/>
                <w:szCs w:val="24"/>
                <w:color w:val="auto"/>
              </w:rPr>
            </w:pPr>
          </w:p>
        </w:tc>
        <w:tc>
          <w:tcPr>
            <w:tcW w:w="200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(in thousands)</w:t>
            </w:r>
          </w:p>
        </w:tc>
        <w:tc>
          <w:tcPr>
            <w:tcW w:w="0" w:type="dxa"/>
            <w:vAlign w:val="bottom"/>
          </w:tcPr>
          <w:p>
            <w:pPr>
              <w:spacing w:after="0"/>
              <w:rPr>
                <w:sz w:val="1"/>
                <w:szCs w:val="1"/>
                <w:color w:val="auto"/>
              </w:rPr>
            </w:pPr>
          </w:p>
        </w:tc>
      </w:tr>
      <w:tr>
        <w:trPr>
          <w:trHeight w:val="294"/>
        </w:trPr>
        <w:tc>
          <w:tcPr>
            <w:tcW w:w="2280" w:type="dxa"/>
            <w:vAlign w:val="bottom"/>
          </w:tcPr>
          <w:p>
            <w:pPr>
              <w:spacing w:after="0"/>
              <w:rPr>
                <w:sz w:val="20"/>
                <w:szCs w:val="20"/>
                <w:color w:val="auto"/>
              </w:rPr>
            </w:pPr>
            <w:r>
              <w:rPr>
                <w:rFonts w:ascii="Courier New" w:cs="Courier New" w:eastAsia="Courier New" w:hAnsi="Courier New"/>
                <w:sz w:val="17"/>
                <w:szCs w:val="17"/>
                <w:color w:val="auto"/>
              </w:rPr>
              <w:t>Retail properties</w:t>
            </w:r>
          </w:p>
        </w:tc>
        <w:tc>
          <w:tcPr>
            <w:tcW w:w="1160" w:type="dxa"/>
            <w:vAlign w:val="bottom"/>
            <w:vMerge w:val="restart"/>
          </w:tcPr>
          <w:p>
            <w:pPr>
              <w:jc w:val="right"/>
              <w:ind w:right="77"/>
              <w:spacing w:after="0"/>
              <w:rPr>
                <w:sz w:val="20"/>
                <w:szCs w:val="20"/>
                <w:color w:val="auto"/>
              </w:rPr>
            </w:pPr>
            <w:r>
              <w:rPr>
                <w:rFonts w:ascii="Courier New" w:cs="Courier New" w:eastAsia="Courier New" w:hAnsi="Courier New"/>
                <w:sz w:val="17"/>
                <w:szCs w:val="17"/>
                <w:color w:val="auto"/>
              </w:rPr>
              <w:t>$42,244</w:t>
            </w:r>
          </w:p>
        </w:tc>
        <w:tc>
          <w:tcPr>
            <w:tcW w:w="8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$34,470</w:t>
            </w:r>
          </w:p>
        </w:tc>
        <w:tc>
          <w:tcPr>
            <w:tcW w:w="0" w:type="dxa"/>
            <w:vAlign w:val="bottom"/>
          </w:tcPr>
          <w:p>
            <w:pPr>
              <w:spacing w:after="0"/>
              <w:rPr>
                <w:sz w:val="1"/>
                <w:szCs w:val="1"/>
                <w:color w:val="auto"/>
              </w:rPr>
            </w:pPr>
          </w:p>
        </w:tc>
      </w:tr>
      <w:tr>
        <w:trPr>
          <w:trHeight w:val="191"/>
        </w:trPr>
        <w:tc>
          <w:tcPr>
            <w:tcW w:w="2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Minimum rents</w:t>
            </w:r>
          </w:p>
        </w:tc>
        <w:tc>
          <w:tcPr>
            <w:tcW w:w="11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Cost reimbursements</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7,993</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7,619</w:t>
            </w:r>
          </w:p>
        </w:tc>
        <w:tc>
          <w:tcPr>
            <w:tcW w:w="0" w:type="dxa"/>
            <w:vAlign w:val="bottom"/>
          </w:tcPr>
          <w:p>
            <w:pPr>
              <w:spacing w:after="0"/>
              <w:rPr>
                <w:sz w:val="1"/>
                <w:szCs w:val="1"/>
                <w:color w:val="auto"/>
              </w:rPr>
            </w:pPr>
          </w:p>
        </w:tc>
      </w:tr>
      <w:tr>
        <w:trPr>
          <w:trHeight w:val="191"/>
        </w:trPr>
        <w:tc>
          <w:tcPr>
            <w:tcW w:w="22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Percentage rents</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1,605</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1,210</w:t>
            </w:r>
          </w:p>
        </w:tc>
        <w:tc>
          <w:tcPr>
            <w:tcW w:w="0" w:type="dxa"/>
            <w:vAlign w:val="bottom"/>
          </w:tcPr>
          <w:p>
            <w:pPr>
              <w:spacing w:after="0"/>
              <w:rPr>
                <w:sz w:val="1"/>
                <w:szCs w:val="1"/>
                <w:color w:val="auto"/>
              </w:rPr>
            </w:pPr>
          </w:p>
        </w:tc>
      </w:tr>
      <w:tr>
        <w:trPr>
          <w:trHeight w:val="191"/>
        </w:trPr>
        <w:tc>
          <w:tcPr>
            <w:tcW w:w="2280" w:type="dxa"/>
            <w:vAlign w:val="bottom"/>
          </w:tcPr>
          <w:p>
            <w:pPr>
              <w:spacing w:after="0" w:line="191" w:lineRule="exact"/>
              <w:rPr>
                <w:sz w:val="20"/>
                <w:szCs w:val="20"/>
                <w:color w:val="auto"/>
              </w:rPr>
            </w:pPr>
            <w:r>
              <w:rPr>
                <w:rFonts w:ascii="Courier New" w:cs="Courier New" w:eastAsia="Courier New" w:hAnsi="Courier New"/>
                <w:sz w:val="17"/>
                <w:szCs w:val="17"/>
                <w:color w:val="auto"/>
              </w:rPr>
              <w:t>Apartments</w:t>
            </w: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639</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621</w:t>
            </w:r>
          </w:p>
        </w:tc>
        <w:tc>
          <w:tcPr>
            <w:tcW w:w="0" w:type="dxa"/>
            <w:vAlign w:val="bottom"/>
          </w:tcPr>
          <w:p>
            <w:pPr>
              <w:spacing w:after="0"/>
              <w:rPr>
                <w:sz w:val="1"/>
                <w:szCs w:val="1"/>
                <w:color w:val="auto"/>
              </w:rPr>
            </w:pPr>
          </w:p>
        </w:tc>
      </w:tr>
      <w:tr>
        <w:trPr>
          <w:trHeight w:val="191"/>
        </w:trPr>
        <w:tc>
          <w:tcPr>
            <w:tcW w:w="2280" w:type="dxa"/>
            <w:vAlign w:val="bottom"/>
          </w:tcPr>
          <w:p>
            <w:pPr>
              <w:spacing w:after="0"/>
              <w:rPr>
                <w:sz w:val="16"/>
                <w:szCs w:val="16"/>
                <w:color w:val="auto"/>
              </w:rPr>
            </w:pP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2280" w:type="dxa"/>
            <w:vAlign w:val="bottom"/>
          </w:tcPr>
          <w:p>
            <w:pPr>
              <w:spacing w:after="0"/>
              <w:rPr>
                <w:sz w:val="16"/>
                <w:szCs w:val="16"/>
                <w:color w:val="auto"/>
              </w:rPr>
            </w:pPr>
          </w:p>
        </w:tc>
        <w:tc>
          <w:tcPr>
            <w:tcW w:w="11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$52,481</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$43,920</w:t>
            </w:r>
          </w:p>
        </w:tc>
        <w:tc>
          <w:tcPr>
            <w:tcW w:w="0" w:type="dxa"/>
            <w:vAlign w:val="bottom"/>
          </w:tcPr>
          <w:p>
            <w:pPr>
              <w:spacing w:after="0"/>
              <w:rPr>
                <w:sz w:val="1"/>
                <w:szCs w:val="1"/>
                <w:color w:val="auto"/>
              </w:rPr>
            </w:pPr>
          </w:p>
        </w:tc>
      </w:tr>
      <w:tr>
        <w:trPr>
          <w:trHeight w:val="280"/>
        </w:trPr>
        <w:tc>
          <w:tcPr>
            <w:tcW w:w="2280" w:type="dxa"/>
            <w:vAlign w:val="bottom"/>
          </w:tcPr>
          <w:p>
            <w:pPr>
              <w:spacing w:after="0"/>
              <w:rPr>
                <w:sz w:val="24"/>
                <w:szCs w:val="24"/>
                <w:color w:val="auto"/>
              </w:rPr>
            </w:pPr>
          </w:p>
        </w:tc>
        <w:tc>
          <w:tcPr>
            <w:tcW w:w="1160" w:type="dxa"/>
            <w:vAlign w:val="bottom"/>
          </w:tcPr>
          <w:p>
            <w:pPr>
              <w:jc w:val="right"/>
              <w:ind w:right="77"/>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574"/>
        </w:trPr>
        <w:tc>
          <w:tcPr>
            <w:tcW w:w="2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13</w:t>
            </w:r>
          </w:p>
        </w:tc>
        <w:tc>
          <w:tcPr>
            <w:tcW w:w="0" w:type="dxa"/>
            <w:vAlign w:val="bottom"/>
          </w:tcPr>
          <w:p>
            <w:pPr>
              <w:spacing w:after="0"/>
              <w:rPr>
                <w:sz w:val="1"/>
                <w:szCs w:val="1"/>
                <w:color w:val="auto"/>
              </w:rPr>
            </w:pPr>
          </w:p>
        </w:tc>
      </w:tr>
    </w:tbl>
    <w:p>
      <w:pPr>
        <w:sectPr>
          <w:pgSz w:w="11900" w:h="16838" w:orient="portrait"/>
          <w:cols w:equalWidth="0" w:num="1">
            <w:col w:w="10219"/>
          </w:cols>
          <w:pgMar w:left="240" w:top="660" w:right="1440" w:bottom="1440" w:gutter="0" w:footer="0" w:header="0"/>
        </w:sectPr>
      </w:pPr>
    </w:p>
    <w:bookmarkStart w:id="13" w:name="page14"/>
    <w:bookmarkEnd w:id="13"/>
    <w:p>
      <w:pPr>
        <w:ind w:left="23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7"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FORM 10-Q</w:t>
      </w:r>
    </w:p>
    <w:p>
      <w:pPr>
        <w:ind w:left="3180"/>
        <w:spacing w:after="0"/>
        <w:rPr>
          <w:sz w:val="20"/>
          <w:szCs w:val="20"/>
          <w:color w:val="auto"/>
        </w:rPr>
      </w:pPr>
      <w:r>
        <w:rPr>
          <w:rFonts w:ascii="Courier New" w:cs="Courier New" w:eastAsia="Courier New" w:hAnsi="Courier New"/>
          <w:sz w:val="17"/>
          <w:szCs w:val="17"/>
          <w:color w:val="auto"/>
        </w:rPr>
        <w:t>MARCH 31, 1998</w:t>
      </w:r>
    </w:p>
    <w:p>
      <w:pPr>
        <w:spacing w:after="0" w:line="35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MANAGEMENT'S DISCUSSION AND ANALYSIS OF</w:t>
      </w:r>
    </w:p>
    <w:p>
      <w:pPr>
        <w:spacing w:after="0" w:line="29"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FINANCIAL CONDITION AND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0"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7"/>
          <w:szCs w:val="17"/>
          <w:color w:val="auto"/>
        </w:rPr>
        <w:t>Federal Realty meets its liquidity requirements through net cash provided by operating activities, long term borrowing through debt offerings and mortgages, medium and short term borrowing under revolving credit facilities, and equity offerings. Because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92" w:lineRule="exact"/>
        <w:rPr>
          <w:sz w:val="20"/>
          <w:szCs w:val="20"/>
          <w:color w:val="auto"/>
        </w:rPr>
      </w:pPr>
    </w:p>
    <w:p>
      <w:pPr>
        <w:ind w:right="2259" w:firstLine="497"/>
        <w:spacing w:after="0" w:line="265" w:lineRule="auto"/>
        <w:rPr>
          <w:sz w:val="20"/>
          <w:szCs w:val="20"/>
          <w:color w:val="auto"/>
        </w:rPr>
      </w:pPr>
      <w:r>
        <w:rPr>
          <w:rFonts w:ascii="Courier New" w:cs="Courier New" w:eastAsia="Courier New" w:hAnsi="Courier New"/>
          <w:sz w:val="17"/>
          <w:szCs w:val="17"/>
          <w:color w:val="auto"/>
        </w:rPr>
        <w:t>Net cash provided by operating activities increased to $21.3 million in the first quarter of 1998 from $17.2 million in the first quarter of 1997 of which $18.4 million and $14.4 million, respectively, was distributed to shareholders. The increase from 1997 to 1998 was primarily due to a $3.4 million increase in net income.</w:t>
      </w:r>
    </w:p>
    <w:p>
      <w:pPr>
        <w:spacing w:after="0" w:line="84" w:lineRule="exact"/>
        <w:rPr>
          <w:sz w:val="20"/>
          <w:szCs w:val="20"/>
          <w:color w:val="auto"/>
        </w:rPr>
      </w:pPr>
    </w:p>
    <w:p>
      <w:pPr>
        <w:ind w:right="2259" w:firstLine="497"/>
        <w:spacing w:after="0" w:line="248" w:lineRule="auto"/>
        <w:rPr>
          <w:sz w:val="20"/>
          <w:szCs w:val="20"/>
          <w:color w:val="auto"/>
        </w:rPr>
      </w:pPr>
      <w:r>
        <w:rPr>
          <w:rFonts w:ascii="Courier New" w:cs="Courier New" w:eastAsia="Courier New" w:hAnsi="Courier New"/>
          <w:sz w:val="17"/>
          <w:szCs w:val="17"/>
          <w:color w:val="auto"/>
        </w:rPr>
        <w:t>During the first quarter of 1998, the Trust invested $13.6 million in cash to acquire real estate assets, $15.3 million to improve its properties and $2.5 million in mortgage notes receivable. During February and March 1998 the Trust purchased seven properties in San Antonio, Texas for $10.7 million in cash. An additional two properties were purchased in April 1998 for $1.3 million in cash. These properties, located on Houston Street near San Antonio's River Walk, are currently vacant and with other properties still to be purchased will be redeveloped, retenanted and remerchandised. On February 3, 1998 the Trust purchased a retail building in close proximity to its other properties in Santa Monica, California for $2.0 million in cash. On March 30, 1998 the Trust purchased for $865,000 in cash a property adjacent to its Bethesda Row property in order to allow for future expansion.</w:t>
      </w:r>
    </w:p>
    <w:p>
      <w:pPr>
        <w:spacing w:after="0" w:line="98" w:lineRule="exact"/>
        <w:rPr>
          <w:sz w:val="20"/>
          <w:szCs w:val="20"/>
          <w:color w:val="auto"/>
        </w:rPr>
      </w:pPr>
    </w:p>
    <w:p>
      <w:pPr>
        <w:ind w:right="2259" w:firstLine="497"/>
        <w:spacing w:after="0" w:line="275" w:lineRule="auto"/>
        <w:rPr>
          <w:sz w:val="20"/>
          <w:szCs w:val="20"/>
          <w:color w:val="auto"/>
        </w:rPr>
      </w:pPr>
      <w:r>
        <w:rPr>
          <w:rFonts w:ascii="Courier New" w:cs="Courier New" w:eastAsia="Courier New" w:hAnsi="Courier New"/>
          <w:sz w:val="16"/>
          <w:szCs w:val="16"/>
          <w:color w:val="auto"/>
        </w:rPr>
        <w:t>Improvements to Trust properties during the first quarter of 1998 included $2.1 million on the redevelopment of Old Town Center in Los Gatos, California; $1.0 million on predevelopment work at San Jose Town &amp; Country Village Shopping Center; $1.1 million on the final stages of the redevelopment of Wynnewood Shopping Center in suburban Philadelphia; $1.8 million on the expansion of the Falls and West Falls Shopping Centers in suburban Washington, D.C.; $1.6 million on the retenanting of Finley Shopping Center in suburban Chicago;</w:t>
      </w:r>
    </w:p>
    <w:p>
      <w:pPr>
        <w:spacing w:after="0" w:line="7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660" w:right="1440" w:bottom="1440" w:gutter="0" w:footer="0" w:header="0"/>
        </w:sectPr>
      </w:pPr>
    </w:p>
    <w:bookmarkStart w:id="14" w:name="page15"/>
    <w:bookmarkEnd w:id="14"/>
    <w:p>
      <w:pPr>
        <w:ind w:right="2359"/>
        <w:spacing w:after="0" w:line="292" w:lineRule="auto"/>
        <w:rPr>
          <w:sz w:val="20"/>
          <w:szCs w:val="20"/>
          <w:color w:val="auto"/>
        </w:rPr>
      </w:pPr>
      <w:r>
        <w:rPr>
          <w:rFonts w:ascii="Courier New" w:cs="Courier New" w:eastAsia="Courier New" w:hAnsi="Courier New"/>
          <w:sz w:val="17"/>
          <w:szCs w:val="17"/>
          <w:color w:val="auto"/>
        </w:rPr>
        <w:t>$531,000 on the renovation of Feasterville Shopping Center in Pennsylvania; and $666,000 on renovations of main street retail properties in Santa Monica and Pasadena, California.</w:t>
      </w:r>
    </w:p>
    <w:p>
      <w:pPr>
        <w:spacing w:after="0" w:line="62"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7"/>
          <w:szCs w:val="17"/>
          <w:color w:val="auto"/>
        </w:rPr>
        <w:t>On January 14, 1998 the Trust increased by $2.3 million, extended and refinanced mortgage loans which had been made on retail properties in Philadelphia, Pennsylvania. The new loan, which is available for up to $25 million, bears interest at 10%, and is due May 1, 2021, totalled $5.3 million at March 31, 1998. From and after May 2006, which date may be extended to April 2008, the Trust has the option to convert the loan into a partnership interest in the properties.</w:t>
      </w:r>
    </w:p>
    <w:p>
      <w:pPr>
        <w:spacing w:after="0" w:line="92" w:lineRule="exact"/>
        <w:rPr>
          <w:sz w:val="20"/>
          <w:szCs w:val="20"/>
          <w:color w:val="auto"/>
        </w:rPr>
      </w:pPr>
    </w:p>
    <w:p>
      <w:pPr>
        <w:jc w:val="both"/>
        <w:ind w:right="2659" w:firstLine="497"/>
        <w:spacing w:after="0" w:line="266" w:lineRule="auto"/>
        <w:rPr>
          <w:sz w:val="20"/>
          <w:szCs w:val="20"/>
          <w:color w:val="auto"/>
        </w:rPr>
      </w:pPr>
      <w:r>
        <w:rPr>
          <w:rFonts w:ascii="Courier New" w:cs="Courier New" w:eastAsia="Courier New" w:hAnsi="Courier New"/>
          <w:sz w:val="16"/>
          <w:szCs w:val="16"/>
          <w:color w:val="auto"/>
        </w:rPr>
        <w:t>In December 1997 the Trust replaced its unsecured medium term revolving credit facilities with four banks with a five-year syndicated line, thereby increasing the aggregate amount available from $135 million to $300 million.</w:t>
      </w:r>
    </w:p>
    <w:p>
      <w:pPr>
        <w:spacing w:after="0" w:line="1" w:lineRule="exact"/>
        <w:rPr>
          <w:sz w:val="20"/>
          <w:szCs w:val="20"/>
          <w:color w:val="auto"/>
        </w:rPr>
      </w:pPr>
    </w:p>
    <w:p>
      <w:pPr>
        <w:ind w:right="2259"/>
        <w:spacing w:after="0" w:line="252" w:lineRule="auto"/>
        <w:rPr>
          <w:sz w:val="20"/>
          <w:szCs w:val="20"/>
          <w:color w:val="auto"/>
        </w:rPr>
      </w:pPr>
      <w:r>
        <w:rPr>
          <w:rFonts w:ascii="Courier New" w:cs="Courier New" w:eastAsia="Courier New" w:hAnsi="Courier New"/>
          <w:sz w:val="17"/>
          <w:szCs w:val="17"/>
          <w:color w:val="auto"/>
        </w:rPr>
        <w:t>The syndicated line bears interest at LIBOR plus 65 basis points, requires fees and has covenants requiring a minimum shareholders' equity and a maximum ratio of debt to net worth. At March 31, 1998 there was $63 million borrowed under this facility. The maximum drawn during the first quarter of 1998 was $136 million and the weighted average interest rate on borrowings for the quarter was 6.2%.</w:t>
      </w:r>
    </w:p>
    <w:p>
      <w:pPr>
        <w:spacing w:after="0" w:line="96" w:lineRule="exact"/>
        <w:rPr>
          <w:sz w:val="20"/>
          <w:szCs w:val="20"/>
          <w:color w:val="auto"/>
        </w:rPr>
      </w:pPr>
    </w:p>
    <w:p>
      <w:pPr>
        <w:ind w:right="2259" w:firstLine="497"/>
        <w:spacing w:after="0" w:line="251" w:lineRule="auto"/>
        <w:rPr>
          <w:sz w:val="20"/>
          <w:szCs w:val="20"/>
          <w:color w:val="auto"/>
        </w:rPr>
      </w:pPr>
      <w:r>
        <w:rPr>
          <w:rFonts w:ascii="Courier New" w:cs="Courier New" w:eastAsia="Courier New" w:hAnsi="Courier New"/>
          <w:sz w:val="17"/>
          <w:szCs w:val="17"/>
          <w:color w:val="auto"/>
        </w:rPr>
        <w:t>On March 5, 1998 the Trust issued $39.5 million of 6.74% Medium-Term Notes due 2004, netting approximately $39.3 million and $40.5 million of 6.99% Medium-Term Notes due 2006, netting approximately $40.2 million. The notes pay interest semi-annually on March 30 and September 30. In anticipation of this transaction, on January 13, 1998 the Trust purchased a Treasury Yield Hedge (notional amount of $50 million) to minimize the risk of changes in interest rates. The hedge was terminated on March 5, 1998 at a gain of $1.1 million which will be recognized as a reduction in interest expense over the lives of the notes.</w:t>
      </w:r>
    </w:p>
    <w:p>
      <w:pPr>
        <w:spacing w:after="0" w:line="291" w:lineRule="exact"/>
        <w:rPr>
          <w:sz w:val="20"/>
          <w:szCs w:val="20"/>
          <w:color w:val="auto"/>
        </w:rPr>
      </w:pPr>
    </w:p>
    <w:p>
      <w:pPr>
        <w:ind w:right="2259" w:firstLine="497"/>
        <w:spacing w:after="0" w:line="249" w:lineRule="auto"/>
        <w:rPr>
          <w:sz w:val="20"/>
          <w:szCs w:val="20"/>
          <w:color w:val="auto"/>
        </w:rPr>
      </w:pPr>
      <w:r>
        <w:rPr>
          <w:rFonts w:ascii="Courier New" w:cs="Courier New" w:eastAsia="Courier New" w:hAnsi="Courier New"/>
          <w:sz w:val="17"/>
          <w:szCs w:val="17"/>
          <w:color w:val="auto"/>
        </w:rPr>
        <w:t>The Trust is contractually obligated on contracts of approximately $10.8 million for redevelopment and tenant improvements and is committed under leases for up to an additional $10.7 million in tenant work and general improvements to its properties. In addition to these committed amounts, the Trust has budgeted an additional $60 million for the remainder of 1998 for improvements to its properties. These committed and budgeted improvements include the redevelopment of Old Town Center, the renovation and retenanting of certain of the San Diego and Santa Monica main street retail properties, the renovation of Feasterville Shopping Center and the completion of the renovation and expansion of Gratiot Plaza. The Trust has balloon mortgage obligations of $53.5 million due during the second and third quarter of 1998.</w:t>
      </w:r>
    </w:p>
    <w:p>
      <w:pPr>
        <w:spacing w:after="0" w:line="9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60" w:right="1440" w:bottom="1440" w:gutter="0" w:footer="0" w:header="0"/>
        </w:sectPr>
      </w:pPr>
    </w:p>
    <w:bookmarkStart w:id="15" w:name="page16"/>
    <w:bookmarkEnd w:id="15"/>
    <w:p>
      <w:pPr>
        <w:ind w:right="2459"/>
        <w:spacing w:after="0" w:line="347" w:lineRule="auto"/>
        <w:rPr>
          <w:sz w:val="20"/>
          <w:szCs w:val="20"/>
          <w:color w:val="auto"/>
        </w:rPr>
      </w:pPr>
      <w:r>
        <w:rPr>
          <w:rFonts w:ascii="Courier New" w:cs="Courier New" w:eastAsia="Courier New" w:hAnsi="Courier New"/>
          <w:sz w:val="17"/>
          <w:szCs w:val="17"/>
          <w:color w:val="auto"/>
        </w:rPr>
        <w:t>These expenditures will be funded with the revolving credit facilities pending their long term financing with either equity or debt.</w:t>
      </w:r>
    </w:p>
    <w:p>
      <w:pPr>
        <w:spacing w:after="0" w:line="17" w:lineRule="exact"/>
        <w:rPr>
          <w:sz w:val="20"/>
          <w:szCs w:val="20"/>
          <w:color w:val="auto"/>
        </w:rPr>
      </w:pPr>
    </w:p>
    <w:p>
      <w:pPr>
        <w:ind w:right="2359" w:firstLine="597"/>
        <w:spacing w:after="0" w:line="251" w:lineRule="auto"/>
        <w:rPr>
          <w:sz w:val="20"/>
          <w:szCs w:val="20"/>
          <w:color w:val="auto"/>
        </w:rPr>
      </w:pPr>
      <w:r>
        <w:rPr>
          <w:rFonts w:ascii="Courier New" w:cs="Courier New" w:eastAsia="Courier New" w:hAnsi="Courier New"/>
          <w:sz w:val="17"/>
          <w:szCs w:val="17"/>
          <w:color w:val="auto"/>
        </w:rPr>
        <w:t>The Trust plans to acquire additional retail properties and, in addition, has located sites where it intends to build new retail properties. The Trust will need additional capital in order to fund these acquisitions, expansions, developments and refinancings. Sources of this funding may be additional debt and additional equity. The timing and choice between additional debt or equity will depend upon many factors, including the market price for the Trust's shares, interest rates and the Trust's ratio of debt to net worth. The Trust believes, based on past experience, that it has the access to the capital markets needed to raise this capital.</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CONTINGENCIES</w:t>
      </w:r>
    </w:p>
    <w:p>
      <w:pPr>
        <w:spacing w:after="0" w:line="190" w:lineRule="exact"/>
        <w:rPr>
          <w:sz w:val="20"/>
          <w:szCs w:val="20"/>
          <w:color w:val="auto"/>
        </w:rPr>
      </w:pPr>
    </w:p>
    <w:p>
      <w:pPr>
        <w:ind w:right="2259" w:firstLine="597"/>
        <w:spacing w:after="0" w:line="247" w:lineRule="auto"/>
        <w:rPr>
          <w:sz w:val="20"/>
          <w:szCs w:val="20"/>
          <w:color w:val="auto"/>
        </w:rPr>
      </w:pPr>
      <w:r>
        <w:rPr>
          <w:rFonts w:ascii="Courier New" w:cs="Courier New" w:eastAsia="Courier New" w:hAnsi="Courier New"/>
          <w:sz w:val="17"/>
          <w:szCs w:val="17"/>
          <w:color w:val="auto"/>
        </w:rPr>
        <w:t>As previously reported, certain of the Trust's shopping centers have some environmental contamination. The Trust has retained an environmental consultant to investigate contamination at a shopping center in New Jersey. The Trust is evaluating whether it has insurance coverage for this matter. Although the Trust is still investigating the chlorinated solvent contamination in response to NJDEP directives, information collected to date indicates that remediation of this contamination is not likely to have a material effect upon the Trust's financial condition.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at this time, to estimate the range of remediation costs, if any.</w:t>
      </w:r>
    </w:p>
    <w:p>
      <w:pPr>
        <w:spacing w:after="0" w:line="101" w:lineRule="exact"/>
        <w:rPr>
          <w:sz w:val="20"/>
          <w:szCs w:val="20"/>
          <w:color w:val="auto"/>
        </w:rPr>
      </w:pPr>
    </w:p>
    <w:p>
      <w:pPr>
        <w:ind w:right="2259" w:firstLine="497"/>
        <w:spacing w:after="0" w:line="250" w:lineRule="auto"/>
        <w:rPr>
          <w:sz w:val="20"/>
          <w:szCs w:val="20"/>
          <w:color w:val="auto"/>
        </w:rPr>
      </w:pPr>
      <w:r>
        <w:rPr>
          <w:rFonts w:ascii="Courier New" w:cs="Courier New" w:eastAsia="Courier New" w:hAnsi="Courier New"/>
          <w:sz w:val="17"/>
          <w:szCs w:val="17"/>
          <w:color w:val="auto"/>
        </w:rPr>
        <w:t>On December 4, 1997 the Trust purchased the retail portion of a mixed use property located in Queens, New York. Environmental studies performed prior to the acquisition identified petroleum and solvent contamination in the soil and groundwater at various locations at the property. Additional investigation as to the nature and extent of contamination is required at this property. Although the seller states that it is not responsible for this investigation or remediation, the Trust disagrees and intends to pursue the seller to enforce its obligations with respect to contamination at the property. At this time, the Trust is unable to determine what impact, if any, this situation will have on the Trust's financial condition.</w:t>
      </w:r>
    </w:p>
    <w:p>
      <w:pPr>
        <w:spacing w:after="0" w:line="28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60" w:right="1440" w:bottom="1440" w:gutter="0" w:footer="0" w:header="0"/>
        </w:sectPr>
      </w:pPr>
    </w:p>
    <w:bookmarkStart w:id="16" w:name="page17"/>
    <w:bookmarkEnd w:id="16"/>
    <w:p>
      <w:pPr>
        <w:ind w:right="2259" w:firstLine="497"/>
        <w:spacing w:after="0" w:line="265" w:lineRule="auto"/>
        <w:rPr>
          <w:sz w:val="20"/>
          <w:szCs w:val="20"/>
          <w:color w:val="auto"/>
        </w:rPr>
      </w:pPr>
      <w:r>
        <w:rPr>
          <w:rFonts w:ascii="Courier New" w:cs="Courier New" w:eastAsia="Courier New" w:hAnsi="Courier New"/>
          <w:sz w:val="17"/>
          <w:szCs w:val="17"/>
          <w:color w:val="auto"/>
        </w:rPr>
        <w:t>Pursuant to the provisions of the respective partnership agreements, in the event of the exercise of put options by the other partners, the Trust would be required to purchase the 99% limited partnership interest at Loehmann's Plaza at its then fair market value and an 18.75% interest at Congressional Plaza at its then fair market value.</w:t>
      </w:r>
    </w:p>
    <w:p>
      <w:pPr>
        <w:spacing w:after="0" w:line="84" w:lineRule="exact"/>
        <w:rPr>
          <w:sz w:val="20"/>
          <w:szCs w:val="20"/>
          <w:color w:val="auto"/>
        </w:rPr>
      </w:pPr>
    </w:p>
    <w:p>
      <w:pPr>
        <w:ind w:right="2259" w:firstLine="497"/>
        <w:spacing w:after="0" w:line="250" w:lineRule="auto"/>
        <w:rPr>
          <w:sz w:val="20"/>
          <w:szCs w:val="20"/>
          <w:color w:val="auto"/>
        </w:rPr>
      </w:pPr>
      <w:r>
        <w:rPr>
          <w:rFonts w:ascii="Courier New" w:cs="Courier New" w:eastAsia="Courier New" w:hAnsi="Courier New"/>
          <w:sz w:val="17"/>
          <w:szCs w:val="17"/>
          <w:color w:val="auto"/>
        </w:rPr>
        <w:t>Under the terms of certain other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stock of the Trust at the election of the limited partners. If the limited partners do not redeem their interest, the Trust may choose to purchase the limited partnership interests upon the same terms. Under the terms of another partnership, the partners may exchange their 481,378 operating units into cash or common shares of the Trust, at the option of the Trust.</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 - THREE MONTHS ENDED MARCH 31, 1998 AND 1997</w:t>
      </w:r>
    </w:p>
    <w:p>
      <w:pPr>
        <w:spacing w:after="0" w:line="190" w:lineRule="exact"/>
        <w:rPr>
          <w:sz w:val="20"/>
          <w:szCs w:val="20"/>
          <w:color w:val="auto"/>
        </w:rPr>
      </w:pPr>
    </w:p>
    <w:p>
      <w:pPr>
        <w:ind w:right="2359" w:firstLine="497"/>
        <w:spacing w:after="0" w:line="261" w:lineRule="auto"/>
        <w:rPr>
          <w:sz w:val="20"/>
          <w:szCs w:val="20"/>
          <w:color w:val="auto"/>
        </w:rPr>
      </w:pPr>
      <w:r>
        <w:rPr>
          <w:rFonts w:ascii="Courier New" w:cs="Courier New" w:eastAsia="Courier New" w:hAnsi="Courier New"/>
          <w:sz w:val="16"/>
          <w:szCs w:val="16"/>
          <w:color w:val="auto"/>
        </w:rPr>
        <w:t>Net income and funds from operations have been affected by the Trust's recent acquisition, redevelopment and financing activities. The Trust has historically reported its funds from operations in addition to its net income and net cash provided by operating activities. Funds from operations is a supplemental measure of real estate companies' operating performance which excludes historical cost depreciation, since real estate values have historically risen and fallen with market conditions rather than over time. Funds from operations is defined by The National Association of Real Estate Investment Trusts ("NAREIT") as follows: income available for common shareholders before depreciation and amortization of real estate assets and before extraordinary items and significant non-recurring events less gains on sale of real estate. The Trust complies with this definition. Funds from operations does not replace net income as a measure of performance or net cash provided by operating activities as a measure of liquidity. Rather, funds from operations has been adopted by real estate investment trusts to provide a consistent supplemental measure of operating performance in the industry.</w:t>
      </w:r>
    </w:p>
    <w:p>
      <w:pPr>
        <w:spacing w:after="0" w:line="28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60" w:right="1440" w:bottom="1440" w:gutter="0" w:footer="0" w:header="0"/>
        </w:sectPr>
      </w:pPr>
    </w:p>
    <w:bookmarkStart w:id="17" w:name="page18"/>
    <w:bookmarkEnd w:id="17"/>
    <w:p>
      <w:pPr>
        <w:ind w:right="2659" w:firstLine="497"/>
        <w:spacing w:after="0" w:line="347" w:lineRule="auto"/>
        <w:rPr>
          <w:sz w:val="20"/>
          <w:szCs w:val="20"/>
          <w:color w:val="auto"/>
        </w:rPr>
      </w:pPr>
      <w:r>
        <w:rPr>
          <w:rFonts w:ascii="Courier New" w:cs="Courier New" w:eastAsia="Courier New" w:hAnsi="Courier New"/>
          <w:sz w:val="17"/>
          <w:szCs w:val="17"/>
          <w:color w:val="auto"/>
        </w:rPr>
        <w:t>The reconciliation of net income to funds from operations for the three months ended March 31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80" w:type="dxa"/>
            <w:vAlign w:val="bottom"/>
          </w:tcPr>
          <w:p>
            <w:pPr>
              <w:spacing w:after="0"/>
              <w:rPr>
                <w:sz w:val="16"/>
                <w:szCs w:val="16"/>
                <w:color w:val="auto"/>
              </w:rPr>
            </w:pPr>
          </w:p>
        </w:tc>
        <w:tc>
          <w:tcPr>
            <w:tcW w:w="11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1998</w:t>
            </w:r>
          </w:p>
        </w:tc>
        <w:tc>
          <w:tcPr>
            <w:tcW w:w="8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1997</w:t>
            </w:r>
          </w:p>
        </w:tc>
        <w:tc>
          <w:tcPr>
            <w:tcW w:w="0" w:type="dxa"/>
            <w:vAlign w:val="bottom"/>
          </w:tcPr>
          <w:p>
            <w:pPr>
              <w:spacing w:after="0"/>
              <w:rPr>
                <w:sz w:val="1"/>
                <w:szCs w:val="1"/>
                <w:color w:val="auto"/>
              </w:rPr>
            </w:pPr>
          </w:p>
        </w:tc>
      </w:tr>
      <w:tr>
        <w:trPr>
          <w:trHeight w:val="280"/>
        </w:trPr>
        <w:tc>
          <w:tcPr>
            <w:tcW w:w="4080" w:type="dxa"/>
            <w:vAlign w:val="bottom"/>
          </w:tcPr>
          <w:p>
            <w:pPr>
              <w:spacing w:after="0"/>
              <w:rPr>
                <w:sz w:val="24"/>
                <w:szCs w:val="24"/>
                <w:color w:val="auto"/>
              </w:rPr>
            </w:pPr>
          </w:p>
        </w:tc>
        <w:tc>
          <w:tcPr>
            <w:tcW w:w="198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(in thousands)</w:t>
            </w:r>
          </w:p>
        </w:tc>
        <w:tc>
          <w:tcPr>
            <w:tcW w:w="0" w:type="dxa"/>
            <w:vAlign w:val="bottom"/>
          </w:tcPr>
          <w:p>
            <w:pPr>
              <w:spacing w:after="0"/>
              <w:rPr>
                <w:sz w:val="1"/>
                <w:szCs w:val="1"/>
                <w:color w:val="auto"/>
              </w:rPr>
            </w:pPr>
          </w:p>
        </w:tc>
      </w:tr>
      <w:tr>
        <w:trPr>
          <w:trHeight w:val="294"/>
        </w:trPr>
        <w:tc>
          <w:tcPr>
            <w:tcW w:w="4080" w:type="dxa"/>
            <w:vAlign w:val="bottom"/>
          </w:tcPr>
          <w:p>
            <w:pPr>
              <w:spacing w:after="0"/>
              <w:rPr>
                <w:sz w:val="20"/>
                <w:szCs w:val="20"/>
                <w:color w:val="auto"/>
              </w:rPr>
            </w:pPr>
            <w:r>
              <w:rPr>
                <w:rFonts w:ascii="Courier New" w:cs="Courier New" w:eastAsia="Courier New" w:hAnsi="Courier New"/>
                <w:sz w:val="17"/>
                <w:szCs w:val="17"/>
                <w:color w:val="auto"/>
              </w:rPr>
              <w:t>Net income available for common</w:t>
            </w:r>
          </w:p>
        </w:tc>
        <w:tc>
          <w:tcPr>
            <w:tcW w:w="114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$10,706</w:t>
            </w:r>
          </w:p>
        </w:tc>
        <w:tc>
          <w:tcPr>
            <w:tcW w:w="8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$ 9,311</w:t>
            </w:r>
          </w:p>
        </w:tc>
        <w:tc>
          <w:tcPr>
            <w:tcW w:w="0" w:type="dxa"/>
            <w:vAlign w:val="bottom"/>
          </w:tcPr>
          <w:p>
            <w:pPr>
              <w:spacing w:after="0"/>
              <w:rPr>
                <w:sz w:val="1"/>
                <w:szCs w:val="1"/>
                <w:color w:val="auto"/>
              </w:rPr>
            </w:pPr>
          </w:p>
        </w:tc>
      </w:tr>
      <w:tr>
        <w:trPr>
          <w:trHeight w:val="191"/>
        </w:trPr>
        <w:tc>
          <w:tcPr>
            <w:tcW w:w="408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shareholders</w:t>
            </w:r>
          </w:p>
        </w:tc>
        <w:tc>
          <w:tcPr>
            <w:tcW w:w="1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80" w:type="dxa"/>
            <w:vAlign w:val="bottom"/>
          </w:tcPr>
          <w:p>
            <w:pPr>
              <w:spacing w:after="0" w:line="191" w:lineRule="exact"/>
              <w:rPr>
                <w:sz w:val="20"/>
                <w:szCs w:val="20"/>
                <w:color w:val="auto"/>
              </w:rPr>
            </w:pPr>
            <w:r>
              <w:rPr>
                <w:rFonts w:ascii="Courier New" w:cs="Courier New" w:eastAsia="Courier New" w:hAnsi="Courier New"/>
                <w:sz w:val="17"/>
                <w:szCs w:val="17"/>
                <w:color w:val="auto"/>
              </w:rPr>
              <w:t>Plus: depreciation and amortization</w:t>
            </w:r>
          </w:p>
        </w:tc>
        <w:tc>
          <w:tcPr>
            <w:tcW w:w="114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9,738</w:t>
            </w:r>
          </w:p>
        </w:tc>
        <w:tc>
          <w:tcPr>
            <w:tcW w:w="8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9,064</w:t>
            </w:r>
          </w:p>
        </w:tc>
        <w:tc>
          <w:tcPr>
            <w:tcW w:w="0" w:type="dxa"/>
            <w:vAlign w:val="bottom"/>
          </w:tcPr>
          <w:p>
            <w:pPr>
              <w:spacing w:after="0"/>
              <w:rPr>
                <w:sz w:val="1"/>
                <w:szCs w:val="1"/>
                <w:color w:val="auto"/>
              </w:rPr>
            </w:pPr>
          </w:p>
        </w:tc>
      </w:tr>
      <w:tr>
        <w:trPr>
          <w:trHeight w:val="191"/>
        </w:trPr>
        <w:tc>
          <w:tcPr>
            <w:tcW w:w="408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of real estate assets</w:t>
            </w:r>
          </w:p>
        </w:tc>
        <w:tc>
          <w:tcPr>
            <w:tcW w:w="1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amortization of initial direct</w:t>
            </w:r>
          </w:p>
        </w:tc>
        <w:tc>
          <w:tcPr>
            <w:tcW w:w="114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593</w:t>
            </w:r>
          </w:p>
        </w:tc>
        <w:tc>
          <w:tcPr>
            <w:tcW w:w="8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584</w:t>
            </w:r>
          </w:p>
        </w:tc>
        <w:tc>
          <w:tcPr>
            <w:tcW w:w="0" w:type="dxa"/>
            <w:vAlign w:val="bottom"/>
          </w:tcPr>
          <w:p>
            <w:pPr>
              <w:spacing w:after="0"/>
              <w:rPr>
                <w:sz w:val="1"/>
                <w:szCs w:val="1"/>
                <w:color w:val="auto"/>
              </w:rPr>
            </w:pPr>
          </w:p>
        </w:tc>
      </w:tr>
      <w:tr>
        <w:trPr>
          <w:trHeight w:val="191"/>
        </w:trPr>
        <w:tc>
          <w:tcPr>
            <w:tcW w:w="408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costs of leases</w:t>
            </w:r>
          </w:p>
        </w:tc>
        <w:tc>
          <w:tcPr>
            <w:tcW w:w="1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income attributable to operating</w:t>
            </w:r>
          </w:p>
        </w:tc>
        <w:tc>
          <w:tcPr>
            <w:tcW w:w="114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207</w:t>
            </w:r>
          </w:p>
        </w:tc>
        <w:tc>
          <w:tcPr>
            <w:tcW w:w="840" w:type="dxa"/>
            <w:vAlign w:val="bottom"/>
            <w:vMerge w:val="restart"/>
          </w:tcPr>
          <w:p>
            <w:pPr>
              <w:jc w:val="right"/>
              <w:ind w:right="19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40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partnership units</w:t>
            </w:r>
          </w:p>
        </w:tc>
        <w:tc>
          <w:tcPr>
            <w:tcW w:w="1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80" w:type="dxa"/>
            <w:vAlign w:val="bottom"/>
            <w:vMerge w:val="restart"/>
          </w:tcPr>
          <w:p>
            <w:pPr>
              <w:spacing w:after="0"/>
              <w:rPr>
                <w:sz w:val="20"/>
                <w:szCs w:val="20"/>
                <w:color w:val="auto"/>
              </w:rPr>
            </w:pPr>
            <w:r>
              <w:rPr>
                <w:rFonts w:ascii="Courier New" w:cs="Courier New" w:eastAsia="Courier New" w:hAnsi="Courier New"/>
                <w:sz w:val="17"/>
                <w:szCs w:val="17"/>
                <w:color w:val="auto"/>
              </w:rPr>
              <w:t>Funds from operations, diluted</w:t>
            </w: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4080" w:type="dxa"/>
            <w:vAlign w:val="bottom"/>
            <w:vMerge w:val="continue"/>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$21,244</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$18,959</w:t>
            </w:r>
          </w:p>
        </w:tc>
        <w:tc>
          <w:tcPr>
            <w:tcW w:w="0" w:type="dxa"/>
            <w:vAlign w:val="bottom"/>
          </w:tcPr>
          <w:p>
            <w:pPr>
              <w:spacing w:after="0"/>
              <w:rPr>
                <w:sz w:val="1"/>
                <w:szCs w:val="1"/>
                <w:color w:val="auto"/>
              </w:rPr>
            </w:pPr>
          </w:p>
        </w:tc>
      </w:tr>
      <w:tr>
        <w:trPr>
          <w:trHeight w:val="280"/>
        </w:trPr>
        <w:tc>
          <w:tcPr>
            <w:tcW w:w="4080" w:type="dxa"/>
            <w:vAlign w:val="bottom"/>
          </w:tcPr>
          <w:p>
            <w:pPr>
              <w:spacing w:after="0"/>
              <w:rPr>
                <w:sz w:val="24"/>
                <w:szCs w:val="24"/>
                <w:color w:val="auto"/>
              </w:rPr>
            </w:pPr>
          </w:p>
        </w:tc>
        <w:tc>
          <w:tcPr>
            <w:tcW w:w="11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2459" w:firstLine="497"/>
        <w:spacing w:after="0" w:line="347" w:lineRule="auto"/>
        <w:rPr>
          <w:sz w:val="20"/>
          <w:szCs w:val="20"/>
          <w:color w:val="auto"/>
        </w:rPr>
      </w:pPr>
      <w:r>
        <w:rPr>
          <w:rFonts w:ascii="Courier New" w:cs="Courier New" w:eastAsia="Courier New" w:hAnsi="Courier New"/>
          <w:sz w:val="17"/>
          <w:szCs w:val="17"/>
          <w:color w:val="auto"/>
        </w:rPr>
        <w:t>Funds from operations increased 12% to $21.2 million in the first quarter of 1998 from $19.0 million in the first quarter of 1997.</w:t>
      </w:r>
    </w:p>
    <w:p>
      <w:pPr>
        <w:spacing w:after="0" w:line="1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Rental income, which consists of minimum rent, percentage rent and cost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recoveries, increased 19% from $43.9 million in the first quarter of 1997 to</w:t>
      </w:r>
    </w:p>
    <w:p>
      <w:pPr>
        <w:spacing w:after="0"/>
        <w:tabs>
          <w:tab w:leader="none" w:pos="4460" w:val="left"/>
        </w:tabs>
        <w:rPr>
          <w:sz w:val="20"/>
          <w:szCs w:val="20"/>
          <w:color w:val="auto"/>
        </w:rPr>
      </w:pPr>
      <w:r>
        <w:rPr>
          <w:rFonts w:ascii="Courier New" w:cs="Courier New" w:eastAsia="Courier New" w:hAnsi="Courier New"/>
          <w:sz w:val="17"/>
          <w:szCs w:val="17"/>
          <w:color w:val="auto"/>
        </w:rPr>
        <w:t>$52.5 million in the first quarter of 1998.</w:t>
      </w:r>
      <w:r>
        <w:rPr>
          <w:sz w:val="20"/>
          <w:szCs w:val="20"/>
          <w:color w:val="auto"/>
        </w:rPr>
        <w:tab/>
      </w:r>
      <w:r>
        <w:rPr>
          <w:rFonts w:ascii="Courier New" w:cs="Courier New" w:eastAsia="Courier New" w:hAnsi="Courier New"/>
          <w:sz w:val="16"/>
          <w:szCs w:val="16"/>
          <w:color w:val="auto"/>
        </w:rPr>
        <w:t>If properties purchased and sold in</w:t>
      </w:r>
    </w:p>
    <w:p>
      <w:pPr>
        <w:spacing w:after="0"/>
        <w:rPr>
          <w:sz w:val="20"/>
          <w:szCs w:val="20"/>
          <w:color w:val="auto"/>
        </w:rPr>
      </w:pPr>
      <w:r>
        <w:rPr>
          <w:rFonts w:ascii="Courier New" w:cs="Courier New" w:eastAsia="Courier New" w:hAnsi="Courier New"/>
          <w:sz w:val="17"/>
          <w:szCs w:val="17"/>
          <w:color w:val="auto"/>
        </w:rPr>
        <w:t>1997 and 1998 are excluded, rental income increased 6%.</w:t>
      </w:r>
    </w:p>
    <w:p>
      <w:pPr>
        <w:spacing w:after="0" w:line="160" w:lineRule="exact"/>
        <w:rPr>
          <w:sz w:val="20"/>
          <w:szCs w:val="20"/>
          <w:color w:val="auto"/>
        </w:rPr>
      </w:pPr>
    </w:p>
    <w:p>
      <w:pPr>
        <w:ind w:right="2259" w:firstLine="497"/>
        <w:spacing w:after="0" w:line="260" w:lineRule="auto"/>
        <w:rPr>
          <w:sz w:val="20"/>
          <w:szCs w:val="20"/>
          <w:color w:val="auto"/>
        </w:rPr>
      </w:pPr>
      <w:r>
        <w:rPr>
          <w:rFonts w:ascii="Courier New" w:cs="Courier New" w:eastAsia="Courier New" w:hAnsi="Courier New"/>
          <w:sz w:val="17"/>
          <w:szCs w:val="17"/>
          <w:color w:val="auto"/>
        </w:rPr>
        <w:t>Minimum rent increased 22% from $35.1 million in the first quarter of 1997 to $42.9 million in the first quarter of 1998. Excluding properties purchased and sold in 1997 and 1998, minimum rent increased 8%. The majority of the increase is attributable to retail properties which have recently been renovated and retenanted, including Troy, Wynnewood, Brick, Gratiot, Finley, Crossroads and Bethesda Row Shopping Centers.</w:t>
      </w:r>
    </w:p>
    <w:p>
      <w:pPr>
        <w:spacing w:after="0" w:line="87"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7"/>
          <w:szCs w:val="17"/>
          <w:color w:val="auto"/>
        </w:rPr>
        <w:t>Cost reimbursements consist of tenant reimbursements of real estate taxes (real estate tax recovery) and common area maintenance expenses (CAM recovery). Cost reimbursements increased 5% from $7.6 million during the first quarter of 1997 to $8.0 million during the first quarter of 1998. Excluding properties purchased and sold in 1997 and 1998, cost reimbursements decreased from $7.3 million to $6.9 million. Real estate tax recovery on the core portfolio increased $165,000, while CAM recovery decreased $563,000 on the core portfolio as CAM expenses, mainly snow removal decreased.</w:t>
      </w:r>
    </w:p>
    <w:p>
      <w:pPr>
        <w:spacing w:after="0" w:line="97" w:lineRule="exact"/>
        <w:rPr>
          <w:sz w:val="20"/>
          <w:szCs w:val="20"/>
          <w:color w:val="auto"/>
        </w:rPr>
      </w:pPr>
    </w:p>
    <w:p>
      <w:pPr>
        <w:ind w:right="2659" w:firstLine="497"/>
        <w:spacing w:after="0" w:line="318" w:lineRule="auto"/>
        <w:rPr>
          <w:sz w:val="20"/>
          <w:szCs w:val="20"/>
          <w:color w:val="auto"/>
        </w:rPr>
      </w:pPr>
      <w:r>
        <w:rPr>
          <w:rFonts w:ascii="Courier New" w:cs="Courier New" w:eastAsia="Courier New" w:hAnsi="Courier New"/>
          <w:sz w:val="16"/>
          <w:szCs w:val="16"/>
          <w:color w:val="auto"/>
        </w:rPr>
        <w:t>Other property income includes items which, although recurring, tend to fluctuate from period to period, such as utility reimbursements, telephone income, merchant association dues, late fees and temporary tenant income.</w:t>
      </w:r>
    </w:p>
    <w:p>
      <w:pPr>
        <w:spacing w:after="0" w:line="23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60" w:right="1440" w:bottom="1440" w:gutter="0" w:footer="0" w:header="0"/>
        </w:sectPr>
      </w:pPr>
    </w:p>
    <w:bookmarkStart w:id="18" w:name="page19"/>
    <w:bookmarkEnd w:id="18"/>
    <w:p>
      <w:pPr>
        <w:ind w:right="2259"/>
        <w:spacing w:after="0" w:line="260" w:lineRule="auto"/>
        <w:rPr>
          <w:sz w:val="20"/>
          <w:szCs w:val="20"/>
          <w:color w:val="auto"/>
        </w:rPr>
      </w:pPr>
      <w:r>
        <w:rPr>
          <w:rFonts w:ascii="Courier New" w:cs="Courier New" w:eastAsia="Courier New" w:hAnsi="Courier New"/>
          <w:sz w:val="17"/>
          <w:szCs w:val="17"/>
          <w:color w:val="auto"/>
        </w:rPr>
        <w:t>It also includes nonrecurring items such as lease termination fees. Other property income decreased from $3.2 million during the first quarter of 1997 to $2.1 million during the first quarter of 1998. If other income is adjusted to remove the effect of properties sold and acquired in 1997 and 1998, other income decreased $1.4 million, primarily due to a decrease in termination fees from $1.5 million in 1997 to $90,000 in 1998.</w:t>
      </w:r>
    </w:p>
    <w:p>
      <w:pPr>
        <w:spacing w:after="0" w:line="87" w:lineRule="exact"/>
        <w:rPr>
          <w:sz w:val="20"/>
          <w:szCs w:val="20"/>
          <w:color w:val="auto"/>
        </w:rPr>
      </w:pPr>
    </w:p>
    <w:p>
      <w:pPr>
        <w:ind w:right="2259" w:firstLine="497"/>
        <w:spacing w:after="0" w:line="318" w:lineRule="auto"/>
        <w:rPr>
          <w:sz w:val="20"/>
          <w:szCs w:val="20"/>
          <w:color w:val="auto"/>
        </w:rPr>
      </w:pPr>
      <w:r>
        <w:rPr>
          <w:rFonts w:ascii="Courier New" w:cs="Courier New" w:eastAsia="Courier New" w:hAnsi="Courier New"/>
          <w:sz w:val="16"/>
          <w:szCs w:val="16"/>
          <w:color w:val="auto"/>
        </w:rPr>
        <w:t>Rental expenses have increased 17% in the first quarter of 1998 from the first quarter of 1997, to $11.9 million from $10.2 million. If centers acquired and sold during 1997 and 1998 are excluded, rental expenses only increased 1%.</w:t>
      </w:r>
    </w:p>
    <w:p>
      <w:pPr>
        <w:spacing w:after="0" w:line="45" w:lineRule="exact"/>
        <w:rPr>
          <w:sz w:val="20"/>
          <w:szCs w:val="20"/>
          <w:color w:val="auto"/>
        </w:rPr>
      </w:pPr>
    </w:p>
    <w:p>
      <w:pPr>
        <w:ind w:right="2259" w:firstLine="497"/>
        <w:spacing w:after="0" w:line="260" w:lineRule="auto"/>
        <w:rPr>
          <w:sz w:val="20"/>
          <w:szCs w:val="20"/>
          <w:color w:val="auto"/>
        </w:rPr>
      </w:pPr>
      <w:r>
        <w:rPr>
          <w:rFonts w:ascii="Courier New" w:cs="Courier New" w:eastAsia="Courier New" w:hAnsi="Courier New"/>
          <w:sz w:val="17"/>
          <w:szCs w:val="17"/>
          <w:color w:val="auto"/>
        </w:rPr>
        <w:t>Real estate taxes have increased from $4.6 million during the first quarter of 1997 to $5.5 million during the first quarter of 1998, due to the recent acquisitions. Depreciation and amortization in the first quarter of 1998 was 6% greater than in the first quarter of 1997. Excluding the effect from the 1997 and 1998 acquisitions, depreciation and amortization increased 2% due to depreciation on recent tenant work and property improvements.</w:t>
      </w:r>
    </w:p>
    <w:p>
      <w:pPr>
        <w:spacing w:after="0" w:line="87" w:lineRule="exact"/>
        <w:rPr>
          <w:sz w:val="20"/>
          <w:szCs w:val="20"/>
          <w:color w:val="auto"/>
        </w:rPr>
      </w:pPr>
    </w:p>
    <w:p>
      <w:pPr>
        <w:ind w:right="2259" w:firstLine="497"/>
        <w:spacing w:after="0" w:line="267" w:lineRule="auto"/>
        <w:rPr>
          <w:sz w:val="20"/>
          <w:szCs w:val="20"/>
          <w:color w:val="auto"/>
        </w:rPr>
      </w:pPr>
      <w:r>
        <w:rPr>
          <w:rFonts w:ascii="Courier New" w:cs="Courier New" w:eastAsia="Courier New" w:hAnsi="Courier New"/>
          <w:sz w:val="16"/>
          <w:szCs w:val="16"/>
          <w:color w:val="auto"/>
        </w:rPr>
        <w:t>Interest expense increased from $12.0 million during the first quarter of 1997 to $12.7 million during the first quarter of 1998, due to interest expense on the Medium Term Notes issued in 1997 and 1998 and increased interest from greater usage on the line of credit, partially offset by an increase in interest capitalized. The ratio of earnings to combined fixed charges and preferred dividends was 1.58x for the first quarter of 1998; there were no preferred dividends in the first quarter of 1997. The ratio of earnings to fixed charges was 1.8x and 1.72x during the first quarter of 1998 and 1997, respectively. The ratio of funds from operations to fixed charges was 2.40x for the first quarter of 1998 and 2.48x for the first quarter of 1997.</w:t>
      </w:r>
    </w:p>
    <w:p>
      <w:pPr>
        <w:spacing w:after="0" w:line="87" w:lineRule="exact"/>
        <w:rPr>
          <w:sz w:val="20"/>
          <w:szCs w:val="20"/>
          <w:color w:val="auto"/>
        </w:rPr>
      </w:pPr>
    </w:p>
    <w:p>
      <w:pPr>
        <w:ind w:right="2359" w:firstLine="497"/>
        <w:spacing w:after="0" w:line="274" w:lineRule="auto"/>
        <w:rPr>
          <w:sz w:val="20"/>
          <w:szCs w:val="20"/>
          <w:color w:val="auto"/>
        </w:rPr>
      </w:pPr>
      <w:r>
        <w:rPr>
          <w:rFonts w:ascii="Courier New" w:cs="Courier New" w:eastAsia="Courier New" w:hAnsi="Courier New"/>
          <w:sz w:val="17"/>
          <w:szCs w:val="17"/>
          <w:color w:val="auto"/>
        </w:rPr>
        <w:t>Administrative expenses have decreased from $2.1 million during the first quarter of 1997 to $1.8 million during the first quarter of 1998, primarily due to temporary decreases in certain personnel costs as the Trust reorganizes its executive management.</w:t>
      </w:r>
    </w:p>
    <w:p>
      <w:pPr>
        <w:spacing w:after="0" w:line="77" w:lineRule="exact"/>
        <w:rPr>
          <w:sz w:val="20"/>
          <w:szCs w:val="20"/>
          <w:color w:val="auto"/>
        </w:rPr>
      </w:pPr>
    </w:p>
    <w:p>
      <w:pPr>
        <w:ind w:right="2359" w:firstLine="497"/>
        <w:spacing w:after="0" w:line="260" w:lineRule="auto"/>
        <w:rPr>
          <w:sz w:val="20"/>
          <w:szCs w:val="20"/>
          <w:color w:val="auto"/>
        </w:rPr>
      </w:pPr>
      <w:r>
        <w:rPr>
          <w:rFonts w:ascii="Courier New" w:cs="Courier New" w:eastAsia="Courier New" w:hAnsi="Courier New"/>
          <w:sz w:val="17"/>
          <w:szCs w:val="17"/>
          <w:color w:val="auto"/>
        </w:rPr>
        <w:t>As a result of the foregoing items, net income increased from $9.3 million during the first quarter of 1997 to $12.7 million during the first quarter of 1998. Net income available for common shareholders was $10.7 million in the first quarter of 1998 after net income was adjusted for a $2.0 million dividend on the $100 million of 7.95% Series A Cumulative Redeemable Preferred Shares issued in October 1997.</w:t>
      </w:r>
    </w:p>
    <w:p>
      <w:pPr>
        <w:spacing w:after="0" w:line="27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60" w:right="1440" w:bottom="1440" w:gutter="0" w:footer="0" w:header="0"/>
        </w:sectPr>
      </w:pPr>
    </w:p>
    <w:bookmarkStart w:id="19" w:name="page20"/>
    <w:bookmarkEnd w:id="19"/>
    <w:p>
      <w:pPr>
        <w:ind w:right="2259" w:firstLine="398"/>
        <w:spacing w:after="0" w:line="262" w:lineRule="auto"/>
        <w:rPr>
          <w:sz w:val="20"/>
          <w:szCs w:val="20"/>
          <w:color w:val="auto"/>
        </w:rPr>
      </w:pPr>
      <w:r>
        <w:rPr>
          <w:rFonts w:ascii="Courier New" w:cs="Courier New" w:eastAsia="Courier New" w:hAnsi="Courier New"/>
          <w:sz w:val="16"/>
          <w:szCs w:val="16"/>
          <w:color w:val="auto"/>
        </w:rPr>
        <w:t>The Trust intends to continue acquiring retail properties during the remainder of 1998. If successful in so doing, these acquisitions should contribute to growth in rental income and expenses and, thereby, net income. However, the competitive market for properties may adversely impact the Trust's ability to acquire properties or the price at which they can be acquired. In response to this increasingly competitive environment, the Trust is planning to focus considerable time and resources in the future on development, with the belief that such new development, although not having a positive effect on net income and funds from operations in the very near future, will have a positive impact in the longer term. In addition, the adoption of EITF issue #97-11, "Accounting for Internal Costs Relating to Real Estate Property Acquisitions" which requires that the internal costs of preacquisition activities incurred in connection with the acquisition of an operating property be expensed rather than capitalized will cause general and administrative expenses to increase with a corresponding decrease to net income.</w:t>
      </w:r>
    </w:p>
    <w:p>
      <w:pPr>
        <w:spacing w:after="0" w:line="28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60"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7"/>
          <w:szCs w:val="17"/>
          <w:color w:val="auto"/>
        </w:rPr>
        <w:t>PART II - OTHER INFORMATION</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Exhibits and Reports on Form 8-K</w:t>
      </w:r>
    </w:p>
    <w:p>
      <w:pPr>
        <w:spacing w:after="0" w:line="27" w:lineRule="exact"/>
        <w:rPr>
          <w:sz w:val="20"/>
          <w:szCs w:val="20"/>
          <w:color w:val="auto"/>
        </w:rPr>
      </w:pPr>
    </w:p>
    <w:p>
      <w:pPr>
        <w:ind w:left="400" w:hanging="398"/>
        <w:spacing w:after="0"/>
        <w:tabs>
          <w:tab w:leader="none" w:pos="4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ind w:left="1300" w:hanging="502"/>
        <w:spacing w:after="0"/>
        <w:tabs>
          <w:tab w:leader="none" w:pos="13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Data Schedule.......................Edgar filing only</w:t>
      </w:r>
    </w:p>
    <w:p>
      <w:pPr>
        <w:spacing w:after="0" w:line="159"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28" w:lineRule="exact"/>
        <w:rPr>
          <w:rFonts w:ascii="Courier New" w:cs="Courier New" w:eastAsia="Courier New" w:hAnsi="Courier New"/>
          <w:sz w:val="17"/>
          <w:szCs w:val="17"/>
          <w:color w:val="auto"/>
        </w:rPr>
      </w:pPr>
    </w:p>
    <w:p>
      <w:pPr>
        <w:ind w:left="4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 Form 8-K, dated September 26, 1997, was filed on February 24, 1998 in</w:t>
      </w:r>
    </w:p>
    <w:p>
      <w:pPr>
        <w:spacing w:after="0" w:line="238" w:lineRule="auto"/>
        <w:rPr>
          <w:sz w:val="20"/>
          <w:szCs w:val="20"/>
          <w:color w:val="auto"/>
        </w:rPr>
      </w:pPr>
      <w:r>
        <w:rPr>
          <w:rFonts w:ascii="Courier New" w:cs="Courier New" w:eastAsia="Courier New" w:hAnsi="Courier New"/>
          <w:sz w:val="17"/>
          <w:szCs w:val="17"/>
          <w:color w:val="auto"/>
        </w:rPr>
        <w:t>response to Item 5.</w:t>
      </w:r>
    </w:p>
    <w:p>
      <w:pPr>
        <w:ind w:left="400"/>
        <w:spacing w:after="0"/>
        <w:rPr>
          <w:sz w:val="20"/>
          <w:szCs w:val="20"/>
          <w:color w:val="auto"/>
        </w:rPr>
      </w:pPr>
      <w:r>
        <w:rPr>
          <w:rFonts w:ascii="Courier New" w:cs="Courier New" w:eastAsia="Courier New" w:hAnsi="Courier New"/>
          <w:sz w:val="17"/>
          <w:szCs w:val="17"/>
          <w:color w:val="auto"/>
        </w:rPr>
        <w:t>A Form 8-K, dated March 10, 1998, was filed in response to Item 5.</w:t>
      </w:r>
    </w:p>
    <w:p>
      <w:pPr>
        <w:ind w:right="2259" w:firstLine="398"/>
        <w:spacing w:after="0" w:line="309" w:lineRule="auto"/>
        <w:rPr>
          <w:sz w:val="20"/>
          <w:szCs w:val="20"/>
          <w:color w:val="auto"/>
        </w:rPr>
      </w:pPr>
      <w:r>
        <w:rPr>
          <w:rFonts w:ascii="Courier New" w:cs="Courier New" w:eastAsia="Courier New" w:hAnsi="Courier New"/>
          <w:sz w:val="17"/>
          <w:szCs w:val="17"/>
          <w:color w:val="auto"/>
        </w:rPr>
        <w:t>A Form 8-K, dated December 31, 1997, was filed on March 11, 1998 in response to Item 7.(c).</w:t>
      </w:r>
    </w:p>
    <w:p>
      <w:pPr>
        <w:spacing w:after="0" w:line="200" w:lineRule="exact"/>
        <w:rPr>
          <w:sz w:val="20"/>
          <w:szCs w:val="20"/>
          <w:color w:val="auto"/>
        </w:rPr>
      </w:pPr>
    </w:p>
    <w:p>
      <w:pPr>
        <w:spacing w:after="0" w:line="23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60" w:right="1440" w:bottom="1440" w:gutter="0" w:footer="0" w:header="0"/>
        </w:sectPr>
      </w:pPr>
    </w:p>
    <w:bookmarkStart w:id="21" w:name="page22"/>
    <w:bookmarkEnd w:id="21"/>
    <w:p>
      <w:pPr>
        <w:ind w:right="2559" w:firstLine="497"/>
        <w:spacing w:after="0" w:line="292"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FEDERAL REALTY INVESTMENT TRUST</w:t>
      </w:r>
    </w:p>
    <w:p>
      <w:pPr>
        <w:spacing w:after="0" w:line="27"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w:t>
      </w:r>
    </w:p>
    <w:p>
      <w:pPr>
        <w:jc w:val="right"/>
        <w:ind w:right="2259"/>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660"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May 11, 1998</w:t>
      </w:r>
    </w:p>
    <w:p>
      <w:pPr>
        <w:spacing w:after="0" w:line="29"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Steven J. Guttman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Steven J. Guttman, President</w:t>
      </w: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200" w:lineRule="exact"/>
        <w:rPr>
          <w:sz w:val="20"/>
          <w:szCs w:val="20"/>
          <w:color w:val="auto"/>
        </w:rPr>
      </w:pPr>
    </w:p>
    <w:p>
      <w:pPr>
        <w:sectPr>
          <w:pgSz w:w="11900" w:h="16838" w:orient="portrait"/>
          <w:cols w:equalWidth="0" w:num="2">
            <w:col w:w="4160" w:space="720"/>
            <w:col w:w="5339"/>
          </w:cols>
          <w:pgMar w:left="240" w:top="660" w:right="1440" w:bottom="1440" w:gutter="0" w:footer="0" w:header="0"/>
          <w:type w:val="continuous"/>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May 11, 1998</w:t>
      </w:r>
    </w:p>
    <w:p>
      <w:pPr>
        <w:spacing w:after="0" w:line="29"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Cecily A. Ward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Cecily A. Ward</w:t>
      </w:r>
    </w:p>
    <w:p>
      <w:pPr>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ectPr>
          <w:pgSz w:w="11900" w:h="16838" w:orient="portrait"/>
          <w:cols w:equalWidth="0" w:num="2">
            <w:col w:w="4160" w:space="720"/>
            <w:col w:w="5339"/>
          </w:cols>
          <w:pgMar w:left="240" w:top="660" w:right="1440" w:bottom="1440" w:gutter="0" w:footer="0" w:header="0"/>
          <w:type w:val="continuous"/>
        </w:sectPr>
      </w:pPr>
    </w:p>
    <w:p>
      <w:pPr>
        <w:spacing w:after="0" w:line="35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60" w:right="1440" w:bottom="1440" w:gutter="0" w:footer="0" w:header="0"/>
          <w:type w:val="continuous"/>
        </w:sectPr>
      </w:pPr>
    </w:p>
    <w:bookmarkStart w:id="22" w:name="page23"/>
    <w:bookmarkEnd w:id="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ind w:left="100"/>
        <w:spacing w:after="0"/>
        <w:rPr>
          <w:sz w:val="20"/>
          <w:szCs w:val="20"/>
          <w:color w:val="auto"/>
        </w:rPr>
      </w:pPr>
      <w:r>
        <w:rPr>
          <w:rFonts w:ascii="Courier New" w:cs="Courier New" w:eastAsia="Courier New" w:hAnsi="Courier New"/>
          <w:sz w:val="17"/>
          <w:szCs w:val="17"/>
          <w:color w:val="auto"/>
        </w:rPr>
        <w:t>5</w:t>
      </w:r>
    </w:p>
    <w:p>
      <w:pPr>
        <w:spacing w:after="0" w:line="190" w:lineRule="exact"/>
        <w:rPr>
          <w:sz w:val="20"/>
          <w:szCs w:val="20"/>
          <w:color w:val="auto"/>
        </w:rPr>
      </w:pPr>
    </w:p>
    <w:p>
      <w:pPr>
        <w:ind w:left="20" w:right="2439"/>
        <w:spacing w:after="0" w:line="265" w:lineRule="auto"/>
        <w:rPr>
          <w:sz w:val="20"/>
          <w:szCs w:val="20"/>
          <w:color w:val="auto"/>
        </w:rPr>
      </w:pPr>
      <w:r>
        <w:rPr>
          <w:rFonts w:ascii="Courier New" w:cs="Courier New" w:eastAsia="Courier New" w:hAnsi="Courier New"/>
          <w:sz w:val="17"/>
          <w:szCs w:val="17"/>
          <w:color w:val="auto"/>
        </w:rPr>
        <w:t>THIS SCHEDULE CONTAINS SUMMARY FINANCIAL INFORMATION EXTRACTED FROM THE CONSOLIDATED BALANCE SHEET OF FEDERAL REALTY INVESTMENT TRUST AS OF MARCH 31, 1998 AND THE RELATED CONSOLIDATED STATEMENT OF OPERATIONS FOR THE THREE MONTHS ENDED MARCH 31, 1998 AND IS QUALIFIED IN ITS ENTIRETY BY REFERENCE TO SUCH FINANCIAL STATEMENTS.</w:t>
      </w:r>
    </w:p>
    <w:p>
      <w:pPr>
        <w:spacing w:after="0" w:line="8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1,000</w:t>
      </w:r>
    </w:p>
    <w:p>
      <w:pPr>
        <w:spacing w:after="0" w:line="381"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3-MOS</w:t>
      </w:r>
    </w:p>
    <w:p>
      <w:pPr>
        <w:spacing w:after="0" w:line="27"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DEC-31-1998</w:t>
      </w:r>
    </w:p>
    <w:p>
      <w:pPr>
        <w:ind w:left="3080"/>
        <w:spacing w:after="0" w:line="238" w:lineRule="auto"/>
        <w:rPr>
          <w:sz w:val="20"/>
          <w:szCs w:val="20"/>
          <w:color w:val="auto"/>
        </w:rPr>
      </w:pPr>
      <w:r>
        <w:rPr>
          <w:rFonts w:ascii="Courier New" w:cs="Courier New" w:eastAsia="Courier New" w:hAnsi="Courier New"/>
          <w:sz w:val="17"/>
          <w:szCs w:val="17"/>
          <w:color w:val="auto"/>
        </w:rPr>
        <w:t>MAR-31-1998</w:t>
      </w:r>
    </w:p>
    <w:p>
      <w:pPr>
        <w:ind w:left="4080"/>
        <w:spacing w:after="0" w:line="238" w:lineRule="auto"/>
        <w:rPr>
          <w:sz w:val="20"/>
          <w:szCs w:val="20"/>
          <w:color w:val="auto"/>
        </w:rPr>
      </w:pPr>
      <w:r>
        <w:rPr>
          <w:rFonts w:ascii="Courier New" w:cs="Courier New" w:eastAsia="Courier New" w:hAnsi="Courier New"/>
          <w:sz w:val="17"/>
          <w:szCs w:val="17"/>
          <w:color w:val="auto"/>
        </w:rPr>
        <w:t>$15,890</w:t>
      </w:r>
    </w:p>
    <w:p>
      <w:pPr>
        <w:ind w:left="4080"/>
        <w:spacing w:after="0"/>
        <w:rPr>
          <w:sz w:val="20"/>
          <w:szCs w:val="20"/>
          <w:color w:val="auto"/>
        </w:rPr>
      </w:pPr>
      <w:r>
        <w:rPr>
          <w:rFonts w:ascii="Courier New" w:cs="Courier New" w:eastAsia="Courier New" w:hAnsi="Courier New"/>
          <w:sz w:val="17"/>
          <w:szCs w:val="17"/>
          <w:color w:val="auto"/>
        </w:rPr>
        <w:t>0</w:t>
      </w:r>
    </w:p>
    <w:p>
      <w:pPr>
        <w:ind w:left="3480"/>
        <w:spacing w:after="0" w:line="238" w:lineRule="auto"/>
        <w:rPr>
          <w:sz w:val="20"/>
          <w:szCs w:val="20"/>
          <w:color w:val="auto"/>
        </w:rPr>
      </w:pPr>
      <w:r>
        <w:rPr>
          <w:rFonts w:ascii="Courier New" w:cs="Courier New" w:eastAsia="Courier New" w:hAnsi="Courier New"/>
          <w:sz w:val="17"/>
          <w:szCs w:val="17"/>
          <w:color w:val="auto"/>
        </w:rPr>
        <w:t>17,564</w:t>
      </w:r>
    </w:p>
    <w:p>
      <w:pPr>
        <w:ind w:left="4080"/>
        <w:spacing w:after="0" w:line="238" w:lineRule="auto"/>
        <w:rPr>
          <w:sz w:val="20"/>
          <w:szCs w:val="20"/>
          <w:color w:val="auto"/>
        </w:rPr>
      </w:pPr>
      <w:r>
        <w:rPr>
          <w:rFonts w:ascii="Courier New" w:cs="Courier New" w:eastAsia="Courier New" w:hAnsi="Courier New"/>
          <w:sz w:val="17"/>
          <w:szCs w:val="17"/>
          <w:color w:val="auto"/>
        </w:rPr>
        <w:t>0</w:t>
      </w:r>
    </w:p>
    <w:p>
      <w:pPr>
        <w:ind w:left="4180"/>
        <w:spacing w:after="0"/>
        <w:rPr>
          <w:sz w:val="20"/>
          <w:szCs w:val="20"/>
          <w:color w:val="auto"/>
        </w:rPr>
      </w:pPr>
      <w:r>
        <w:rPr>
          <w:rFonts w:ascii="Courier New" w:cs="Courier New" w:eastAsia="Courier New" w:hAnsi="Courier New"/>
          <w:sz w:val="17"/>
          <w:szCs w:val="17"/>
          <w:color w:val="auto"/>
        </w:rPr>
        <w:t>0</w:t>
      </w:r>
    </w:p>
    <w:p>
      <w:pPr>
        <w:ind w:left="3680"/>
        <w:spacing w:after="0" w:line="238" w:lineRule="auto"/>
        <w:rPr>
          <w:sz w:val="20"/>
          <w:szCs w:val="20"/>
          <w:color w:val="auto"/>
        </w:rPr>
      </w:pPr>
      <w:r>
        <w:rPr>
          <w:rFonts w:ascii="Courier New" w:cs="Courier New" w:eastAsia="Courier New" w:hAnsi="Courier New"/>
          <w:sz w:val="17"/>
          <w:szCs w:val="17"/>
          <w:color w:val="auto"/>
        </w:rPr>
        <w:t>0</w:t>
      </w:r>
    </w:p>
    <w:p>
      <w:pPr>
        <w:ind w:left="3880"/>
        <w:spacing w:after="0" w:line="238" w:lineRule="auto"/>
        <w:rPr>
          <w:sz w:val="20"/>
          <w:szCs w:val="20"/>
          <w:color w:val="auto"/>
        </w:rPr>
      </w:pPr>
      <w:r>
        <w:rPr>
          <w:rFonts w:ascii="Courier New" w:cs="Courier New" w:eastAsia="Courier New" w:hAnsi="Courier New"/>
          <w:sz w:val="17"/>
          <w:szCs w:val="17"/>
          <w:color w:val="auto"/>
        </w:rPr>
        <w:t>1,481,386</w:t>
      </w:r>
    </w:p>
    <w:p>
      <w:pPr>
        <w:ind w:left="3080"/>
        <w:spacing w:after="0"/>
        <w:rPr>
          <w:sz w:val="20"/>
          <w:szCs w:val="20"/>
          <w:color w:val="auto"/>
        </w:rPr>
      </w:pPr>
      <w:r>
        <w:rPr>
          <w:rFonts w:ascii="Courier New" w:cs="Courier New" w:eastAsia="Courier New" w:hAnsi="Courier New"/>
          <w:sz w:val="17"/>
          <w:szCs w:val="17"/>
          <w:color w:val="auto"/>
        </w:rPr>
        <w:t>(255,703)</w:t>
      </w:r>
    </w:p>
    <w:p>
      <w:pPr>
        <w:ind w:left="3080"/>
        <w:spacing w:after="0" w:line="238" w:lineRule="auto"/>
        <w:rPr>
          <w:sz w:val="20"/>
          <w:szCs w:val="20"/>
          <w:color w:val="auto"/>
        </w:rPr>
      </w:pPr>
      <w:r>
        <w:rPr>
          <w:rFonts w:ascii="Courier New" w:cs="Courier New" w:eastAsia="Courier New" w:hAnsi="Courier New"/>
          <w:sz w:val="17"/>
          <w:szCs w:val="17"/>
          <w:color w:val="auto"/>
        </w:rPr>
        <w:t>1,339,148</w:t>
      </w:r>
    </w:p>
    <w:p>
      <w:pPr>
        <w:ind w:left="3180"/>
        <w:spacing w:after="0" w:line="238" w:lineRule="auto"/>
        <w:rPr>
          <w:sz w:val="20"/>
          <w:szCs w:val="20"/>
          <w:color w:val="auto"/>
        </w:rPr>
      </w:pPr>
      <w:r>
        <w:rPr>
          <w:rFonts w:ascii="Courier New" w:cs="Courier New" w:eastAsia="Courier New" w:hAnsi="Courier New"/>
          <w:sz w:val="17"/>
          <w:szCs w:val="17"/>
          <w:color w:val="auto"/>
        </w:rPr>
        <w:t>0</w:t>
      </w:r>
    </w:p>
    <w:p>
      <w:pPr>
        <w:ind w:left="3980"/>
        <w:spacing w:after="0"/>
        <w:rPr>
          <w:sz w:val="20"/>
          <w:szCs w:val="20"/>
          <w:color w:val="auto"/>
        </w:rPr>
      </w:pPr>
      <w:r>
        <w:rPr>
          <w:rFonts w:ascii="Courier New" w:cs="Courier New" w:eastAsia="Courier New" w:hAnsi="Courier New"/>
          <w:sz w:val="17"/>
          <w:szCs w:val="17"/>
          <w:color w:val="auto"/>
        </w:rPr>
        <w:t>698,399</w:t>
      </w:r>
    </w:p>
    <w:p>
      <w:pPr>
        <w:ind w:left="3180"/>
        <w:spacing w:after="0" w:line="238" w:lineRule="auto"/>
        <w:rPr>
          <w:sz w:val="20"/>
          <w:szCs w:val="20"/>
          <w:color w:val="auto"/>
        </w:rPr>
      </w:pPr>
      <w:r>
        <w:rPr>
          <w:rFonts w:ascii="Courier New" w:cs="Courier New" w:eastAsia="Courier New" w:hAnsi="Courier New"/>
          <w:sz w:val="17"/>
          <w:szCs w:val="17"/>
          <w:color w:val="auto"/>
        </w:rPr>
        <w:t>0</w:t>
      </w:r>
    </w:p>
    <w:p>
      <w:pPr>
        <w:ind w:left="3580"/>
        <w:spacing w:after="0" w:line="238" w:lineRule="auto"/>
        <w:rPr>
          <w:sz w:val="20"/>
          <w:szCs w:val="20"/>
          <w:color w:val="auto"/>
        </w:rPr>
      </w:pPr>
      <w:r>
        <w:rPr>
          <w:rFonts w:ascii="Courier New" w:cs="Courier New" w:eastAsia="Courier New" w:hAnsi="Courier New"/>
          <w:sz w:val="17"/>
          <w:szCs w:val="17"/>
          <w:color w:val="auto"/>
        </w:rPr>
        <w:t>100,000</w:t>
      </w:r>
    </w:p>
    <w:p>
      <w:pPr>
        <w:ind w:left="3880"/>
        <w:spacing w:after="0"/>
        <w:rPr>
          <w:sz w:val="20"/>
          <w:szCs w:val="20"/>
          <w:color w:val="auto"/>
        </w:rPr>
      </w:pPr>
      <w:r>
        <w:rPr>
          <w:rFonts w:ascii="Courier New" w:cs="Courier New" w:eastAsia="Courier New" w:hAnsi="Courier New"/>
          <w:sz w:val="17"/>
          <w:szCs w:val="17"/>
          <w:color w:val="auto"/>
        </w:rPr>
        <w:t>701,246</w:t>
      </w:r>
    </w:p>
    <w:p>
      <w:pPr>
        <w:ind w:left="3480"/>
        <w:spacing w:after="0" w:line="238" w:lineRule="auto"/>
        <w:rPr>
          <w:sz w:val="20"/>
          <w:szCs w:val="20"/>
          <w:color w:val="auto"/>
        </w:rPr>
      </w:pPr>
      <w:r>
        <w:rPr>
          <w:rFonts w:ascii="Courier New" w:cs="Courier New" w:eastAsia="Courier New" w:hAnsi="Courier New"/>
          <w:sz w:val="17"/>
          <w:szCs w:val="17"/>
          <w:color w:val="auto"/>
        </w:rPr>
        <w:t>(251,433)</w:t>
      </w:r>
    </w:p>
    <w:p>
      <w:pPr>
        <w:ind w:left="1700"/>
        <w:spacing w:after="0" w:line="238" w:lineRule="auto"/>
        <w:rPr>
          <w:sz w:val="20"/>
          <w:szCs w:val="20"/>
          <w:color w:val="auto"/>
        </w:rPr>
      </w:pPr>
      <w:r>
        <w:rPr>
          <w:rFonts w:ascii="Courier New" w:cs="Courier New" w:eastAsia="Courier New" w:hAnsi="Courier New"/>
          <w:sz w:val="17"/>
          <w:szCs w:val="17"/>
          <w:color w:val="auto"/>
        </w:rPr>
        <w:t>1,339,148</w:t>
      </w:r>
    </w:p>
    <w:p>
      <w:pPr>
        <w:ind w:left="4580"/>
        <w:spacing w:after="0"/>
        <w:rPr>
          <w:sz w:val="20"/>
          <w:szCs w:val="20"/>
          <w:color w:val="auto"/>
        </w:rPr>
      </w:pPr>
      <w:r>
        <w:rPr>
          <w:rFonts w:ascii="Courier New" w:cs="Courier New" w:eastAsia="Courier New" w:hAnsi="Courier New"/>
          <w:sz w:val="17"/>
          <w:szCs w:val="17"/>
          <w:color w:val="auto"/>
        </w:rPr>
        <w:t>0</w:t>
      </w:r>
    </w:p>
    <w:p>
      <w:pPr>
        <w:ind w:left="3180"/>
        <w:spacing w:after="0" w:line="238" w:lineRule="auto"/>
        <w:rPr>
          <w:sz w:val="20"/>
          <w:szCs w:val="20"/>
          <w:color w:val="auto"/>
        </w:rPr>
      </w:pPr>
      <w:r>
        <w:rPr>
          <w:rFonts w:ascii="Courier New" w:cs="Courier New" w:eastAsia="Courier New" w:hAnsi="Courier New"/>
          <w:sz w:val="17"/>
          <w:szCs w:val="17"/>
          <w:color w:val="auto"/>
        </w:rPr>
        <w:t>54,583</w:t>
      </w:r>
    </w:p>
    <w:p>
      <w:pPr>
        <w:ind w:left="4780"/>
        <w:spacing w:after="0" w:line="238" w:lineRule="auto"/>
        <w:rPr>
          <w:sz w:val="20"/>
          <w:szCs w:val="20"/>
          <w:color w:val="auto"/>
        </w:rPr>
      </w:pPr>
      <w:r>
        <w:rPr>
          <w:rFonts w:ascii="Courier New" w:cs="Courier New" w:eastAsia="Courier New" w:hAnsi="Courier New"/>
          <w:sz w:val="17"/>
          <w:szCs w:val="17"/>
          <w:color w:val="auto"/>
        </w:rPr>
        <w:t>0</w:t>
      </w:r>
    </w:p>
    <w:p>
      <w:pPr>
        <w:ind w:left="3480"/>
        <w:spacing w:after="0"/>
        <w:rPr>
          <w:sz w:val="20"/>
          <w:szCs w:val="20"/>
          <w:color w:val="auto"/>
        </w:rPr>
      </w:pPr>
      <w:r>
        <w:rPr>
          <w:rFonts w:ascii="Courier New" w:cs="Courier New" w:eastAsia="Courier New" w:hAnsi="Courier New"/>
          <w:sz w:val="17"/>
          <w:szCs w:val="17"/>
          <w:color w:val="auto"/>
        </w:rPr>
        <w:t>17,394</w:t>
      </w:r>
    </w:p>
    <w:p>
      <w:pPr>
        <w:ind w:left="3680"/>
        <w:spacing w:after="0" w:line="238" w:lineRule="auto"/>
        <w:rPr>
          <w:sz w:val="20"/>
          <w:szCs w:val="20"/>
          <w:color w:val="auto"/>
        </w:rPr>
      </w:pPr>
      <w:r>
        <w:rPr>
          <w:rFonts w:ascii="Courier New" w:cs="Courier New" w:eastAsia="Courier New" w:hAnsi="Courier New"/>
          <w:sz w:val="17"/>
          <w:szCs w:val="17"/>
          <w:color w:val="auto"/>
        </w:rPr>
        <w:t>0</w:t>
      </w:r>
    </w:p>
    <w:p>
      <w:pPr>
        <w:ind w:left="3680"/>
        <w:spacing w:after="0" w:line="238" w:lineRule="auto"/>
        <w:rPr>
          <w:sz w:val="20"/>
          <w:szCs w:val="20"/>
          <w:color w:val="auto"/>
        </w:rPr>
      </w:pPr>
      <w:r>
        <w:rPr>
          <w:rFonts w:ascii="Courier New" w:cs="Courier New" w:eastAsia="Courier New" w:hAnsi="Courier New"/>
          <w:sz w:val="17"/>
          <w:szCs w:val="17"/>
          <w:color w:val="auto"/>
        </w:rPr>
        <w:t>0</w:t>
      </w:r>
    </w:p>
    <w:p>
      <w:pPr>
        <w:ind w:left="2980"/>
        <w:spacing w:after="0"/>
        <w:rPr>
          <w:sz w:val="20"/>
          <w:szCs w:val="20"/>
          <w:color w:val="auto"/>
        </w:rPr>
      </w:pPr>
      <w:r>
        <w:rPr>
          <w:rFonts w:ascii="Courier New" w:cs="Courier New" w:eastAsia="Courier New" w:hAnsi="Courier New"/>
          <w:sz w:val="17"/>
          <w:szCs w:val="17"/>
          <w:color w:val="auto"/>
        </w:rPr>
        <w:t>12,693</w:t>
      </w:r>
    </w:p>
    <w:p>
      <w:pPr>
        <w:ind w:left="3280"/>
        <w:spacing w:after="0" w:line="238" w:lineRule="auto"/>
        <w:rPr>
          <w:sz w:val="20"/>
          <w:szCs w:val="20"/>
          <w:color w:val="auto"/>
        </w:rPr>
      </w:pPr>
      <w:r>
        <w:rPr>
          <w:rFonts w:ascii="Courier New" w:cs="Courier New" w:eastAsia="Courier New" w:hAnsi="Courier New"/>
          <w:sz w:val="17"/>
          <w:szCs w:val="17"/>
          <w:color w:val="auto"/>
        </w:rPr>
        <w:t>10,706</w:t>
      </w:r>
    </w:p>
    <w:p>
      <w:pPr>
        <w:ind w:left="4080"/>
        <w:spacing w:after="0" w:line="238" w:lineRule="auto"/>
        <w:rPr>
          <w:sz w:val="20"/>
          <w:szCs w:val="20"/>
          <w:color w:val="auto"/>
        </w:rPr>
      </w:pPr>
      <w:r>
        <w:rPr>
          <w:rFonts w:ascii="Courier New" w:cs="Courier New" w:eastAsia="Courier New" w:hAnsi="Courier New"/>
          <w:sz w:val="17"/>
          <w:szCs w:val="17"/>
          <w:color w:val="auto"/>
        </w:rPr>
        <w:t>0</w:t>
      </w:r>
    </w:p>
    <w:p>
      <w:pPr>
        <w:ind w:left="3380"/>
        <w:spacing w:after="0"/>
        <w:rPr>
          <w:sz w:val="20"/>
          <w:szCs w:val="20"/>
          <w:color w:val="auto"/>
        </w:rPr>
      </w:pPr>
      <w:r>
        <w:rPr>
          <w:rFonts w:ascii="Courier New" w:cs="Courier New" w:eastAsia="Courier New" w:hAnsi="Courier New"/>
          <w:sz w:val="17"/>
          <w:szCs w:val="17"/>
          <w:color w:val="auto"/>
        </w:rPr>
        <w:t>0</w:t>
      </w:r>
    </w:p>
    <w:p>
      <w:pPr>
        <w:ind w:left="3880"/>
        <w:spacing w:after="0" w:line="238" w:lineRule="auto"/>
        <w:rPr>
          <w:sz w:val="20"/>
          <w:szCs w:val="20"/>
          <w:color w:val="auto"/>
        </w:rPr>
      </w:pPr>
      <w:r>
        <w:rPr>
          <w:rFonts w:ascii="Courier New" w:cs="Courier New" w:eastAsia="Courier New" w:hAnsi="Courier New"/>
          <w:sz w:val="17"/>
          <w:szCs w:val="17"/>
          <w:color w:val="auto"/>
        </w:rPr>
        <w:t>0</w:t>
      </w:r>
    </w:p>
    <w:p>
      <w:pPr>
        <w:ind w:left="3780"/>
        <w:spacing w:after="0" w:line="238" w:lineRule="auto"/>
        <w:rPr>
          <w:sz w:val="20"/>
          <w:szCs w:val="20"/>
          <w:color w:val="auto"/>
        </w:rPr>
      </w:pPr>
      <w:r>
        <w:rPr>
          <w:rFonts w:ascii="Courier New" w:cs="Courier New" w:eastAsia="Courier New" w:hAnsi="Courier New"/>
          <w:sz w:val="17"/>
          <w:szCs w:val="17"/>
          <w:color w:val="auto"/>
        </w:rPr>
        <w:t>0</w:t>
      </w:r>
    </w:p>
    <w:p>
      <w:pPr>
        <w:ind w:left="4380"/>
        <w:spacing w:after="0"/>
        <w:rPr>
          <w:sz w:val="20"/>
          <w:szCs w:val="20"/>
          <w:color w:val="auto"/>
        </w:rPr>
      </w:pPr>
      <w:r>
        <w:rPr>
          <w:rFonts w:ascii="Courier New" w:cs="Courier New" w:eastAsia="Courier New" w:hAnsi="Courier New"/>
          <w:sz w:val="17"/>
          <w:szCs w:val="17"/>
          <w:color w:val="auto"/>
        </w:rPr>
        <w:t>0</w:t>
      </w:r>
    </w:p>
    <w:p>
      <w:pPr>
        <w:ind w:left="3580"/>
        <w:spacing w:after="0" w:line="238" w:lineRule="auto"/>
        <w:rPr>
          <w:sz w:val="20"/>
          <w:szCs w:val="20"/>
          <w:color w:val="auto"/>
        </w:rPr>
      </w:pPr>
      <w:r>
        <w:rPr>
          <w:rFonts w:ascii="Courier New" w:cs="Courier New" w:eastAsia="Courier New" w:hAnsi="Courier New"/>
          <w:sz w:val="17"/>
          <w:szCs w:val="17"/>
          <w:color w:val="auto"/>
        </w:rPr>
        <w:t>10,706</w:t>
      </w:r>
    </w:p>
    <w:p>
      <w:pPr>
        <w:ind w:left="3780"/>
        <w:spacing w:after="0" w:line="238" w:lineRule="auto"/>
        <w:rPr>
          <w:sz w:val="20"/>
          <w:szCs w:val="20"/>
          <w:color w:val="auto"/>
        </w:rPr>
      </w:pPr>
      <w:r>
        <w:rPr>
          <w:rFonts w:ascii="Courier New" w:cs="Courier New" w:eastAsia="Courier New" w:hAnsi="Courier New"/>
          <w:sz w:val="17"/>
          <w:szCs w:val="17"/>
          <w:color w:val="auto"/>
        </w:rPr>
        <w:t>.27</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.27</w:t>
      </w:r>
    </w:p>
    <w:p>
      <w:pPr>
        <w:spacing w:after="0" w:line="160" w:lineRule="exact"/>
        <w:rPr>
          <w:sz w:val="20"/>
          <w:szCs w:val="20"/>
          <w:color w:val="auto"/>
        </w:rPr>
      </w:pPr>
    </w:p>
    <w:p>
      <w:pPr>
        <w:ind w:right="2759" w:firstLine="99"/>
        <w:spacing w:after="0" w:line="347" w:lineRule="auto"/>
        <w:rPr>
          <w:sz w:val="20"/>
          <w:szCs w:val="20"/>
          <w:color w:val="auto"/>
        </w:rPr>
      </w:pPr>
      <w:r>
        <w:rPr>
          <w:rFonts w:ascii="Courier New" w:cs="Courier New" w:eastAsia="Courier New" w:hAnsi="Courier New"/>
          <w:sz w:val="17"/>
          <w:szCs w:val="17"/>
          <w:color w:val="auto"/>
        </w:rPr>
        <w:t>Current assets and current liabilities are not listed since Federal Realty does not prepare a classified balance sheet.</w:t>
      </w:r>
    </w:p>
    <w:p>
      <w:pPr>
        <w:sectPr>
          <w:pgSz w:w="11900" w:h="16838" w:orient="portrait"/>
          <w:cols w:equalWidth="0" w:num="1">
            <w:col w:w="10219"/>
          </w:cols>
          <w:pgMar w:left="240" w:top="112" w:right="1440" w:bottom="1440" w:gutter="0" w:footer="0" w:header="0"/>
        </w:sectPr>
      </w:pPr>
    </w:p>
    <w:bookmarkStart w:id="24" w:name="page25"/>
    <w:bookmarkEnd w:id="24"/>
    <w:p>
      <w:pPr>
        <w:spacing w:after="0" w:line="347" w:lineRule="auto"/>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ind w:left="100"/>
        <w:spacing w:after="0"/>
        <w:rPr>
          <w:sz w:val="20"/>
          <w:szCs w:val="20"/>
          <w:color w:val="auto"/>
        </w:rPr>
      </w:pPr>
      <w:r>
        <w:rPr>
          <w:rFonts w:ascii="Courier New" w:cs="Courier New" w:eastAsia="Courier New" w:hAnsi="Courier New"/>
          <w:sz w:val="17"/>
          <w:szCs w:val="17"/>
          <w:color w:val="auto"/>
        </w:rPr>
        <w:t>5</w:t>
      </w:r>
    </w:p>
    <w:p>
      <w:pPr>
        <w:spacing w:after="0" w:line="190" w:lineRule="exact"/>
        <w:rPr>
          <w:sz w:val="20"/>
          <w:szCs w:val="20"/>
          <w:color w:val="auto"/>
        </w:rPr>
      </w:pPr>
    </w:p>
    <w:p>
      <w:pPr>
        <w:ind w:left="20" w:right="2439"/>
        <w:spacing w:after="0" w:line="260" w:lineRule="auto"/>
        <w:rPr>
          <w:sz w:val="20"/>
          <w:szCs w:val="20"/>
          <w:color w:val="auto"/>
        </w:rPr>
      </w:pPr>
      <w:r>
        <w:rPr>
          <w:rFonts w:ascii="Courier New" w:cs="Courier New" w:eastAsia="Courier New" w:hAnsi="Courier New"/>
          <w:sz w:val="17"/>
          <w:szCs w:val="17"/>
          <w:color w:val="auto"/>
        </w:rPr>
        <w:t>THIS SCHEDULE CONTAINS SUMMARY FINANCIAL INFORMATION EXTRACTED FROM THE CONSOLIDATED BALANCE SHEET OF FEDERAL REALTY INVESTMENT TRUST AS OF MARCH 31, 1997 AND THE RELATED CONSOLIDATED STATEMENT OF OPERATIONS FOR THE THREE MONTHS ENDED MARCH 31, 1997 AND IS QUALIFIED IN ITS ENTIRETY BY REFERENCE TO SUCH FINANCIAL STATEMENTS. IT HAS BEEN AMENDED FOR THE RESTATEMENT OF EARNINGS PER SHARE CALCULATED UNDER SFAS 128.</w:t>
      </w:r>
    </w:p>
    <w:p>
      <w:pPr>
        <w:spacing w:after="0" w:line="8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1,000</w:t>
      </w:r>
    </w:p>
    <w:p>
      <w:pPr>
        <w:spacing w:after="0" w:line="381"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3-MOS</w:t>
      </w:r>
    </w:p>
    <w:p>
      <w:pPr>
        <w:spacing w:after="0" w:line="27"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DEC-31-1997</w:t>
      </w:r>
    </w:p>
    <w:p>
      <w:pPr>
        <w:ind w:left="3080"/>
        <w:spacing w:after="0" w:line="238" w:lineRule="auto"/>
        <w:rPr>
          <w:sz w:val="20"/>
          <w:szCs w:val="20"/>
          <w:color w:val="auto"/>
        </w:rPr>
      </w:pPr>
      <w:r>
        <w:rPr>
          <w:rFonts w:ascii="Courier New" w:cs="Courier New" w:eastAsia="Courier New" w:hAnsi="Courier New"/>
          <w:sz w:val="17"/>
          <w:szCs w:val="17"/>
          <w:color w:val="auto"/>
        </w:rPr>
        <w:t>MAR-31-1997</w:t>
      </w:r>
    </w:p>
    <w:p>
      <w:pPr>
        <w:ind w:left="4080"/>
        <w:spacing w:after="0" w:line="238" w:lineRule="auto"/>
        <w:rPr>
          <w:sz w:val="20"/>
          <w:szCs w:val="20"/>
          <w:color w:val="auto"/>
        </w:rPr>
      </w:pPr>
      <w:r>
        <w:rPr>
          <w:rFonts w:ascii="Courier New" w:cs="Courier New" w:eastAsia="Courier New" w:hAnsi="Courier New"/>
          <w:sz w:val="17"/>
          <w:szCs w:val="17"/>
          <w:color w:val="auto"/>
        </w:rPr>
        <w:t>$11,762</w:t>
      </w:r>
    </w:p>
    <w:p>
      <w:pPr>
        <w:ind w:left="4080"/>
        <w:spacing w:after="0"/>
        <w:rPr>
          <w:sz w:val="20"/>
          <w:szCs w:val="20"/>
          <w:color w:val="auto"/>
        </w:rPr>
      </w:pPr>
      <w:r>
        <w:rPr>
          <w:rFonts w:ascii="Courier New" w:cs="Courier New" w:eastAsia="Courier New" w:hAnsi="Courier New"/>
          <w:sz w:val="17"/>
          <w:szCs w:val="17"/>
          <w:color w:val="auto"/>
        </w:rPr>
        <w:t>0</w:t>
      </w:r>
    </w:p>
    <w:p>
      <w:pPr>
        <w:ind w:left="3480"/>
        <w:spacing w:after="0" w:line="238" w:lineRule="auto"/>
        <w:rPr>
          <w:sz w:val="20"/>
          <w:szCs w:val="20"/>
          <w:color w:val="auto"/>
        </w:rPr>
      </w:pPr>
      <w:r>
        <w:rPr>
          <w:rFonts w:ascii="Courier New" w:cs="Courier New" w:eastAsia="Courier New" w:hAnsi="Courier New"/>
          <w:sz w:val="17"/>
          <w:szCs w:val="17"/>
          <w:color w:val="auto"/>
        </w:rPr>
        <w:t>16,132</w:t>
      </w:r>
    </w:p>
    <w:p>
      <w:pPr>
        <w:ind w:left="4080"/>
        <w:spacing w:after="0" w:line="238" w:lineRule="auto"/>
        <w:rPr>
          <w:sz w:val="20"/>
          <w:szCs w:val="20"/>
          <w:color w:val="auto"/>
        </w:rPr>
      </w:pPr>
      <w:r>
        <w:rPr>
          <w:rFonts w:ascii="Courier New" w:cs="Courier New" w:eastAsia="Courier New" w:hAnsi="Courier New"/>
          <w:sz w:val="17"/>
          <w:szCs w:val="17"/>
          <w:color w:val="auto"/>
        </w:rPr>
        <w:t>0</w:t>
      </w:r>
    </w:p>
    <w:p>
      <w:pPr>
        <w:ind w:left="4180"/>
        <w:spacing w:after="0"/>
        <w:rPr>
          <w:sz w:val="20"/>
          <w:szCs w:val="20"/>
          <w:color w:val="auto"/>
        </w:rPr>
      </w:pPr>
      <w:r>
        <w:rPr>
          <w:rFonts w:ascii="Courier New" w:cs="Courier New" w:eastAsia="Courier New" w:hAnsi="Courier New"/>
          <w:sz w:val="17"/>
          <w:szCs w:val="17"/>
          <w:color w:val="auto"/>
        </w:rPr>
        <w:t>0</w:t>
      </w:r>
    </w:p>
    <w:p>
      <w:pPr>
        <w:ind w:left="3680"/>
        <w:spacing w:after="0" w:line="238" w:lineRule="auto"/>
        <w:rPr>
          <w:sz w:val="20"/>
          <w:szCs w:val="20"/>
          <w:color w:val="auto"/>
        </w:rPr>
      </w:pPr>
      <w:r>
        <w:rPr>
          <w:rFonts w:ascii="Courier New" w:cs="Courier New" w:eastAsia="Courier New" w:hAnsi="Courier New"/>
          <w:sz w:val="17"/>
          <w:szCs w:val="17"/>
          <w:color w:val="auto"/>
        </w:rPr>
        <w:t>0</w:t>
      </w:r>
    </w:p>
    <w:p>
      <w:pPr>
        <w:ind w:left="3880"/>
        <w:spacing w:after="0" w:line="238" w:lineRule="auto"/>
        <w:rPr>
          <w:sz w:val="20"/>
          <w:szCs w:val="20"/>
          <w:color w:val="auto"/>
        </w:rPr>
      </w:pPr>
      <w:r>
        <w:rPr>
          <w:rFonts w:ascii="Courier New" w:cs="Courier New" w:eastAsia="Courier New" w:hAnsi="Courier New"/>
          <w:sz w:val="17"/>
          <w:szCs w:val="17"/>
          <w:color w:val="auto"/>
        </w:rPr>
        <w:t>1,251,867</w:t>
      </w:r>
    </w:p>
    <w:p>
      <w:pPr>
        <w:ind w:left="3080"/>
        <w:spacing w:after="0"/>
        <w:rPr>
          <w:sz w:val="20"/>
          <w:szCs w:val="20"/>
          <w:color w:val="auto"/>
        </w:rPr>
      </w:pPr>
      <w:r>
        <w:rPr>
          <w:rFonts w:ascii="Courier New" w:cs="Courier New" w:eastAsia="Courier New" w:hAnsi="Courier New"/>
          <w:sz w:val="17"/>
          <w:szCs w:val="17"/>
          <w:color w:val="auto"/>
        </w:rPr>
        <w:t>(232,487)</w:t>
      </w:r>
    </w:p>
    <w:p>
      <w:pPr>
        <w:ind w:left="3080"/>
        <w:spacing w:after="0" w:line="238" w:lineRule="auto"/>
        <w:rPr>
          <w:sz w:val="20"/>
          <w:szCs w:val="20"/>
          <w:color w:val="auto"/>
        </w:rPr>
      </w:pPr>
      <w:r>
        <w:rPr>
          <w:rFonts w:ascii="Courier New" w:cs="Courier New" w:eastAsia="Courier New" w:hAnsi="Courier New"/>
          <w:sz w:val="17"/>
          <w:szCs w:val="17"/>
          <w:color w:val="auto"/>
        </w:rPr>
        <w:t>1,115,089</w:t>
      </w:r>
    </w:p>
    <w:p>
      <w:pPr>
        <w:ind w:left="3180"/>
        <w:spacing w:after="0" w:line="238" w:lineRule="auto"/>
        <w:rPr>
          <w:sz w:val="20"/>
          <w:szCs w:val="20"/>
          <w:color w:val="auto"/>
        </w:rPr>
      </w:pPr>
      <w:r>
        <w:rPr>
          <w:rFonts w:ascii="Courier New" w:cs="Courier New" w:eastAsia="Courier New" w:hAnsi="Courier New"/>
          <w:sz w:val="17"/>
          <w:szCs w:val="17"/>
          <w:color w:val="auto"/>
        </w:rPr>
        <w:t>0</w:t>
      </w:r>
    </w:p>
    <w:p>
      <w:pPr>
        <w:ind w:left="3980"/>
        <w:spacing w:after="0"/>
        <w:rPr>
          <w:sz w:val="20"/>
          <w:szCs w:val="20"/>
          <w:color w:val="auto"/>
        </w:rPr>
      </w:pPr>
      <w:r>
        <w:rPr>
          <w:rFonts w:ascii="Courier New" w:cs="Courier New" w:eastAsia="Courier New" w:hAnsi="Courier New"/>
          <w:sz w:val="17"/>
          <w:szCs w:val="17"/>
          <w:color w:val="auto"/>
        </w:rPr>
        <w:t>585,902</w:t>
      </w:r>
    </w:p>
    <w:p>
      <w:pPr>
        <w:ind w:left="3180"/>
        <w:spacing w:after="0" w:line="238" w:lineRule="auto"/>
        <w:rPr>
          <w:sz w:val="20"/>
          <w:szCs w:val="20"/>
          <w:color w:val="auto"/>
        </w:rPr>
      </w:pPr>
      <w:r>
        <w:rPr>
          <w:rFonts w:ascii="Courier New" w:cs="Courier New" w:eastAsia="Courier New" w:hAnsi="Courier New"/>
          <w:sz w:val="17"/>
          <w:szCs w:val="17"/>
          <w:color w:val="auto"/>
        </w:rPr>
        <w:t>0</w:t>
      </w:r>
    </w:p>
    <w:p>
      <w:pPr>
        <w:ind w:left="4180"/>
        <w:spacing w:after="0" w:line="238" w:lineRule="auto"/>
        <w:rPr>
          <w:sz w:val="20"/>
          <w:szCs w:val="20"/>
          <w:color w:val="auto"/>
        </w:rPr>
      </w:pPr>
      <w:r>
        <w:rPr>
          <w:rFonts w:ascii="Courier New" w:cs="Courier New" w:eastAsia="Courier New" w:hAnsi="Courier New"/>
          <w:sz w:val="17"/>
          <w:szCs w:val="17"/>
          <w:color w:val="auto"/>
        </w:rPr>
        <w:t>0</w:t>
      </w:r>
    </w:p>
    <w:p>
      <w:pPr>
        <w:ind w:left="3880"/>
        <w:spacing w:after="0"/>
        <w:rPr>
          <w:sz w:val="20"/>
          <w:szCs w:val="20"/>
          <w:color w:val="auto"/>
        </w:rPr>
      </w:pPr>
      <w:r>
        <w:rPr>
          <w:rFonts w:ascii="Courier New" w:cs="Courier New" w:eastAsia="Courier New" w:hAnsi="Courier New"/>
          <w:sz w:val="17"/>
          <w:szCs w:val="17"/>
          <w:color w:val="auto"/>
        </w:rPr>
        <w:t>684,853</w:t>
      </w:r>
    </w:p>
    <w:p>
      <w:pPr>
        <w:ind w:left="3480"/>
        <w:spacing w:after="0" w:line="238" w:lineRule="auto"/>
        <w:rPr>
          <w:sz w:val="20"/>
          <w:szCs w:val="20"/>
          <w:color w:val="auto"/>
        </w:rPr>
      </w:pPr>
      <w:r>
        <w:rPr>
          <w:rFonts w:ascii="Courier New" w:cs="Courier New" w:eastAsia="Courier New" w:hAnsi="Courier New"/>
          <w:sz w:val="17"/>
          <w:szCs w:val="17"/>
          <w:color w:val="auto"/>
        </w:rPr>
        <w:t>(216,315)</w:t>
      </w:r>
    </w:p>
    <w:p>
      <w:pPr>
        <w:ind w:left="1700"/>
        <w:spacing w:after="0" w:line="238" w:lineRule="auto"/>
        <w:rPr>
          <w:sz w:val="20"/>
          <w:szCs w:val="20"/>
          <w:color w:val="auto"/>
        </w:rPr>
      </w:pPr>
      <w:r>
        <w:rPr>
          <w:rFonts w:ascii="Courier New" w:cs="Courier New" w:eastAsia="Courier New" w:hAnsi="Courier New"/>
          <w:sz w:val="17"/>
          <w:szCs w:val="17"/>
          <w:color w:val="auto"/>
        </w:rPr>
        <w:t>1,115,089</w:t>
      </w:r>
    </w:p>
    <w:p>
      <w:pPr>
        <w:ind w:left="4580"/>
        <w:spacing w:after="0"/>
        <w:rPr>
          <w:sz w:val="20"/>
          <w:szCs w:val="20"/>
          <w:color w:val="auto"/>
        </w:rPr>
      </w:pPr>
      <w:r>
        <w:rPr>
          <w:rFonts w:ascii="Courier New" w:cs="Courier New" w:eastAsia="Courier New" w:hAnsi="Courier New"/>
          <w:sz w:val="17"/>
          <w:szCs w:val="17"/>
          <w:color w:val="auto"/>
        </w:rPr>
        <w:t>0</w:t>
      </w:r>
    </w:p>
    <w:p>
      <w:pPr>
        <w:ind w:left="3180"/>
        <w:spacing w:after="0" w:line="238" w:lineRule="auto"/>
        <w:rPr>
          <w:sz w:val="20"/>
          <w:szCs w:val="20"/>
          <w:color w:val="auto"/>
        </w:rPr>
      </w:pPr>
      <w:r>
        <w:rPr>
          <w:rFonts w:ascii="Courier New" w:cs="Courier New" w:eastAsia="Courier New" w:hAnsi="Courier New"/>
          <w:sz w:val="17"/>
          <w:szCs w:val="17"/>
          <w:color w:val="auto"/>
        </w:rPr>
        <w:t>47,147</w:t>
      </w:r>
    </w:p>
    <w:p>
      <w:pPr>
        <w:ind w:left="4780"/>
        <w:spacing w:after="0" w:line="238" w:lineRule="auto"/>
        <w:rPr>
          <w:sz w:val="20"/>
          <w:szCs w:val="20"/>
          <w:color w:val="auto"/>
        </w:rPr>
      </w:pPr>
      <w:r>
        <w:rPr>
          <w:rFonts w:ascii="Courier New" w:cs="Courier New" w:eastAsia="Courier New" w:hAnsi="Courier New"/>
          <w:sz w:val="17"/>
          <w:szCs w:val="17"/>
          <w:color w:val="auto"/>
        </w:rPr>
        <w:t>0</w:t>
      </w:r>
    </w:p>
    <w:p>
      <w:pPr>
        <w:ind w:left="3480"/>
        <w:spacing w:after="0"/>
        <w:rPr>
          <w:sz w:val="20"/>
          <w:szCs w:val="20"/>
          <w:color w:val="auto"/>
        </w:rPr>
      </w:pPr>
      <w:r>
        <w:rPr>
          <w:rFonts w:ascii="Courier New" w:cs="Courier New" w:eastAsia="Courier New" w:hAnsi="Courier New"/>
          <w:sz w:val="17"/>
          <w:szCs w:val="17"/>
          <w:color w:val="auto"/>
        </w:rPr>
        <w:t>14,790</w:t>
      </w:r>
    </w:p>
    <w:p>
      <w:pPr>
        <w:ind w:left="3680"/>
        <w:spacing w:after="0" w:line="238" w:lineRule="auto"/>
        <w:rPr>
          <w:sz w:val="20"/>
          <w:szCs w:val="20"/>
          <w:color w:val="auto"/>
        </w:rPr>
      </w:pPr>
      <w:r>
        <w:rPr>
          <w:rFonts w:ascii="Courier New" w:cs="Courier New" w:eastAsia="Courier New" w:hAnsi="Courier New"/>
          <w:sz w:val="17"/>
          <w:szCs w:val="17"/>
          <w:color w:val="auto"/>
        </w:rPr>
        <w:t>0</w:t>
      </w:r>
    </w:p>
    <w:p>
      <w:pPr>
        <w:ind w:left="3680"/>
        <w:spacing w:after="0" w:line="238" w:lineRule="auto"/>
        <w:rPr>
          <w:sz w:val="20"/>
          <w:szCs w:val="20"/>
          <w:color w:val="auto"/>
        </w:rPr>
      </w:pPr>
      <w:r>
        <w:rPr>
          <w:rFonts w:ascii="Courier New" w:cs="Courier New" w:eastAsia="Courier New" w:hAnsi="Courier New"/>
          <w:sz w:val="17"/>
          <w:szCs w:val="17"/>
          <w:color w:val="auto"/>
        </w:rPr>
        <w:t>0</w:t>
      </w:r>
    </w:p>
    <w:p>
      <w:pPr>
        <w:ind w:left="2980"/>
        <w:spacing w:after="0"/>
        <w:rPr>
          <w:sz w:val="20"/>
          <w:szCs w:val="20"/>
          <w:color w:val="auto"/>
        </w:rPr>
      </w:pPr>
      <w:r>
        <w:rPr>
          <w:rFonts w:ascii="Courier New" w:cs="Courier New" w:eastAsia="Courier New" w:hAnsi="Courier New"/>
          <w:sz w:val="17"/>
          <w:szCs w:val="17"/>
          <w:color w:val="auto"/>
        </w:rPr>
        <w:t>11,989</w:t>
      </w:r>
    </w:p>
    <w:p>
      <w:pPr>
        <w:ind w:left="3380"/>
        <w:spacing w:after="0" w:line="238" w:lineRule="auto"/>
        <w:rPr>
          <w:sz w:val="20"/>
          <w:szCs w:val="20"/>
          <w:color w:val="auto"/>
        </w:rPr>
      </w:pPr>
      <w:r>
        <w:rPr>
          <w:rFonts w:ascii="Courier New" w:cs="Courier New" w:eastAsia="Courier New" w:hAnsi="Courier New"/>
          <w:sz w:val="17"/>
          <w:szCs w:val="17"/>
          <w:color w:val="auto"/>
        </w:rPr>
        <w:t>9,311</w:t>
      </w:r>
    </w:p>
    <w:p>
      <w:pPr>
        <w:ind w:left="4080"/>
        <w:spacing w:after="0" w:line="238" w:lineRule="auto"/>
        <w:rPr>
          <w:sz w:val="20"/>
          <w:szCs w:val="20"/>
          <w:color w:val="auto"/>
        </w:rPr>
      </w:pPr>
      <w:r>
        <w:rPr>
          <w:rFonts w:ascii="Courier New" w:cs="Courier New" w:eastAsia="Courier New" w:hAnsi="Courier New"/>
          <w:sz w:val="17"/>
          <w:szCs w:val="17"/>
          <w:color w:val="auto"/>
        </w:rPr>
        <w:t>0</w:t>
      </w:r>
    </w:p>
    <w:p>
      <w:pPr>
        <w:ind w:left="3380"/>
        <w:spacing w:after="0"/>
        <w:rPr>
          <w:sz w:val="20"/>
          <w:szCs w:val="20"/>
          <w:color w:val="auto"/>
        </w:rPr>
      </w:pPr>
      <w:r>
        <w:rPr>
          <w:rFonts w:ascii="Courier New" w:cs="Courier New" w:eastAsia="Courier New" w:hAnsi="Courier New"/>
          <w:sz w:val="17"/>
          <w:szCs w:val="17"/>
          <w:color w:val="auto"/>
        </w:rPr>
        <w:t>0</w:t>
      </w:r>
    </w:p>
    <w:p>
      <w:pPr>
        <w:ind w:left="3880"/>
        <w:spacing w:after="0" w:line="238" w:lineRule="auto"/>
        <w:rPr>
          <w:sz w:val="20"/>
          <w:szCs w:val="20"/>
          <w:color w:val="auto"/>
        </w:rPr>
      </w:pPr>
      <w:r>
        <w:rPr>
          <w:rFonts w:ascii="Courier New" w:cs="Courier New" w:eastAsia="Courier New" w:hAnsi="Courier New"/>
          <w:sz w:val="17"/>
          <w:szCs w:val="17"/>
          <w:color w:val="auto"/>
        </w:rPr>
        <w:t>0</w:t>
      </w:r>
    </w:p>
    <w:p>
      <w:pPr>
        <w:ind w:left="3780"/>
        <w:spacing w:after="0" w:line="238" w:lineRule="auto"/>
        <w:rPr>
          <w:sz w:val="20"/>
          <w:szCs w:val="20"/>
          <w:color w:val="auto"/>
        </w:rPr>
      </w:pPr>
      <w:r>
        <w:rPr>
          <w:rFonts w:ascii="Courier New" w:cs="Courier New" w:eastAsia="Courier New" w:hAnsi="Courier New"/>
          <w:sz w:val="17"/>
          <w:szCs w:val="17"/>
          <w:color w:val="auto"/>
        </w:rPr>
        <w:t>0</w:t>
      </w:r>
    </w:p>
    <w:p>
      <w:pPr>
        <w:ind w:left="4380"/>
        <w:spacing w:after="0"/>
        <w:rPr>
          <w:sz w:val="20"/>
          <w:szCs w:val="20"/>
          <w:color w:val="auto"/>
        </w:rPr>
      </w:pPr>
      <w:r>
        <w:rPr>
          <w:rFonts w:ascii="Courier New" w:cs="Courier New" w:eastAsia="Courier New" w:hAnsi="Courier New"/>
          <w:sz w:val="17"/>
          <w:szCs w:val="17"/>
          <w:color w:val="auto"/>
        </w:rPr>
        <w:t>0</w:t>
      </w:r>
    </w:p>
    <w:p>
      <w:pPr>
        <w:jc w:val="center"/>
        <w:ind w:right="2359"/>
        <w:spacing w:after="0" w:line="238" w:lineRule="auto"/>
        <w:rPr>
          <w:sz w:val="20"/>
          <w:szCs w:val="20"/>
          <w:color w:val="auto"/>
        </w:rPr>
      </w:pPr>
      <w:r>
        <w:rPr>
          <w:rFonts w:ascii="Courier New" w:cs="Courier New" w:eastAsia="Courier New" w:hAnsi="Courier New"/>
          <w:sz w:val="17"/>
          <w:szCs w:val="17"/>
          <w:color w:val="auto"/>
        </w:rPr>
        <w:t>9,311</w:t>
      </w:r>
    </w:p>
    <w:p>
      <w:pPr>
        <w:jc w:val="center"/>
        <w:ind w:right="2359"/>
        <w:spacing w:after="0" w:line="238" w:lineRule="auto"/>
        <w:rPr>
          <w:sz w:val="20"/>
          <w:szCs w:val="20"/>
          <w:color w:val="auto"/>
        </w:rPr>
      </w:pPr>
      <w:r>
        <w:rPr>
          <w:rFonts w:ascii="Courier New" w:cs="Courier New" w:eastAsia="Courier New" w:hAnsi="Courier New"/>
          <w:sz w:val="17"/>
          <w:szCs w:val="17"/>
          <w:color w:val="auto"/>
        </w:rPr>
        <w:t>.25</w:t>
      </w:r>
    </w:p>
    <w:p>
      <w:pPr>
        <w:spacing w:after="0" w:line="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.24</w:t>
      </w:r>
    </w:p>
    <w:p>
      <w:pPr>
        <w:spacing w:after="0" w:line="160" w:lineRule="exact"/>
        <w:rPr>
          <w:sz w:val="20"/>
          <w:szCs w:val="20"/>
          <w:color w:val="auto"/>
        </w:rPr>
      </w:pPr>
    </w:p>
    <w:p>
      <w:pPr>
        <w:ind w:right="2759" w:firstLine="99"/>
        <w:spacing w:after="0" w:line="347" w:lineRule="auto"/>
        <w:rPr>
          <w:sz w:val="20"/>
          <w:szCs w:val="20"/>
          <w:color w:val="auto"/>
        </w:rPr>
      </w:pPr>
      <w:r>
        <w:rPr>
          <w:rFonts w:ascii="Courier New" w:cs="Courier New" w:eastAsia="Courier New" w:hAnsi="Courier New"/>
          <w:sz w:val="17"/>
          <w:szCs w:val="17"/>
          <w:color w:val="auto"/>
        </w:rPr>
        <w:t>Current assets and current liabilities are not listed since Federal Realty does not prepare a classified balance sheet.</w:t>
      </w:r>
    </w:p>
    <w:sectPr>
      <w:pgSz w:w="11900" w:h="16838" w:orient="portrait"/>
      <w:cols w:equalWidth="0" w:num="1">
        <w:col w:w="10219"/>
      </w:cols>
      <w:pgMar w:left="2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2)"/>
      <w:numFmt w:val="decimal"/>
      <w:start w:val="301"/>
    </w:lvl>
  </w:abstractNum>
  <w:abstractNum w:abstractNumId="1">
    <w:nsid w:val="66334873"/>
    <w:multiLevelType w:val="hybridMultilevel"/>
    <w:lvl w:ilvl="0">
      <w:lvlJc w:val="left"/>
      <w:lvlText w:val="(%1)"/>
      <w:numFmt w:val="upperLetter"/>
      <w:start w:val="1"/>
    </w:lvl>
    <w:lvl w:ilvl="1">
      <w:lvlJc w:val="left"/>
      <w:lvlText w:val="(%2)"/>
      <w:numFmt w:val="decimal"/>
      <w:start w:val="2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2019-12-13T01:02:11Z</dcterms:created>
  <dcterms:modified xsi:type="dcterms:W3CDTF">2019-12-13T01:02:11Z</dcterms:modified>
</cp:coreProperties>
</file>