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2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2371725</wp:posOffset>
            </wp:positionH>
            <wp:positionV relativeFrom="paragraph">
              <wp:posOffset>158750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200"/>
        <w:spacing w:after="0"/>
        <w:rPr>
          <w:sz w:val="20"/>
          <w:szCs w:val="20"/>
          <w:color w:val="auto"/>
        </w:rPr>
      </w:pPr>
      <w:r>
        <w:rPr>
          <w:rFonts w:ascii="Arial" w:cs="Arial" w:eastAsia="Arial" w:hAnsi="Arial"/>
          <w:sz w:val="32"/>
          <w:szCs w:val="32"/>
          <w:b w:val="1"/>
          <w:bCs w:val="1"/>
          <w:color w:val="auto"/>
        </w:rPr>
        <w:t>FORM 8-K</w:t>
      </w:r>
    </w:p>
    <w:p>
      <w:pPr>
        <w:spacing w:after="0" w:line="158" w:lineRule="exact"/>
        <w:rPr>
          <w:sz w:val="24"/>
          <w:szCs w:val="24"/>
          <w:color w:val="auto"/>
        </w:rPr>
      </w:pPr>
    </w:p>
    <w:p>
      <w:pPr>
        <w:jc w:val="center"/>
        <w:ind w:right="-200"/>
        <w:spacing w:after="0"/>
        <w:rPr>
          <w:sz w:val="20"/>
          <w:szCs w:val="20"/>
          <w:color w:val="auto"/>
        </w:rPr>
      </w:pPr>
      <w:r>
        <w:rPr>
          <w:rFonts w:ascii="Arial" w:cs="Arial" w:eastAsia="Arial" w:hAnsi="Arial"/>
          <w:sz w:val="24"/>
          <w:szCs w:val="24"/>
          <w:b w:val="1"/>
          <w:bCs w:val="1"/>
          <w:color w:val="auto"/>
        </w:rPr>
        <w:t>CURRENT REPORT</w:t>
      </w:r>
    </w:p>
    <w:p>
      <w:pPr>
        <w:spacing w:after="0" w:line="23" w:lineRule="exact"/>
        <w:rPr>
          <w:sz w:val="24"/>
          <w:szCs w:val="24"/>
          <w:color w:val="auto"/>
        </w:rPr>
      </w:pPr>
    </w:p>
    <w:p>
      <w:pPr>
        <w:jc w:val="center"/>
        <w:ind w:right="-200"/>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200"/>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Date of Report (Date of earliest event reported) January 21, 2004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2371725</wp:posOffset>
            </wp:positionH>
            <wp:positionV relativeFrom="paragraph">
              <wp:posOffset>177800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jc w:val="center"/>
        <w:ind w:right="-200"/>
        <w:spacing w:after="0"/>
        <w:rPr>
          <w:sz w:val="20"/>
          <w:szCs w:val="20"/>
          <w:color w:val="auto"/>
        </w:rPr>
      </w:pPr>
      <w:r>
        <w:rPr>
          <w:rFonts w:ascii="Arial" w:cs="Arial" w:eastAsia="Arial" w:hAnsi="Arial"/>
          <w:sz w:val="43"/>
          <w:szCs w:val="43"/>
          <w:b w:val="1"/>
          <w:bCs w:val="1"/>
          <w:color w:val="auto"/>
        </w:rPr>
        <w:t>Federal Realty Investment Trust</w:t>
      </w:r>
    </w:p>
    <w:p>
      <w:pPr>
        <w:spacing w:after="0" w:line="49" w:lineRule="exact"/>
        <w:rPr>
          <w:sz w:val="24"/>
          <w:szCs w:val="24"/>
          <w:color w:val="auto"/>
        </w:rPr>
      </w:pPr>
    </w:p>
    <w:p>
      <w:pPr>
        <w:jc w:val="center"/>
        <w:ind w:right="-200"/>
        <w:spacing w:after="0"/>
        <w:rPr>
          <w:sz w:val="20"/>
          <w:szCs w:val="20"/>
          <w:color w:val="auto"/>
        </w:rPr>
      </w:pPr>
      <w:r>
        <w:rPr>
          <w:rFonts w:ascii="Arial" w:cs="Arial" w:eastAsia="Arial" w:hAnsi="Arial"/>
          <w:sz w:val="14"/>
          <w:szCs w:val="14"/>
          <w:b w:val="1"/>
          <w:bCs w:val="1"/>
          <w:color w:val="auto"/>
        </w:rPr>
        <w:t>(Exact name of registrant as specified in its charter)</w:t>
      </w:r>
    </w:p>
    <w:p>
      <w:pPr>
        <w:sectPr>
          <w:pgSz w:w="11900" w:h="16838" w:orient="portrait"/>
          <w:cols w:equalWidth="0" w:num="1">
            <w:col w:w="9219"/>
          </w:cols>
          <w:pgMar w:left="1240" w:top="503" w:right="1440" w:bottom="1440" w:gutter="0" w:footer="0" w:header="0"/>
        </w:sectPr>
      </w:pPr>
    </w:p>
    <w:p>
      <w:pPr>
        <w:spacing w:after="0" w:line="121" w:lineRule="exact"/>
        <w:rPr>
          <w:sz w:val="24"/>
          <w:szCs w:val="24"/>
          <w:color w:val="auto"/>
        </w:rPr>
      </w:pPr>
    </w:p>
    <w:p>
      <w:pPr>
        <w:ind w:left="460"/>
        <w:spacing w:after="0"/>
        <w:rPr>
          <w:sz w:val="20"/>
          <w:szCs w:val="20"/>
          <w:color w:val="auto"/>
        </w:rPr>
      </w:pPr>
      <w:r>
        <w:rPr>
          <w:rFonts w:ascii="Arial" w:cs="Arial" w:eastAsia="Arial" w:hAnsi="Arial"/>
          <w:sz w:val="16"/>
          <w:szCs w:val="16"/>
          <w:b w:val="1"/>
          <w:bCs w:val="1"/>
          <w:color w:val="auto"/>
        </w:rPr>
        <w:t>Maryland</w:t>
      </w:r>
    </w:p>
    <w:p>
      <w:pPr>
        <w:spacing w:after="0" w:line="20" w:lineRule="exact"/>
        <w:rPr>
          <w:sz w:val="24"/>
          <w:szCs w:val="24"/>
          <w:color w:val="auto"/>
        </w:rPr>
      </w:pPr>
      <w:r>
        <w:rPr>
          <w:sz w:val="24"/>
          <w:szCs w:val="24"/>
          <w:color w:val="auto"/>
        </w:rPr>
        <w:br w:type="column"/>
      </w:r>
    </w:p>
    <w:p>
      <w:pPr>
        <w:spacing w:after="0" w:line="101" w:lineRule="exact"/>
        <w:rPr>
          <w:sz w:val="24"/>
          <w:szCs w:val="24"/>
          <w:color w:val="auto"/>
        </w:rPr>
      </w:pPr>
    </w:p>
    <w:p>
      <w:pPr>
        <w:jc w:val="center"/>
        <w:ind w:right="2440"/>
        <w:spacing w:after="0"/>
        <w:rPr>
          <w:sz w:val="20"/>
          <w:szCs w:val="20"/>
          <w:color w:val="auto"/>
        </w:rPr>
      </w:pPr>
      <w:r>
        <w:rPr>
          <w:rFonts w:ascii="Arial" w:cs="Arial" w:eastAsia="Arial" w:hAnsi="Arial"/>
          <w:sz w:val="15"/>
          <w:szCs w:val="15"/>
          <w:b w:val="1"/>
          <w:bCs w:val="1"/>
          <w:color w:val="auto"/>
        </w:rPr>
        <w:t>1-07533</w:t>
      </w:r>
    </w:p>
    <w:p>
      <w:pPr>
        <w:spacing w:after="0" w:line="20" w:lineRule="exact"/>
        <w:rPr>
          <w:sz w:val="24"/>
          <w:szCs w:val="24"/>
          <w:color w:val="auto"/>
        </w:rPr>
      </w:pPr>
      <w:r>
        <w:rPr>
          <w:sz w:val="24"/>
          <w:szCs w:val="24"/>
          <w:color w:val="auto"/>
        </w:rPr>
        <w:br w:type="column"/>
      </w:r>
    </w:p>
    <w:p>
      <w:pPr>
        <w:spacing w:after="0" w:line="101"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52-0782497</w:t>
      </w:r>
    </w:p>
    <w:p>
      <w:pPr>
        <w:spacing w:after="0" w:line="46" w:lineRule="exact"/>
        <w:rPr>
          <w:sz w:val="24"/>
          <w:szCs w:val="24"/>
          <w:color w:val="auto"/>
        </w:rPr>
      </w:pPr>
    </w:p>
    <w:p>
      <w:pPr>
        <w:sectPr>
          <w:pgSz w:w="11900" w:h="16838" w:orient="portrait"/>
          <w:cols w:equalWidth="0" w:num="3">
            <w:col w:w="3720" w:space="720"/>
            <w:col w:w="3020" w:space="720"/>
            <w:col w:w="1039"/>
          </w:cols>
          <w:pgMar w:left="1240" w:top="503" w:right="1440" w:bottom="1440" w:gutter="0" w:footer="0" w:header="0"/>
          <w:type w:val="continuous"/>
        </w:sectPr>
      </w:pPr>
    </w:p>
    <w:p>
      <w:pPr>
        <w:jc w:val="center"/>
        <w:ind w:right="1940"/>
        <w:spacing w:after="0"/>
        <w:rPr>
          <w:sz w:val="20"/>
          <w:szCs w:val="20"/>
          <w:color w:val="auto"/>
        </w:rPr>
      </w:pPr>
      <w:r>
        <w:rPr>
          <w:rFonts w:ascii="Arial" w:cs="Arial" w:eastAsia="Arial" w:hAnsi="Arial"/>
          <w:sz w:val="14"/>
          <w:szCs w:val="14"/>
          <w:b w:val="1"/>
          <w:bCs w:val="1"/>
          <w:color w:val="auto"/>
        </w:rPr>
        <w:t>(State or other</w:t>
      </w:r>
    </w:p>
    <w:p>
      <w:pPr>
        <w:jc w:val="center"/>
        <w:ind w:right="1940"/>
        <w:spacing w:after="0"/>
        <w:rPr>
          <w:sz w:val="20"/>
          <w:szCs w:val="20"/>
          <w:color w:val="auto"/>
        </w:rPr>
      </w:pPr>
      <w:r>
        <w:rPr>
          <w:rFonts w:ascii="Arial" w:cs="Arial" w:eastAsia="Arial" w:hAnsi="Arial"/>
          <w:sz w:val="12"/>
          <w:szCs w:val="12"/>
          <w:b w:val="1"/>
          <w:bCs w:val="1"/>
          <w:color w:val="auto"/>
        </w:rPr>
        <w:t>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99"/>
        <w:spacing w:after="0"/>
        <w:rPr>
          <w:sz w:val="20"/>
          <w:szCs w:val="20"/>
          <w:color w:val="auto"/>
        </w:rPr>
      </w:pPr>
      <w:r>
        <w:rPr>
          <w:rFonts w:ascii="Arial" w:cs="Arial" w:eastAsia="Arial" w:hAnsi="Arial"/>
          <w:sz w:val="14"/>
          <w:szCs w:val="14"/>
          <w:b w:val="1"/>
          <w:bCs w:val="1"/>
          <w:color w:val="auto"/>
        </w:rPr>
        <w:t>(IRS Employer</w:t>
      </w:r>
    </w:p>
    <w:p>
      <w:pPr>
        <w:jc w:val="center"/>
        <w:ind w:right="99"/>
        <w:spacing w:after="0"/>
        <w:rPr>
          <w:sz w:val="20"/>
          <w:szCs w:val="20"/>
          <w:color w:val="auto"/>
        </w:rPr>
      </w:pPr>
      <w:r>
        <w:rPr>
          <w:rFonts w:ascii="Arial" w:cs="Arial" w:eastAsia="Arial" w:hAnsi="Arial"/>
          <w:sz w:val="12"/>
          <w:szCs w:val="12"/>
          <w:b w:val="1"/>
          <w:bCs w:val="1"/>
          <w:color w:val="auto"/>
        </w:rPr>
        <w:t>Identification No.)</w:t>
      </w:r>
    </w:p>
    <w:p>
      <w:pPr>
        <w:spacing w:after="0" w:line="144" w:lineRule="exact"/>
        <w:rPr>
          <w:sz w:val="24"/>
          <w:szCs w:val="24"/>
          <w:color w:val="auto"/>
        </w:rPr>
      </w:pPr>
    </w:p>
    <w:p>
      <w:pPr>
        <w:sectPr>
          <w:pgSz w:w="11900" w:h="16838" w:orient="portrait"/>
          <w:cols w:equalWidth="0" w:num="3">
            <w:col w:w="3620" w:space="720"/>
            <w:col w:w="3000" w:space="720"/>
            <w:col w:w="1159"/>
          </w:cols>
          <w:pgMar w:left="1240" w:top="503" w:right="1440" w:bottom="1440" w:gutter="0" w:footer="0" w:header="0"/>
          <w:type w:val="continuous"/>
        </w:sectPr>
      </w:pPr>
    </w:p>
    <w:p>
      <w:pPr>
        <w:jc w:val="center"/>
        <w:ind w:right="2960"/>
        <w:spacing w:after="0"/>
        <w:rPr>
          <w:sz w:val="20"/>
          <w:szCs w:val="20"/>
          <w:color w:val="auto"/>
        </w:rPr>
      </w:pPr>
      <w:r>
        <w:rPr>
          <w:rFonts w:ascii="Arial" w:cs="Arial" w:eastAsia="Arial" w:hAnsi="Arial"/>
          <w:sz w:val="15"/>
          <w:szCs w:val="15"/>
          <w:b w:val="1"/>
          <w:bCs w:val="1"/>
          <w:color w:val="auto"/>
        </w:rPr>
        <w:t>1626 East Jefferson Street,</w:t>
      </w:r>
    </w:p>
    <w:p>
      <w:pPr>
        <w:spacing w:after="0" w:line="56" w:lineRule="exact"/>
        <w:rPr>
          <w:sz w:val="24"/>
          <w:szCs w:val="24"/>
          <w:color w:val="auto"/>
        </w:rPr>
      </w:pPr>
    </w:p>
    <w:p>
      <w:pPr>
        <w:jc w:val="center"/>
        <w:ind w:right="2960"/>
        <w:spacing w:after="0"/>
        <w:rPr>
          <w:sz w:val="20"/>
          <w:szCs w:val="20"/>
          <w:color w:val="auto"/>
        </w:rPr>
      </w:pPr>
      <w:r>
        <w:rPr>
          <w:rFonts w:ascii="Arial" w:cs="Arial" w:eastAsia="Arial" w:hAnsi="Arial"/>
          <w:sz w:val="18"/>
          <w:szCs w:val="18"/>
          <w:b w:val="1"/>
          <w:bCs w:val="1"/>
          <w:color w:val="auto"/>
        </w:rPr>
        <w:t>Rockville, Maryland</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20852-4041</w:t>
      </w:r>
    </w:p>
    <w:p>
      <w:pPr>
        <w:spacing w:after="0" w:line="55" w:lineRule="exact"/>
        <w:rPr>
          <w:sz w:val="24"/>
          <w:szCs w:val="24"/>
          <w:color w:val="auto"/>
        </w:rPr>
      </w:pPr>
    </w:p>
    <w:p>
      <w:pPr>
        <w:sectPr>
          <w:pgSz w:w="11900" w:h="16838" w:orient="portrait"/>
          <w:cols w:equalWidth="0" w:num="2">
            <w:col w:w="6500" w:space="720"/>
            <w:col w:w="1999"/>
          </w:cols>
          <w:pgMar w:left="1240" w:top="503" w:right="1440" w:bottom="1440" w:gutter="0" w:footer="0" w:header="0"/>
          <w:type w:val="continuous"/>
        </w:sectPr>
      </w:pPr>
    </w:p>
    <w:p>
      <w:pPr>
        <w:ind w:left="66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47" w:lineRule="exact"/>
        <w:rPr>
          <w:sz w:val="24"/>
          <w:szCs w:val="24"/>
          <w:color w:val="auto"/>
        </w:rPr>
      </w:pPr>
    </w:p>
    <w:p>
      <w:pPr>
        <w:sectPr>
          <w:pgSz w:w="11900" w:h="16838" w:orient="portrait"/>
          <w:cols w:equalWidth="0" w:num="2">
            <w:col w:w="6620" w:space="720"/>
            <w:col w:w="1879"/>
          </w:cols>
          <w:pgMar w:left="1240" w:top="503" w:right="1440" w:bottom="1440" w:gutter="0" w:footer="0" w:header="0"/>
          <w:type w:val="continuous"/>
        </w:sectPr>
      </w:pPr>
    </w:p>
    <w:p>
      <w:pPr>
        <w:jc w:val="center"/>
        <w:ind w:right="-200"/>
        <w:spacing w:after="0"/>
        <w:rPr>
          <w:sz w:val="20"/>
          <w:szCs w:val="20"/>
          <w:color w:val="auto"/>
        </w:rPr>
      </w:pPr>
      <w:r>
        <w:rPr>
          <w:rFonts w:ascii="Arial" w:cs="Arial" w:eastAsia="Arial" w:hAnsi="Arial"/>
          <w:sz w:val="15"/>
          <w:szCs w:val="15"/>
          <w:b w:val="1"/>
          <w:bCs w:val="1"/>
          <w:color w:val="auto"/>
        </w:rPr>
        <w:t>Registrant’s telephone number including area code: 301/998-8100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-631190</wp:posOffset>
            </wp:positionH>
            <wp:positionV relativeFrom="paragraph">
              <wp:posOffset>197485</wp:posOffset>
            </wp:positionV>
            <wp:extent cx="725043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9219"/>
          </w:cols>
          <w:pgMar w:left="1240" w:top="503" w:right="1440" w:bottom="1440" w:gutter="0" w:footer="0" w:header="0"/>
          <w:type w:val="continuous"/>
        </w:sectPr>
      </w:pPr>
    </w:p>
    <w:bookmarkStart w:id="1" w:name="page2"/>
    <w:bookmarkEnd w:id="1"/>
    <w:p>
      <w:pPr>
        <w:spacing w:after="0"/>
        <w:tabs>
          <w:tab w:leader="none" w:pos="10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7.</w:t>
      </w:r>
      <w:r>
        <w:rPr>
          <w:sz w:val="20"/>
          <w:szCs w:val="20"/>
          <w:color w:val="auto"/>
        </w:rPr>
        <w:tab/>
      </w:r>
      <w:r>
        <w:rPr>
          <w:rFonts w:ascii="Arial" w:cs="Arial" w:eastAsia="Arial" w:hAnsi="Arial"/>
          <w:sz w:val="15"/>
          <w:szCs w:val="15"/>
          <w:b w:val="1"/>
          <w:bCs w:val="1"/>
          <w:color w:val="auto"/>
        </w:rPr>
        <w:t>Financial Statements and Exhibits.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(c) Exhibits</w:t>
      </w:r>
    </w:p>
    <w:p>
      <w:pPr>
        <w:spacing w:after="0" w:line="158"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 exhibits listed in the following index relate to an offering under the Registrant’s Registration Statement on Form S-3 (No. 333-100819) and each is filed herewith for incorporation by reference in such Registration Statement.</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80" w:type="dxa"/>
            <w:vAlign w:val="bottom"/>
          </w:tcPr>
          <w:p>
            <w:pPr>
              <w:jc w:val="right"/>
              <w:ind w:right="15"/>
              <w:spacing w:after="0"/>
              <w:rPr>
                <w:sz w:val="20"/>
                <w:szCs w:val="20"/>
                <w:color w:val="auto"/>
              </w:rPr>
            </w:pPr>
            <w:r>
              <w:rPr>
                <w:rFonts w:ascii="Arial" w:cs="Arial" w:eastAsia="Arial" w:hAnsi="Arial"/>
                <w:sz w:val="14"/>
                <w:szCs w:val="14"/>
                <w:b w:val="1"/>
                <w:bCs w:val="1"/>
                <w:color w:val="auto"/>
              </w:rPr>
              <w:t>Exhibit No.</w:t>
            </w:r>
          </w:p>
        </w:tc>
        <w:tc>
          <w:tcPr>
            <w:tcW w:w="10340" w:type="dxa"/>
            <w:vAlign w:val="bottom"/>
            <w:gridSpan w:val="3"/>
          </w:tcPr>
          <w:p>
            <w:pPr>
              <w:ind w:left="84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880" w:type="dxa"/>
            <w:vAlign w:val="bottom"/>
            <w:tcBorders>
              <w:bottom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8600" w:type="dxa"/>
            <w:vAlign w:val="bottom"/>
          </w:tcPr>
          <w:p>
            <w:pPr>
              <w:spacing w:after="0"/>
              <w:rPr>
                <w:sz w:val="8"/>
                <w:szCs w:val="8"/>
                <w:color w:val="auto"/>
              </w:rPr>
            </w:pPr>
          </w:p>
        </w:tc>
      </w:tr>
      <w:tr>
        <w:trPr>
          <w:trHeight w:val="417"/>
        </w:trPr>
        <w:tc>
          <w:tcPr>
            <w:tcW w:w="880" w:type="dxa"/>
            <w:vAlign w:val="bottom"/>
          </w:tcPr>
          <w:p>
            <w:pPr>
              <w:jc w:val="right"/>
              <w:ind w:right="195"/>
              <w:spacing w:after="0"/>
              <w:rPr>
                <w:sz w:val="20"/>
                <w:szCs w:val="20"/>
                <w:color w:val="auto"/>
              </w:rPr>
            </w:pPr>
            <w:r>
              <w:rPr>
                <w:rFonts w:ascii="Arial" w:cs="Arial" w:eastAsia="Arial" w:hAnsi="Arial"/>
                <w:sz w:val="18"/>
                <w:szCs w:val="18"/>
                <w:color w:val="auto"/>
              </w:rPr>
              <w:t>1.1</w:t>
            </w:r>
          </w:p>
        </w:tc>
        <w:tc>
          <w:tcPr>
            <w:tcW w:w="10340" w:type="dxa"/>
            <w:vAlign w:val="bottom"/>
            <w:gridSpan w:val="3"/>
          </w:tcPr>
          <w:p>
            <w:pPr>
              <w:ind w:left="840"/>
              <w:spacing w:after="0"/>
              <w:rPr>
                <w:sz w:val="20"/>
                <w:szCs w:val="20"/>
                <w:color w:val="auto"/>
              </w:rPr>
            </w:pPr>
            <w:r>
              <w:rPr>
                <w:rFonts w:ascii="Arial" w:cs="Arial" w:eastAsia="Arial" w:hAnsi="Arial"/>
                <w:sz w:val="18"/>
                <w:szCs w:val="18"/>
                <w:color w:val="auto"/>
                <w:w w:val="89"/>
              </w:rPr>
              <w:t>Underwriting Agreement, dated January 21, 2004, by and among the Registrant and Citigroup Global Markets Inc., Wachovia Capital</w:t>
            </w:r>
          </w:p>
        </w:tc>
      </w:tr>
      <w:tr>
        <w:trPr>
          <w:trHeight w:val="216"/>
        </w:trPr>
        <w:tc>
          <w:tcPr>
            <w:tcW w:w="880" w:type="dxa"/>
            <w:vAlign w:val="bottom"/>
          </w:tcPr>
          <w:p>
            <w:pPr>
              <w:spacing w:after="0"/>
              <w:rPr>
                <w:sz w:val="18"/>
                <w:szCs w:val="18"/>
                <w:color w:val="auto"/>
              </w:rPr>
            </w:pPr>
          </w:p>
        </w:tc>
        <w:tc>
          <w:tcPr>
            <w:tcW w:w="10340" w:type="dxa"/>
            <w:vAlign w:val="bottom"/>
            <w:gridSpan w:val="3"/>
          </w:tcPr>
          <w:p>
            <w:pPr>
              <w:ind w:left="840"/>
              <w:spacing w:after="0"/>
              <w:rPr>
                <w:sz w:val="20"/>
                <w:szCs w:val="20"/>
                <w:color w:val="auto"/>
              </w:rPr>
            </w:pPr>
            <w:r>
              <w:rPr>
                <w:rFonts w:ascii="Arial" w:cs="Arial" w:eastAsia="Arial" w:hAnsi="Arial"/>
                <w:sz w:val="18"/>
                <w:szCs w:val="18"/>
                <w:color w:val="auto"/>
                <w:w w:val="89"/>
              </w:rPr>
              <w:t>Markets, LLC, Legg Mason Wood Walker, Incorporated, Merrill Lynch, Pierce, Fenner &amp; Smith Incorporated, Bear, Stearns &amp; Co. Inc.</w:t>
            </w:r>
          </w:p>
        </w:tc>
      </w:tr>
      <w:tr>
        <w:trPr>
          <w:trHeight w:val="222"/>
        </w:trPr>
        <w:tc>
          <w:tcPr>
            <w:tcW w:w="880" w:type="dxa"/>
            <w:vAlign w:val="bottom"/>
          </w:tcPr>
          <w:p>
            <w:pPr>
              <w:spacing w:after="0"/>
              <w:rPr>
                <w:sz w:val="19"/>
                <w:szCs w:val="19"/>
                <w:color w:val="auto"/>
              </w:rPr>
            </w:pPr>
          </w:p>
        </w:tc>
        <w:tc>
          <w:tcPr>
            <w:tcW w:w="10340" w:type="dxa"/>
            <w:vAlign w:val="bottom"/>
            <w:gridSpan w:val="3"/>
          </w:tcPr>
          <w:p>
            <w:pPr>
              <w:ind w:left="840"/>
              <w:spacing w:after="0"/>
              <w:rPr>
                <w:sz w:val="20"/>
                <w:szCs w:val="20"/>
                <w:color w:val="auto"/>
              </w:rPr>
            </w:pPr>
            <w:r>
              <w:rPr>
                <w:rFonts w:ascii="Arial" w:cs="Arial" w:eastAsia="Arial" w:hAnsi="Arial"/>
                <w:sz w:val="18"/>
                <w:szCs w:val="18"/>
                <w:color w:val="auto"/>
              </w:rPr>
              <w:t>and McDonald Investments Inc.</w:t>
            </w:r>
          </w:p>
        </w:tc>
      </w:tr>
      <w:tr>
        <w:trPr>
          <w:trHeight w:val="324"/>
        </w:trPr>
        <w:tc>
          <w:tcPr>
            <w:tcW w:w="880" w:type="dxa"/>
            <w:vAlign w:val="bottom"/>
          </w:tcPr>
          <w:p>
            <w:pPr>
              <w:jc w:val="right"/>
              <w:ind w:right="195"/>
              <w:spacing w:after="0"/>
              <w:rPr>
                <w:sz w:val="20"/>
                <w:szCs w:val="20"/>
                <w:color w:val="auto"/>
              </w:rPr>
            </w:pPr>
            <w:r>
              <w:rPr>
                <w:rFonts w:ascii="Arial" w:cs="Arial" w:eastAsia="Arial" w:hAnsi="Arial"/>
                <w:sz w:val="18"/>
                <w:szCs w:val="18"/>
                <w:color w:val="auto"/>
              </w:rPr>
              <w:t>1.2</w:t>
            </w:r>
          </w:p>
        </w:tc>
        <w:tc>
          <w:tcPr>
            <w:tcW w:w="10340" w:type="dxa"/>
            <w:vAlign w:val="bottom"/>
            <w:gridSpan w:val="3"/>
          </w:tcPr>
          <w:p>
            <w:pPr>
              <w:ind w:left="840"/>
              <w:spacing w:after="0"/>
              <w:rPr>
                <w:sz w:val="20"/>
                <w:szCs w:val="20"/>
                <w:color w:val="auto"/>
              </w:rPr>
            </w:pPr>
            <w:r>
              <w:rPr>
                <w:rFonts w:ascii="Arial" w:cs="Arial" w:eastAsia="Arial" w:hAnsi="Arial"/>
                <w:sz w:val="18"/>
                <w:szCs w:val="18"/>
                <w:color w:val="auto"/>
              </w:rPr>
              <w:t>Pricing Agreement, dated January 21, 2004, by and between the Registrant and certain underwriters named therein</w:t>
            </w:r>
          </w:p>
        </w:tc>
      </w:tr>
      <w:tr>
        <w:trPr>
          <w:trHeight w:val="324"/>
        </w:trPr>
        <w:tc>
          <w:tcPr>
            <w:tcW w:w="880" w:type="dxa"/>
            <w:vAlign w:val="bottom"/>
          </w:tcPr>
          <w:p>
            <w:pPr>
              <w:jc w:val="right"/>
              <w:ind w:right="195"/>
              <w:spacing w:after="0"/>
              <w:rPr>
                <w:sz w:val="20"/>
                <w:szCs w:val="20"/>
                <w:color w:val="auto"/>
              </w:rPr>
            </w:pPr>
            <w:r>
              <w:rPr>
                <w:rFonts w:ascii="Arial" w:cs="Arial" w:eastAsia="Arial" w:hAnsi="Arial"/>
                <w:sz w:val="18"/>
                <w:szCs w:val="18"/>
                <w:color w:val="auto"/>
              </w:rPr>
              <w:t>4.1</w:t>
            </w:r>
          </w:p>
        </w:tc>
        <w:tc>
          <w:tcPr>
            <w:tcW w:w="10340" w:type="dxa"/>
            <w:vAlign w:val="bottom"/>
            <w:gridSpan w:val="3"/>
          </w:tcPr>
          <w:p>
            <w:pPr>
              <w:ind w:left="840"/>
              <w:spacing w:after="0"/>
              <w:rPr>
                <w:sz w:val="20"/>
                <w:szCs w:val="20"/>
                <w:color w:val="auto"/>
              </w:rPr>
            </w:pPr>
            <w:r>
              <w:rPr>
                <w:rFonts w:ascii="Arial" w:cs="Arial" w:eastAsia="Arial" w:hAnsi="Arial"/>
                <w:sz w:val="18"/>
                <w:szCs w:val="18"/>
                <w:color w:val="auto"/>
              </w:rPr>
              <w:t>Form of 4.50% Note due 2011</w:t>
            </w:r>
          </w:p>
        </w:tc>
      </w:tr>
      <w:tr>
        <w:trPr>
          <w:trHeight w:val="324"/>
        </w:trPr>
        <w:tc>
          <w:tcPr>
            <w:tcW w:w="880" w:type="dxa"/>
            <w:vAlign w:val="bottom"/>
          </w:tcPr>
          <w:p>
            <w:pPr>
              <w:jc w:val="right"/>
              <w:ind w:right="195"/>
              <w:spacing w:after="0"/>
              <w:rPr>
                <w:sz w:val="20"/>
                <w:szCs w:val="20"/>
                <w:color w:val="auto"/>
              </w:rPr>
            </w:pPr>
            <w:r>
              <w:rPr>
                <w:rFonts w:ascii="Arial" w:cs="Arial" w:eastAsia="Arial" w:hAnsi="Arial"/>
                <w:sz w:val="18"/>
                <w:szCs w:val="18"/>
                <w:color w:val="auto"/>
              </w:rPr>
              <w:t>5.1</w:t>
            </w:r>
          </w:p>
        </w:tc>
        <w:tc>
          <w:tcPr>
            <w:tcW w:w="10340" w:type="dxa"/>
            <w:vAlign w:val="bottom"/>
            <w:gridSpan w:val="3"/>
          </w:tcPr>
          <w:p>
            <w:pPr>
              <w:ind w:left="840"/>
              <w:spacing w:after="0"/>
              <w:rPr>
                <w:sz w:val="20"/>
                <w:szCs w:val="20"/>
                <w:color w:val="auto"/>
              </w:rPr>
            </w:pPr>
            <w:r>
              <w:rPr>
                <w:rFonts w:ascii="Arial" w:cs="Arial" w:eastAsia="Arial" w:hAnsi="Arial"/>
                <w:sz w:val="18"/>
                <w:szCs w:val="18"/>
                <w:color w:val="auto"/>
              </w:rPr>
              <w:t>Opinion of Shaw Pittman LLP relating to legality of 4.50% Notes due 2011</w:t>
            </w:r>
          </w:p>
        </w:tc>
      </w:tr>
      <w:tr>
        <w:trPr>
          <w:trHeight w:val="324"/>
        </w:trPr>
        <w:tc>
          <w:tcPr>
            <w:tcW w:w="880" w:type="dxa"/>
            <w:vAlign w:val="bottom"/>
          </w:tcPr>
          <w:p>
            <w:pPr>
              <w:jc w:val="right"/>
              <w:ind w:right="195"/>
              <w:spacing w:after="0"/>
              <w:rPr>
                <w:sz w:val="20"/>
                <w:szCs w:val="20"/>
                <w:color w:val="auto"/>
              </w:rPr>
            </w:pPr>
            <w:r>
              <w:rPr>
                <w:rFonts w:ascii="Arial" w:cs="Arial" w:eastAsia="Arial" w:hAnsi="Arial"/>
                <w:sz w:val="18"/>
                <w:szCs w:val="18"/>
                <w:color w:val="auto"/>
              </w:rPr>
              <w:t>8.1</w:t>
            </w:r>
          </w:p>
        </w:tc>
        <w:tc>
          <w:tcPr>
            <w:tcW w:w="10340" w:type="dxa"/>
            <w:vAlign w:val="bottom"/>
            <w:gridSpan w:val="3"/>
          </w:tcPr>
          <w:p>
            <w:pPr>
              <w:ind w:left="840"/>
              <w:spacing w:after="0"/>
              <w:rPr>
                <w:sz w:val="20"/>
                <w:szCs w:val="20"/>
                <w:color w:val="auto"/>
              </w:rPr>
            </w:pPr>
            <w:r>
              <w:rPr>
                <w:rFonts w:ascii="Arial" w:cs="Arial" w:eastAsia="Arial" w:hAnsi="Arial"/>
                <w:sz w:val="18"/>
                <w:szCs w:val="18"/>
                <w:color w:val="auto"/>
              </w:rPr>
              <w:t>Opinion of Shaw Pittman LLP relating to material tax matters relating to the Registrant</w:t>
            </w:r>
          </w:p>
        </w:tc>
      </w:tr>
      <w:tr>
        <w:trPr>
          <w:trHeight w:val="318"/>
        </w:trPr>
        <w:tc>
          <w:tcPr>
            <w:tcW w:w="880" w:type="dxa"/>
            <w:vAlign w:val="bottom"/>
          </w:tcPr>
          <w:p>
            <w:pPr>
              <w:jc w:val="right"/>
              <w:ind w:right="195"/>
              <w:spacing w:after="0"/>
              <w:rPr>
                <w:sz w:val="20"/>
                <w:szCs w:val="20"/>
                <w:color w:val="auto"/>
              </w:rPr>
            </w:pPr>
            <w:r>
              <w:rPr>
                <w:rFonts w:ascii="Arial" w:cs="Arial" w:eastAsia="Arial" w:hAnsi="Arial"/>
                <w:sz w:val="18"/>
                <w:szCs w:val="18"/>
                <w:color w:val="auto"/>
              </w:rPr>
              <w:t>12.1</w:t>
            </w:r>
          </w:p>
        </w:tc>
        <w:tc>
          <w:tcPr>
            <w:tcW w:w="10340" w:type="dxa"/>
            <w:vAlign w:val="bottom"/>
            <w:gridSpan w:val="3"/>
          </w:tcPr>
          <w:p>
            <w:pPr>
              <w:ind w:left="840"/>
              <w:spacing w:after="0"/>
              <w:rPr>
                <w:sz w:val="20"/>
                <w:szCs w:val="20"/>
                <w:color w:val="auto"/>
              </w:rPr>
            </w:pPr>
            <w:r>
              <w:rPr>
                <w:rFonts w:ascii="Arial" w:cs="Arial" w:eastAsia="Arial" w:hAnsi="Arial"/>
                <w:sz w:val="18"/>
                <w:szCs w:val="18"/>
                <w:color w:val="auto"/>
                <w:w w:val="89"/>
              </w:rPr>
              <w:t>Statement Regarding Computation of Ratios of Earnings to Fixed Charges and of Ratios of Earnings to Combined Fixed Charges and</w:t>
            </w:r>
          </w:p>
        </w:tc>
      </w:tr>
      <w:tr>
        <w:trPr>
          <w:trHeight w:val="222"/>
        </w:trPr>
        <w:tc>
          <w:tcPr>
            <w:tcW w:w="880" w:type="dxa"/>
            <w:vAlign w:val="bottom"/>
          </w:tcPr>
          <w:p>
            <w:pPr>
              <w:spacing w:after="0"/>
              <w:rPr>
                <w:sz w:val="19"/>
                <w:szCs w:val="19"/>
                <w:color w:val="auto"/>
              </w:rPr>
            </w:pPr>
          </w:p>
        </w:tc>
        <w:tc>
          <w:tcPr>
            <w:tcW w:w="10340" w:type="dxa"/>
            <w:vAlign w:val="bottom"/>
            <w:gridSpan w:val="3"/>
          </w:tcPr>
          <w:p>
            <w:pPr>
              <w:ind w:left="840"/>
              <w:spacing w:after="0"/>
              <w:rPr>
                <w:sz w:val="20"/>
                <w:szCs w:val="20"/>
                <w:color w:val="auto"/>
              </w:rPr>
            </w:pPr>
            <w:r>
              <w:rPr>
                <w:rFonts w:ascii="Arial" w:cs="Arial" w:eastAsia="Arial" w:hAnsi="Arial"/>
                <w:sz w:val="18"/>
                <w:szCs w:val="18"/>
                <w:color w:val="auto"/>
              </w:rPr>
              <w:t>Preferred Share Dividends</w:t>
            </w:r>
          </w:p>
        </w:tc>
      </w:tr>
      <w:tr>
        <w:trPr>
          <w:trHeight w:val="324"/>
        </w:trPr>
        <w:tc>
          <w:tcPr>
            <w:tcW w:w="880" w:type="dxa"/>
            <w:vAlign w:val="bottom"/>
          </w:tcPr>
          <w:p>
            <w:pPr>
              <w:jc w:val="right"/>
              <w:ind w:right="195"/>
              <w:spacing w:after="0"/>
              <w:rPr>
                <w:sz w:val="20"/>
                <w:szCs w:val="20"/>
                <w:color w:val="auto"/>
              </w:rPr>
            </w:pPr>
            <w:r>
              <w:rPr>
                <w:rFonts w:ascii="Arial" w:cs="Arial" w:eastAsia="Arial" w:hAnsi="Arial"/>
                <w:sz w:val="18"/>
                <w:szCs w:val="18"/>
                <w:color w:val="auto"/>
              </w:rPr>
              <w:t>23.1</w:t>
            </w:r>
          </w:p>
        </w:tc>
        <w:tc>
          <w:tcPr>
            <w:tcW w:w="10340" w:type="dxa"/>
            <w:vAlign w:val="bottom"/>
            <w:gridSpan w:val="3"/>
          </w:tcPr>
          <w:p>
            <w:pPr>
              <w:ind w:left="840"/>
              <w:spacing w:after="0"/>
              <w:rPr>
                <w:sz w:val="20"/>
                <w:szCs w:val="20"/>
                <w:color w:val="auto"/>
              </w:rPr>
            </w:pPr>
            <w:r>
              <w:rPr>
                <w:rFonts w:ascii="Arial" w:cs="Arial" w:eastAsia="Arial" w:hAnsi="Arial"/>
                <w:sz w:val="18"/>
                <w:szCs w:val="18"/>
                <w:color w:val="auto"/>
              </w:rPr>
              <w:t>Consents of Shaw Pittman LLP (contained in the opinions filed as Exhibits 5.1 and 8.1 hereto)</w:t>
            </w:r>
          </w:p>
        </w:tc>
      </w:tr>
    </w:tbl>
    <w:p>
      <w:pPr>
        <w:sectPr>
          <w:pgSz w:w="11900" w:h="16838" w:orient="portrait"/>
          <w:cols w:equalWidth="0" w:num="1">
            <w:col w:w="11220"/>
          </w:cols>
          <w:pgMar w:left="240" w:top="274" w:right="4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5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18"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p>
      <w:pPr>
        <w:spacing w:after="0"/>
        <w:tabs>
          <w:tab w:leader="none" w:pos="6140" w:val="left"/>
          <w:tab w:leader="none" w:pos="6620" w:val="left"/>
          <w:tab w:leader="none" w:pos="6960" w:val="left"/>
        </w:tabs>
        <w:rPr>
          <w:sz w:val="20"/>
          <w:szCs w:val="20"/>
          <w:color w:val="auto"/>
        </w:rPr>
      </w:pPr>
      <w:r>
        <w:rPr>
          <w:rFonts w:ascii="Arial" w:cs="Arial" w:eastAsia="Arial" w:hAnsi="Arial"/>
          <w:sz w:val="18"/>
          <w:szCs w:val="18"/>
          <w:color w:val="auto"/>
        </w:rPr>
        <w:t>Date: January 26, 2004</w:t>
      </w:r>
      <w:r>
        <w:rPr>
          <w:sz w:val="20"/>
          <w:szCs w:val="20"/>
          <w:color w:val="auto"/>
        </w:rPr>
        <w:tab/>
      </w:r>
      <w:r>
        <w:rPr>
          <w:rFonts w:ascii="Arial" w:cs="Arial" w:eastAsia="Arial" w:hAnsi="Arial"/>
          <w:sz w:val="18"/>
          <w:szCs w:val="18"/>
          <w:color w:val="auto"/>
        </w:rPr>
        <w:t>By:</w:t>
        <w:tab/>
        <w:t>/s/</w:t>
      </w:r>
      <w:r>
        <w:rPr>
          <w:sz w:val="20"/>
          <w:szCs w:val="20"/>
          <w:color w:val="auto"/>
        </w:rPr>
        <w:tab/>
      </w:r>
      <w:r>
        <w:rPr>
          <w:rFonts w:ascii="Arial" w:cs="Arial" w:eastAsia="Arial" w:hAnsi="Arial"/>
          <w:sz w:val="16"/>
          <w:szCs w:val="16"/>
          <w:color w:val="auto"/>
        </w:rPr>
        <w:t>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4078605</wp:posOffset>
            </wp:positionH>
            <wp:positionV relativeFrom="paragraph">
              <wp:posOffset>80010</wp:posOffset>
            </wp:positionV>
            <wp:extent cx="31730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73095" cy="8890"/>
                    </a:xfrm>
                    <a:prstGeom prst="rect">
                      <a:avLst/>
                    </a:prstGeom>
                    <a:noFill/>
                  </pic:spPr>
                </pic:pic>
              </a:graphicData>
            </a:graphic>
          </wp:anchor>
        </w:drawing>
      </w:r>
    </w:p>
    <w:p>
      <w:pPr>
        <w:spacing w:after="0" w:line="216" w:lineRule="exact"/>
        <w:rPr>
          <w:sz w:val="20"/>
          <w:szCs w:val="20"/>
          <w:color w:val="auto"/>
        </w:rPr>
      </w:pPr>
    </w:p>
    <w:p>
      <w:pPr>
        <w:ind w:left="6640"/>
        <w:spacing w:after="0"/>
        <w:rPr>
          <w:sz w:val="20"/>
          <w:szCs w:val="20"/>
          <w:color w:val="auto"/>
        </w:rPr>
      </w:pPr>
      <w:r>
        <w:rPr>
          <w:rFonts w:ascii="Arial" w:cs="Arial" w:eastAsia="Arial" w:hAnsi="Arial"/>
          <w:sz w:val="14"/>
          <w:szCs w:val="14"/>
          <w:color w:val="auto"/>
        </w:rPr>
        <w:t>Dawn M. Becker</w:t>
      </w:r>
    </w:p>
    <w:p>
      <w:pPr>
        <w:ind w:left="6640"/>
        <w:spacing w:after="0"/>
        <w:rPr>
          <w:sz w:val="20"/>
          <w:szCs w:val="20"/>
          <w:color w:val="auto"/>
        </w:rPr>
      </w:pPr>
      <w:r>
        <w:rPr>
          <w:rFonts w:ascii="Arial" w:cs="Arial" w:eastAsia="Arial" w:hAnsi="Arial"/>
          <w:sz w:val="14"/>
          <w:szCs w:val="14"/>
          <w:color w:val="auto"/>
        </w:rPr>
        <w:t>Senior Vice President, General Counsel and Secretary</w:t>
      </w:r>
    </w:p>
    <w:p>
      <w:pPr>
        <w:sectPr>
          <w:pgSz w:w="11900" w:h="16838" w:orient="portrait"/>
          <w:cols w:equalWidth="0" w:num="1">
            <w:col w:w="11400"/>
          </w:cols>
          <w:pgMar w:left="240" w:top="280" w:right="2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1.1</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Execution Copy</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EDERAL</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EALTY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NVESTMENT</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RUST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3006725</wp:posOffset>
            </wp:positionH>
            <wp:positionV relativeFrom="paragraph">
              <wp:posOffset>122555</wp:posOffset>
            </wp:positionV>
            <wp:extent cx="12433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Underwriting Agreement</w:t>
      </w:r>
    </w:p>
    <w:p>
      <w:pPr>
        <w:spacing w:after="0" w:line="158" w:lineRule="exact"/>
        <w:rPr>
          <w:sz w:val="20"/>
          <w:szCs w:val="20"/>
          <w:color w:val="auto"/>
        </w:rPr>
      </w:pPr>
    </w:p>
    <w:p>
      <w:pPr>
        <w:ind w:left="10220"/>
        <w:spacing w:after="0"/>
        <w:rPr>
          <w:sz w:val="20"/>
          <w:szCs w:val="20"/>
          <w:color w:val="auto"/>
        </w:rPr>
      </w:pPr>
      <w:r>
        <w:rPr>
          <w:rFonts w:ascii="Arial" w:cs="Arial" w:eastAsia="Arial" w:hAnsi="Arial"/>
          <w:sz w:val="15"/>
          <w:szCs w:val="15"/>
          <w:color w:val="auto"/>
        </w:rPr>
        <w:t>January 21, 2004</w:t>
      </w:r>
    </w:p>
    <w:p>
      <w:pPr>
        <w:spacing w:after="0" w:line="192" w:lineRule="exact"/>
        <w:rPr>
          <w:sz w:val="20"/>
          <w:szCs w:val="20"/>
          <w:color w:val="auto"/>
        </w:rPr>
      </w:pPr>
    </w:p>
    <w:p>
      <w:pPr>
        <w:ind w:left="20"/>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ITIGROUP</w:t>
      </w:r>
      <w:r>
        <w:rPr>
          <w:rFonts w:ascii="Arial" w:cs="Arial" w:eastAsia="Arial" w:hAnsi="Arial"/>
          <w:sz w:val="18"/>
          <w:szCs w:val="18"/>
          <w:color w:val="auto"/>
        </w:rPr>
        <w:t xml:space="preserve"> G</w:t>
      </w:r>
      <w:r>
        <w:rPr>
          <w:rFonts w:ascii="Arial" w:cs="Arial" w:eastAsia="Arial" w:hAnsi="Arial"/>
          <w:sz w:val="14"/>
          <w:szCs w:val="14"/>
          <w:color w:val="auto"/>
        </w:rPr>
        <w:t>LOBAL</w:t>
      </w:r>
      <w:r>
        <w:rPr>
          <w:rFonts w:ascii="Arial" w:cs="Arial" w:eastAsia="Arial" w:hAnsi="Arial"/>
          <w:sz w:val="18"/>
          <w:szCs w:val="18"/>
          <w:color w:val="auto"/>
        </w:rPr>
        <w:t xml:space="preserve"> M</w:t>
      </w:r>
      <w:r>
        <w:rPr>
          <w:rFonts w:ascii="Arial" w:cs="Arial" w:eastAsia="Arial" w:hAnsi="Arial"/>
          <w:sz w:val="14"/>
          <w:szCs w:val="14"/>
          <w:color w:val="auto"/>
        </w:rPr>
        <w:t>ARKETS</w:t>
      </w:r>
      <w:r>
        <w:rPr>
          <w:rFonts w:ascii="Arial" w:cs="Arial" w:eastAsia="Arial" w:hAnsi="Arial"/>
          <w:sz w:val="18"/>
          <w:szCs w:val="18"/>
          <w:color w:val="auto"/>
        </w:rPr>
        <w:t xml:space="preserve"> I</w:t>
      </w:r>
      <w:r>
        <w:rPr>
          <w:rFonts w:ascii="Arial" w:cs="Arial" w:eastAsia="Arial" w:hAnsi="Arial"/>
          <w:sz w:val="14"/>
          <w:szCs w:val="14"/>
          <w:color w:val="auto"/>
        </w:rPr>
        <w:t>NC</w:t>
      </w:r>
      <w:r>
        <w:rPr>
          <w:rFonts w:ascii="Arial" w:cs="Arial" w:eastAsia="Arial" w:hAnsi="Arial"/>
          <w:sz w:val="18"/>
          <w:szCs w:val="18"/>
          <w:color w:val="auto"/>
        </w:rPr>
        <w:t>.</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ACHOVIA</w:t>
      </w:r>
      <w:r>
        <w:rPr>
          <w:rFonts w:ascii="Arial" w:cs="Arial" w:eastAsia="Arial" w:hAnsi="Arial"/>
          <w:sz w:val="18"/>
          <w:szCs w:val="18"/>
          <w:color w:val="auto"/>
        </w:rPr>
        <w:t xml:space="preserve"> C</w:t>
      </w:r>
      <w:r>
        <w:rPr>
          <w:rFonts w:ascii="Arial" w:cs="Arial" w:eastAsia="Arial" w:hAnsi="Arial"/>
          <w:sz w:val="14"/>
          <w:szCs w:val="14"/>
          <w:color w:val="auto"/>
        </w:rPr>
        <w:t>APITAL</w:t>
      </w:r>
      <w:r>
        <w:rPr>
          <w:rFonts w:ascii="Arial" w:cs="Arial" w:eastAsia="Arial" w:hAnsi="Arial"/>
          <w:sz w:val="18"/>
          <w:szCs w:val="18"/>
          <w:color w:val="auto"/>
        </w:rPr>
        <w:t xml:space="preserve"> M</w:t>
      </w:r>
      <w:r>
        <w:rPr>
          <w:rFonts w:ascii="Arial" w:cs="Arial" w:eastAsia="Arial" w:hAnsi="Arial"/>
          <w:sz w:val="14"/>
          <w:szCs w:val="14"/>
          <w:color w:val="auto"/>
        </w:rPr>
        <w:t>ARKETS</w:t>
      </w:r>
      <w:r>
        <w:rPr>
          <w:rFonts w:ascii="Arial" w:cs="Arial" w:eastAsia="Arial" w:hAnsi="Arial"/>
          <w:sz w:val="18"/>
          <w:szCs w:val="18"/>
          <w:color w:val="auto"/>
        </w:rPr>
        <w:t>, LLC</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EGG</w:t>
      </w:r>
      <w:r>
        <w:rPr>
          <w:rFonts w:ascii="Arial" w:cs="Arial" w:eastAsia="Arial" w:hAnsi="Arial"/>
          <w:sz w:val="18"/>
          <w:szCs w:val="18"/>
          <w:color w:val="auto"/>
        </w:rPr>
        <w:t xml:space="preserve"> M</w:t>
      </w:r>
      <w:r>
        <w:rPr>
          <w:rFonts w:ascii="Arial" w:cs="Arial" w:eastAsia="Arial" w:hAnsi="Arial"/>
          <w:sz w:val="14"/>
          <w:szCs w:val="14"/>
          <w:color w:val="auto"/>
        </w:rPr>
        <w:t>ASON</w:t>
      </w:r>
      <w:r>
        <w:rPr>
          <w:rFonts w:ascii="Arial" w:cs="Arial" w:eastAsia="Arial" w:hAnsi="Arial"/>
          <w:sz w:val="18"/>
          <w:szCs w:val="18"/>
          <w:color w:val="auto"/>
        </w:rPr>
        <w:t xml:space="preserve"> W</w:t>
      </w:r>
      <w:r>
        <w:rPr>
          <w:rFonts w:ascii="Arial" w:cs="Arial" w:eastAsia="Arial" w:hAnsi="Arial"/>
          <w:sz w:val="14"/>
          <w:szCs w:val="14"/>
          <w:color w:val="auto"/>
        </w:rPr>
        <w:t>OOD</w:t>
      </w:r>
      <w:r>
        <w:rPr>
          <w:rFonts w:ascii="Arial" w:cs="Arial" w:eastAsia="Arial" w:hAnsi="Arial"/>
          <w:sz w:val="18"/>
          <w:szCs w:val="18"/>
          <w:color w:val="auto"/>
        </w:rPr>
        <w:t xml:space="preserve"> W</w:t>
      </w:r>
      <w:r>
        <w:rPr>
          <w:rFonts w:ascii="Arial" w:cs="Arial" w:eastAsia="Arial" w:hAnsi="Arial"/>
          <w:sz w:val="14"/>
          <w:szCs w:val="14"/>
          <w:color w:val="auto"/>
        </w:rPr>
        <w:t>ALKER</w:t>
      </w:r>
      <w:r>
        <w:rPr>
          <w:rFonts w:ascii="Arial" w:cs="Arial" w:eastAsia="Arial" w:hAnsi="Arial"/>
          <w:sz w:val="18"/>
          <w:szCs w:val="18"/>
          <w:color w:val="auto"/>
        </w:rPr>
        <w:t>, I</w:t>
      </w:r>
      <w:r>
        <w:rPr>
          <w:rFonts w:ascii="Arial" w:cs="Arial" w:eastAsia="Arial" w:hAnsi="Arial"/>
          <w:sz w:val="14"/>
          <w:szCs w:val="14"/>
          <w:color w:val="auto"/>
        </w:rPr>
        <w:t>NCORPORATED</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ERRILL</w:t>
      </w:r>
      <w:r>
        <w:rPr>
          <w:rFonts w:ascii="Arial" w:cs="Arial" w:eastAsia="Arial" w:hAnsi="Arial"/>
          <w:sz w:val="18"/>
          <w:szCs w:val="18"/>
          <w:color w:val="auto"/>
        </w:rPr>
        <w:t xml:space="preserve"> L</w:t>
      </w:r>
      <w:r>
        <w:rPr>
          <w:rFonts w:ascii="Arial" w:cs="Arial" w:eastAsia="Arial" w:hAnsi="Arial"/>
          <w:sz w:val="14"/>
          <w:szCs w:val="14"/>
          <w:color w:val="auto"/>
        </w:rPr>
        <w:t>YNCH</w:t>
      </w:r>
      <w:r>
        <w:rPr>
          <w:rFonts w:ascii="Arial" w:cs="Arial" w:eastAsia="Arial" w:hAnsi="Arial"/>
          <w:sz w:val="18"/>
          <w:szCs w:val="18"/>
          <w:color w:val="auto"/>
        </w:rPr>
        <w:t>, P</w:t>
      </w:r>
      <w:r>
        <w:rPr>
          <w:rFonts w:ascii="Arial" w:cs="Arial" w:eastAsia="Arial" w:hAnsi="Arial"/>
          <w:sz w:val="14"/>
          <w:szCs w:val="14"/>
          <w:color w:val="auto"/>
        </w:rPr>
        <w:t>IERCE</w:t>
      </w:r>
      <w:r>
        <w:rPr>
          <w:rFonts w:ascii="Arial" w:cs="Arial" w:eastAsia="Arial" w:hAnsi="Arial"/>
          <w:sz w:val="18"/>
          <w:szCs w:val="18"/>
          <w:color w:val="auto"/>
        </w:rPr>
        <w:t>, F</w:t>
      </w:r>
      <w:r>
        <w:rPr>
          <w:rFonts w:ascii="Arial" w:cs="Arial" w:eastAsia="Arial" w:hAnsi="Arial"/>
          <w:sz w:val="14"/>
          <w:szCs w:val="14"/>
          <w:color w:val="auto"/>
        </w:rPr>
        <w:t>ENNER</w:t>
      </w:r>
      <w:r>
        <w:rPr>
          <w:rFonts w:ascii="Arial" w:cs="Arial" w:eastAsia="Arial" w:hAnsi="Arial"/>
          <w:sz w:val="18"/>
          <w:szCs w:val="18"/>
          <w:color w:val="auto"/>
        </w:rPr>
        <w:t xml:space="preserve"> &amp; S</w:t>
      </w:r>
      <w:r>
        <w:rPr>
          <w:rFonts w:ascii="Arial" w:cs="Arial" w:eastAsia="Arial" w:hAnsi="Arial"/>
          <w:sz w:val="14"/>
          <w:szCs w:val="14"/>
          <w:color w:val="auto"/>
        </w:rPr>
        <w:t>MITH</w:t>
      </w:r>
      <w:r>
        <w:rPr>
          <w:rFonts w:ascii="Arial" w:cs="Arial" w:eastAsia="Arial" w:hAnsi="Arial"/>
          <w:sz w:val="18"/>
          <w:szCs w:val="18"/>
          <w:color w:val="auto"/>
        </w:rPr>
        <w:t xml:space="preserve"> I</w:t>
      </w:r>
      <w:r>
        <w:rPr>
          <w:rFonts w:ascii="Arial" w:cs="Arial" w:eastAsia="Arial" w:hAnsi="Arial"/>
          <w:sz w:val="14"/>
          <w:szCs w:val="14"/>
          <w:color w:val="auto"/>
        </w:rPr>
        <w:t>NCORPORATED</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EAR</w:t>
      </w:r>
      <w:r>
        <w:rPr>
          <w:rFonts w:ascii="Arial" w:cs="Arial" w:eastAsia="Arial" w:hAnsi="Arial"/>
          <w:sz w:val="18"/>
          <w:szCs w:val="18"/>
          <w:color w:val="auto"/>
        </w:rPr>
        <w:t>, S</w:t>
      </w:r>
      <w:r>
        <w:rPr>
          <w:rFonts w:ascii="Arial" w:cs="Arial" w:eastAsia="Arial" w:hAnsi="Arial"/>
          <w:sz w:val="14"/>
          <w:szCs w:val="14"/>
          <w:color w:val="auto"/>
        </w:rPr>
        <w:t>TEARNS</w:t>
      </w:r>
      <w:r>
        <w:rPr>
          <w:rFonts w:ascii="Arial" w:cs="Arial" w:eastAsia="Arial" w:hAnsi="Arial"/>
          <w:sz w:val="18"/>
          <w:szCs w:val="18"/>
          <w:color w:val="auto"/>
        </w:rPr>
        <w:t xml:space="preserve"> &amp; C</w:t>
      </w:r>
      <w:r>
        <w:rPr>
          <w:rFonts w:ascii="Arial" w:cs="Arial" w:eastAsia="Arial" w:hAnsi="Arial"/>
          <w:sz w:val="14"/>
          <w:szCs w:val="14"/>
          <w:color w:val="auto"/>
        </w:rPr>
        <w:t>O</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C</w:t>
      </w:r>
      <w:r>
        <w:rPr>
          <w:rFonts w:ascii="Arial" w:cs="Arial" w:eastAsia="Arial" w:hAnsi="Arial"/>
          <w:sz w:val="18"/>
          <w:szCs w:val="18"/>
          <w:color w:val="auto"/>
        </w:rPr>
        <w:t>D</w:t>
      </w:r>
      <w:r>
        <w:rPr>
          <w:rFonts w:ascii="Arial" w:cs="Arial" w:eastAsia="Arial" w:hAnsi="Arial"/>
          <w:sz w:val="14"/>
          <w:szCs w:val="14"/>
          <w:color w:val="auto"/>
        </w:rPr>
        <w:t>ONALD</w:t>
      </w:r>
      <w:r>
        <w:rPr>
          <w:rFonts w:ascii="Arial" w:cs="Arial" w:eastAsia="Arial" w:hAnsi="Arial"/>
          <w:sz w:val="18"/>
          <w:szCs w:val="18"/>
          <w:color w:val="auto"/>
        </w:rPr>
        <w:t xml:space="preserve"> I</w:t>
      </w:r>
      <w:r>
        <w:rPr>
          <w:rFonts w:ascii="Arial" w:cs="Arial" w:eastAsia="Arial" w:hAnsi="Arial"/>
          <w:sz w:val="14"/>
          <w:szCs w:val="14"/>
          <w:color w:val="auto"/>
        </w:rPr>
        <w:t>NVESTMENTS</w:t>
      </w:r>
      <w:r>
        <w:rPr>
          <w:rFonts w:ascii="Arial" w:cs="Arial" w:eastAsia="Arial" w:hAnsi="Arial"/>
          <w:sz w:val="18"/>
          <w:szCs w:val="18"/>
          <w:color w:val="auto"/>
        </w:rPr>
        <w:t xml:space="preserve"> I</w:t>
      </w:r>
      <w:r>
        <w:rPr>
          <w:rFonts w:ascii="Arial" w:cs="Arial" w:eastAsia="Arial" w:hAnsi="Arial"/>
          <w:sz w:val="14"/>
          <w:szCs w:val="14"/>
          <w:color w:val="auto"/>
        </w:rPr>
        <w:t>NC</w:t>
      </w:r>
      <w:r>
        <w:rPr>
          <w:rFonts w:ascii="Arial" w:cs="Arial" w:eastAsia="Arial" w:hAnsi="Arial"/>
          <w:sz w:val="18"/>
          <w:szCs w:val="18"/>
          <w:color w:val="auto"/>
        </w:rPr>
        <w:t>.</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c/o Citigroup Global Markets Inc.</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New York, New York 10013</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58"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From time to time Federal Realty Investment Trust, a Maryland real estate investment trust (the “Company”), proposes to enter into one or more Pricing Agreements (each a “Pricing Agreement”) in substantially the form of Annex I hereto, with such additions and deletions as the parties thereto may determine, and, subject to the terms and conditions stated herein and therein, to issue and sell to the firms named in Schedule I to the applicable Pricing Agreement (such firms constituting the “Underwriters” with respect to such Pricing Agreement and the securities specified therein) certain of its debt securities (the “Securities”) specified in Schedule II to such Pricing Agreement (with respect to such Pricing Agreement, the “Designated Securities”).</w:t>
      </w:r>
    </w:p>
    <w:p>
      <w:pPr>
        <w:spacing w:after="0" w:line="10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terms and rights of any particular issuance of Designated Securities shall be as specified in the Pricing Agreement relating thereto and in or pursuant to the indenture (the “Indenture”) identified in such Pricing Agreement and resolutions of the board of trustees of the Company or a duly appointed committee thereof.</w:t>
      </w:r>
    </w:p>
    <w:p>
      <w:pPr>
        <w:spacing w:after="0" w:line="127" w:lineRule="exact"/>
        <w:rPr>
          <w:sz w:val="20"/>
          <w:szCs w:val="20"/>
          <w:color w:val="auto"/>
        </w:rPr>
      </w:pPr>
    </w:p>
    <w:p>
      <w:pPr>
        <w:ind w:right="140" w:firstLine="464"/>
        <w:spacing w:after="0" w:line="256" w:lineRule="auto"/>
        <w:tabs>
          <w:tab w:leader="none" w:pos="632" w:val="left"/>
        </w:tabs>
        <w:numPr>
          <w:ilvl w:val="0"/>
          <w:numId w:val="1"/>
        </w:numPr>
        <w:rPr>
          <w:rFonts w:ascii="Arial" w:cs="Arial" w:eastAsia="Arial" w:hAnsi="Arial"/>
          <w:sz w:val="18"/>
          <w:szCs w:val="18"/>
          <w:color w:val="auto"/>
        </w:rPr>
      </w:pPr>
      <w:r>
        <w:rPr>
          <w:rFonts w:ascii="Arial" w:cs="Arial" w:eastAsia="Arial" w:hAnsi="Arial"/>
          <w:sz w:val="18"/>
          <w:szCs w:val="18"/>
          <w:color w:val="auto"/>
        </w:rPr>
        <w:t>Particular sales of Designated Securities may be made from time to time to the Underwriters of such Securities, for whom the firms designated as representatives of the Underwriters of such Securities in the Pricing Agreement relating thereto will act as representatives (the “Representatives”). The term “Representatives” also refers to a single firm acting as sole representative of the Underwriters and to Underwriters who act without any firm being designated as their representative. This Underwriting Agreement</w:t>
      </w:r>
    </w:p>
    <w:p>
      <w:pPr>
        <w:sectPr>
          <w:pgSz w:w="11900" w:h="16838" w:orient="portrait"/>
          <w:cols w:equalWidth="0" w:num="1">
            <w:col w:w="11420"/>
          </w:cols>
          <w:pgMar w:left="240" w:top="125" w:right="239" w:bottom="1440" w:gutter="0" w:footer="0" w:header="0"/>
        </w:sectPr>
      </w:pPr>
    </w:p>
    <w:bookmarkStart w:id="4" w:name="page5"/>
    <w:bookmarkEnd w:id="4"/>
    <w:p>
      <w:pPr>
        <w:ind w:right="6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shall not be construed as an obligation of the Company to sell any of the Securities or as an obligation of any of the Underwriters to purchase the Securities. The obligation of the Company to issue and sell any of the Securities and the obligation of any of the Underwriters to purchase any of the Securities shall be evidenced by the Pricing Agreement with respect to the Designated Securities specified therein. Each Pricing Agreement shall specify the aggregate principal amount of such Designated Securities, the initial public offering price of such Designated Securities, the purchase price to the Underwriters of such Designated Securities, the names of the Underwriters of such Designated Securities, the names of the Representatives of such Underwriters and the principal amount of such Designated Securities to be purchased by each Underwriter and shall set forth the date, time and manner of delivery of such Designated Securities and payment therefor. The Pricing Agreement shall also specify (to the extent not set forth in the Indenture and the registration statement and prospectus with respect thereto) the terms of such Designated Securities. A Pricing Agreement shall be in the form of an executed writing (which may be in counterparts), and may be evidenced by an exchange of telecopied communications or any other rapid transmission device designed to produce a written record of communications transmitted. The obligations of the Underwriters under this Agreement and each Pricing Agreement shall be several and not joint.</w:t>
      </w:r>
    </w:p>
    <w:p>
      <w:pPr>
        <w:spacing w:after="0" w:line="109" w:lineRule="exact"/>
        <w:rPr>
          <w:sz w:val="20"/>
          <w:szCs w:val="20"/>
          <w:color w:val="auto"/>
        </w:rPr>
      </w:pPr>
    </w:p>
    <w:p>
      <w:pPr>
        <w:ind w:left="640" w:hanging="176"/>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 represents and warrants to, and agrees with, each of the Underwriters that:</w:t>
      </w:r>
    </w:p>
    <w:p>
      <w:pPr>
        <w:spacing w:after="0" w:line="76" w:lineRule="exact"/>
        <w:rPr>
          <w:rFonts w:ascii="Arial" w:cs="Arial" w:eastAsia="Arial" w:hAnsi="Arial"/>
          <w:sz w:val="18"/>
          <w:szCs w:val="18"/>
          <w:color w:val="auto"/>
        </w:rPr>
      </w:pPr>
    </w:p>
    <w:p>
      <w:pPr>
        <w:ind w:left="460" w:firstLine="443"/>
        <w:spacing w:after="0" w:line="285" w:lineRule="auto"/>
        <w:tabs>
          <w:tab w:leader="none" w:pos="1137" w:val="left"/>
        </w:tabs>
        <w:numPr>
          <w:ilvl w:val="1"/>
          <w:numId w:val="2"/>
        </w:numPr>
        <w:rPr>
          <w:rFonts w:ascii="Arial" w:cs="Arial" w:eastAsia="Arial" w:hAnsi="Arial"/>
          <w:sz w:val="16"/>
          <w:szCs w:val="16"/>
          <w:color w:val="auto"/>
        </w:rPr>
      </w:pPr>
      <w:r>
        <w:rPr>
          <w:rFonts w:ascii="Arial" w:cs="Arial" w:eastAsia="Arial" w:hAnsi="Arial"/>
          <w:sz w:val="16"/>
          <w:szCs w:val="16"/>
          <w:color w:val="auto"/>
        </w:rPr>
        <w:t>A registration statement on Form S-3 (File No. 333-100819) in respect of the Securities has been filed with the Securities and Exchange Commission (the “Commission”); the Registration Statement (as defined below) and any post-effective amendments thereto, each in the form heretofore delivered or made available to the Representatives, excluding exhibits to such Registration Statement, but including all documents incorporated by reference in the prospectus contained therein, have been declared effective by the Commission in such form; other than a registration statement, if any, increasing the size of the offering (a “Rule 462(b) Registration Statement”) filed pursuant to Rule 462(b) under the Securities Act of 1933, as amended (the “Act”), which became or will become effective upon filing; no other documents with respect to the Registration Statement have heretofore been filed or transmitted for filing with the Commission (other than prospectuses filed pursuant to Rule 424(b) under the Act, each in the form heretofore delivered to the Representatives); and no stop order suspending the effectiveness of the Registration Statement, any post-effective amendments thereto or the Rule 462(b) Registration Statement, if any, has been issued and no proceeding for that purpose has been initiated or threatened by the Commission (any preliminary prospectus included in the Registration Statement or filed with the Commission pursuant to Rule 424 under the Act is hereinafter called a “Preliminary Prospectus”); the various parts of the Registration Statement and the Rule 462(b) Registration Statement, if any, including all exhibits thereto and the documents incorporated by reference in the prospectus contained in the Registration Statement at the time such part of the registration statement became effective but excluding Form T-1, each as amended at the time such part of the Registration Statement became effective or such part of the Rule 462(b)</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80" w:right="279" w:bottom="1440" w:gutter="0" w:footer="0" w:header="0"/>
        </w:sectPr>
      </w:pPr>
    </w:p>
    <w:bookmarkStart w:id="5" w:name="page6"/>
    <w:bookmarkEnd w:id="5"/>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Registration Statement, if any, became or hereinafter becomes effective, are hereinafter collectively called the “Registration Statement”; the prospectus relating to the Securities, in the form in which it has most recently been filed, or transmitted for filing, with the Commission on or prior to the date of this Agreement, is hereinafter called the “Prospectus”; any reference herein to any Preliminary Prospectus or the Prospectus shall be deemed to refer to and include the documents incorporated by reference therein pursuant to Item 12 of Form S-3 under the Act, as of the date of such Preliminary Prospectus or Prospectus, as the case may be; any reference to any amendment or supplement to any Preliminary Prospectus or the Prospectus shall be deemed to refer to and include any documents filed after the date of such Preliminary Prospectus or Prospectus, as the case may be, under the Securities Exchange Act of 1934, as amended (the “Exchange Act”), and incorporated by reference in such Preliminary Prospectus or Prospectus, as the case may be; any reference to any amendment to the Registration Statement shall be deemed to refer to and include any filing of the Company filed pursuant to Sections 13(a), 13(c), 14 or 15(d) of the Exchange Act after the effective date of the Registration Statement that is incorporated by reference in the Registration Statement; any reference to the Prospectus as amended or supplemented shall be deemed to refer to the Prospectus as amended or supplemented in relation to the applicable Designated Securities in the form in which it is filed with the Commission pursuant to Rule 424(b) under the Act in accordance with Section 5(a) hereof, including any documents incorporated by reference therein as of the date of such filing; all references herein to information which is “contained” or “included” in the Registration Statement, any Preliminary Prospectus, any Prospectus, any Prospectus as amended or supplemented or any Rule 434 Prospectus (and all references of like import) shall be deemed to mean and include all such information which is incorporated or deemed to be incorporated by reference therein; and if the Company elects to rely on Rule 434 under the Act, any reference to the Prospectus shall be deemed to include, without limitation, the form of prospectus and the abbreviated term sheet, taken together, provided to the Underwriters by the Company in reliance on Rule 434 under the Act (the “Rule 434 Prospectus”);</w:t>
      </w:r>
    </w:p>
    <w:p>
      <w:pPr>
        <w:spacing w:after="0" w:line="27" w:lineRule="exact"/>
        <w:rPr>
          <w:sz w:val="20"/>
          <w:szCs w:val="20"/>
          <w:color w:val="auto"/>
        </w:rPr>
      </w:pPr>
    </w:p>
    <w:p>
      <w:pPr>
        <w:ind w:right="20" w:firstLine="443"/>
        <w:spacing w:after="0" w:line="289" w:lineRule="auto"/>
        <w:tabs>
          <w:tab w:leader="none" w:pos="687"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documents incorporated by reference in the Prospectus, when they became effective or were filed with the Commission, as the case may be, conformed in all material respects to the requirements of the Act or the Exchange Act, as applicable, and the rules and regulations of the Commission thereunder, and none of such documents contained an untrue statement of a material fact or omitted to state a material fact required to be stated therein or necessary to make the statements therein not misleading in light of the circumstances under which they were made; and any further documents so filed and incorporated by reference in the Prospectus or any further amendment or supplement thereto, when such documents become effective or are filed with the Commission, as the case may be, will conform in all material respects to the requirements of the Act or the Exchange Act, as applicable, and the rules and regulations of the Commission thereunder and will not contain an untrue statement of a material fact or omit to state a material fact required to be stated therein or necessary to make the</w:t>
      </w:r>
    </w:p>
    <w:p>
      <w:pPr>
        <w:spacing w:after="0" w:line="105"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00"/>
          </w:cols>
          <w:pgMar w:left="700" w:top="280" w:right="299" w:bottom="1440" w:gutter="0" w:footer="0" w:header="0"/>
        </w:sectPr>
      </w:pPr>
    </w:p>
    <w:bookmarkStart w:id="6" w:name="page7"/>
    <w:bookmarkEnd w:id="6"/>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statements therein not misleading; provided, however, that this representation and warranty shall not apply to any statements or omissions made in reliance upon and in conformity with information furnished in writing to the Company by an Underwriter of Designated Securities through the Representatives expressly for use in the Prospectus as amended or supplemented relating to such Securities;</w:t>
      </w:r>
    </w:p>
    <w:p>
      <w:pPr>
        <w:spacing w:after="0" w:line="46" w:lineRule="exact"/>
        <w:rPr>
          <w:sz w:val="20"/>
          <w:szCs w:val="20"/>
          <w:color w:val="auto"/>
        </w:rPr>
      </w:pPr>
    </w:p>
    <w:p>
      <w:pPr>
        <w:ind w:right="20" w:firstLine="443"/>
        <w:spacing w:after="0" w:line="309" w:lineRule="auto"/>
        <w:tabs>
          <w:tab w:leader="none" w:pos="677" w:val="left"/>
        </w:tabs>
        <w:numPr>
          <w:ilvl w:val="0"/>
          <w:numId w:val="4"/>
        </w:numPr>
        <w:rPr>
          <w:rFonts w:ascii="Arial" w:cs="Arial" w:eastAsia="Arial" w:hAnsi="Arial"/>
          <w:sz w:val="15"/>
          <w:szCs w:val="15"/>
          <w:color w:val="auto"/>
        </w:rPr>
      </w:pPr>
      <w:r>
        <w:rPr>
          <w:rFonts w:ascii="Arial" w:cs="Arial" w:eastAsia="Arial" w:hAnsi="Arial"/>
          <w:sz w:val="15"/>
          <w:szCs w:val="15"/>
          <w:color w:val="auto"/>
        </w:rPr>
        <w:t>The Registration Statement and the Prospectus conform, and any further amendments or supplements to the Registration Statement or the Prospectus will conform, in all material respects to the requirements of the Act and the Trust Indenture Act of 1939, as amended (the “Trust Indenture Act”), and the respective rules and regulations of the Commission thereunder; and the Registration Statement and the Prospectus do not and will not, as of the applicable effective date as to the Registration Statement and any amendment thereto, as of the date of filing with the Commission of any Annual Report of the Company on Form 10-K in the case of the Registration Statement, and as of the applicable filing date of the Prospectus and any amendment or supplement thereto, contain an untrue statement of a material fact or omit to state a material fact required to be stated therein or necessary to make the statements therein not misleading in light of the circumstances under which they were made; provided, however, that this representation and warranty shall not apply to any statements or omissions made in reliance upon and in conformity with information furnished in writing to the Company by an Underwriter of Designated Securities through the Representatives expressly for use in the Prospectus as amended or supplemented relating to such Securities;</w:t>
      </w:r>
    </w:p>
    <w:p>
      <w:pPr>
        <w:spacing w:after="0" w:line="13" w:lineRule="exact"/>
        <w:rPr>
          <w:rFonts w:ascii="Arial" w:cs="Arial" w:eastAsia="Arial" w:hAnsi="Arial"/>
          <w:sz w:val="15"/>
          <w:szCs w:val="15"/>
          <w:color w:val="auto"/>
        </w:rPr>
      </w:pPr>
    </w:p>
    <w:p>
      <w:pPr>
        <w:ind w:firstLine="443"/>
        <w:spacing w:after="0" w:line="286" w:lineRule="auto"/>
        <w:tabs>
          <w:tab w:leader="none" w:pos="687"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Company has been duly organized and is validly existing and in good standing as a real estate investment trust under the laws of the State of Maryland, with full power and authority to own, lease and operate its properties and conduct its business as described in the Prospectus; the Company has interests in a number of entities (collectively, the “Entities”), identified on Annex III, which have been duly organized and are validly existing as corporations, partnerships, limited liability corporations or joint ventures, as the case may be, in good standing under the laws of the jurisdiction of their organization (except for joint ventures, which have no good standing certificate requirements), with full power and authority to own, lease and operate their properties and conduct their business as described in the Prospectus; except as otherwise denoted in Annex III hereto, all of the equity interests in the Entities are owned by the Company free and clear of all pledges, liens, encumbrances, claims, security interests and defects; all of the issued and outstanding stock of each Entity that is a corporation has been duly authorized and validly issued and is fully paid and non-assessable; no options, warrants or other rights to convert any obligations into partnership or other ownership interests in the Entities are outstanding; and the Company and the Entities are duly qualified to transact business in all jurisdictions in which the Company and the Entities are transacting business and in which the conduct of their respective businesses requires such qualification, except where the failure to so qualify would not have a material adverse effect on the condition, financial or</w:t>
      </w:r>
    </w:p>
    <w:p>
      <w:pPr>
        <w:spacing w:after="0" w:line="11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700" w:top="280"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otherwise, or on the earnings, business affairs or business prospects of the Company and the Entities considered as one enterprise;</w:t>
      </w:r>
    </w:p>
    <w:p>
      <w:pPr>
        <w:spacing w:after="0" w:line="77" w:lineRule="exact"/>
        <w:rPr>
          <w:sz w:val="20"/>
          <w:szCs w:val="20"/>
          <w:color w:val="auto"/>
        </w:rPr>
      </w:pPr>
    </w:p>
    <w:p>
      <w:pPr>
        <w:ind w:firstLine="443"/>
        <w:spacing w:after="0" w:line="286" w:lineRule="auto"/>
        <w:tabs>
          <w:tab w:leader="none" w:pos="677" w:val="left"/>
        </w:tabs>
        <w:numPr>
          <w:ilvl w:val="0"/>
          <w:numId w:val="5"/>
        </w:numPr>
        <w:rPr>
          <w:rFonts w:ascii="Arial" w:cs="Arial" w:eastAsia="Arial" w:hAnsi="Arial"/>
          <w:sz w:val="16"/>
          <w:szCs w:val="16"/>
          <w:color w:val="auto"/>
        </w:rPr>
      </w:pPr>
      <w:r>
        <w:rPr>
          <w:rFonts w:ascii="Arial" w:cs="Arial" w:eastAsia="Arial" w:hAnsi="Arial"/>
          <w:sz w:val="16"/>
          <w:szCs w:val="16"/>
          <w:color w:val="auto"/>
        </w:rPr>
        <w:t>Neither the Company nor any of the Entities has sustained since the date of the latest audited financial statements included or incorporated by reference in the Prospectus any material loss or interference with its business from fire, explosion, flood or other calamity, whether or not covered by insurance, or from any labor dispute or court or governmental action, order or decree, otherwise than as set forth or contemplated in the Prospectus; and, since the date as of which information is given in the Prospectus, there has not been any change in the authorized, issued or outstanding capital shares of the Company (except for subsequent issuances, if any, of Common Shares pursuant to (x) the Company’s Dividend Reinvestment and Share Purchase Plan as in effect on the date of the applicable Pricing Agreement, (y) any of the Company’s employee or trustee benefits plans, including upon exercise of share options granted pursuant thereto, as such plans are in effect on the date of the applicable Pricing Agreement or (z) the exercise of contractual rights existing on the date of the applicable Pricing Agreement by the current and former holders of partnership or other interests in certain of the “DownREIT” and other Entities listed in Annex III hereto which may result in the issuance of Common Shares of the Company) or any increase in the consolidated long-term debt of the Company or any material adverse change, or any development involving a prospective material adverse change, in or affecting the general affairs, management, financial position, shareholders’ equity or results of operations of the Company and the Entities taken as a whole, otherwise than as set forth or contemplated in the Prospectus;</w:t>
      </w:r>
    </w:p>
    <w:p>
      <w:pPr>
        <w:spacing w:after="0" w:line="29" w:lineRule="exact"/>
        <w:rPr>
          <w:rFonts w:ascii="Arial" w:cs="Arial" w:eastAsia="Arial" w:hAnsi="Arial"/>
          <w:sz w:val="16"/>
          <w:szCs w:val="16"/>
          <w:color w:val="auto"/>
        </w:rPr>
      </w:pPr>
    </w:p>
    <w:p>
      <w:pPr>
        <w:jc w:val="both"/>
        <w:ind w:right="180" w:firstLine="443"/>
        <w:spacing w:after="0" w:line="259" w:lineRule="auto"/>
        <w:tabs>
          <w:tab w:leader="none" w:pos="657"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has an authorized capitalization as set forth in the Prospectus, all of the issued capital shares of the Company have been duly and validly authorized and issued and are fully paid and non-assessable, and none of the outstanding capital shares of the Company was issued in violation of any preemptive or other similar rights of any securityholder of the Company;</w:t>
      </w:r>
    </w:p>
    <w:p>
      <w:pPr>
        <w:spacing w:after="0" w:line="45" w:lineRule="exact"/>
        <w:rPr>
          <w:rFonts w:ascii="Arial" w:cs="Arial" w:eastAsia="Arial" w:hAnsi="Arial"/>
          <w:sz w:val="18"/>
          <w:szCs w:val="18"/>
          <w:color w:val="auto"/>
        </w:rPr>
      </w:pPr>
    </w:p>
    <w:p>
      <w:pPr>
        <w:ind w:right="100" w:firstLine="443"/>
        <w:spacing w:after="0" w:line="289" w:lineRule="auto"/>
        <w:tabs>
          <w:tab w:leader="none" w:pos="687"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Securities have been duly and validly authorized, and, when Designated Securities are issued and delivered pursuant to this Agreement and the Pricing Agreement with respect to such Designated Securities, such Designated Securities will have been duly executed, authenticated, issued and delivered and will constitute valid and legally binding obligations of the Company entitled to the benefits provided by the Indenture, which will be substantially in the form filed as an exhibit to the Registration Statement; the Indenture has been duly authorized and duly qualified under the Trust Indenture Act and, at the Time of Delivery for such Designated Securities (as defined in Section 4 hereof), the Indenture will constitute a valid and legally binding instrument, enforceable in accordance with its terms, subject, as to enforcement, to bankruptcy, insolvency, reorganization and other laws of general applicability relating to or affecting creditors’ rights and to general equity principles; and the Indenture conforms, and the Designated Securities will conform, to the descriptions thereof contained in</w:t>
      </w:r>
    </w:p>
    <w:p>
      <w:pPr>
        <w:spacing w:after="0" w:line="10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0"/>
          </w:cols>
          <w:pgMar w:left="700" w:top="280" w:right="25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Prospectus as amended or supplemented with respect to such Designated Securities;</w:t>
      </w:r>
    </w:p>
    <w:p>
      <w:pPr>
        <w:spacing w:after="0" w:line="77" w:lineRule="exact"/>
        <w:rPr>
          <w:sz w:val="20"/>
          <w:szCs w:val="20"/>
          <w:color w:val="auto"/>
        </w:rPr>
      </w:pPr>
    </w:p>
    <w:p>
      <w:pPr>
        <w:ind w:right="40" w:firstLine="443"/>
        <w:spacing w:after="0" w:line="286" w:lineRule="auto"/>
        <w:tabs>
          <w:tab w:leader="none" w:pos="687"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issue and sale of the Designated Securities and the compliance by the Company with all of the provisions of the Designated Securities, this Agreement and any Pricing Agreement, and the consummation of the transactions herein and therein contemplated, will not conflict with or result in a breach or violation of any of the terms or provisions of, or constitute a default under, any indenture, mortgage, deed of trust, loan agreement or other agreement or instrument to which the Company or any of the Entities is a party or by which the Company or any of the Entities is bound or to which any of the property or assets of the Company or any of the Entities is subject, nor will such action result in any violation of the provisions of the Declaration of Trust or Bylaws of the Company or any statute or any order, rule or regulation of any court or governmental agency or body having jurisdiction over the Company or any of the Entities or any of their properties; and no consent, approval, authorization, order, registration or qualification of or with any such court or governmental agency or body is required for the issue and sale of the Securities or the consummation by the Company of the transactions contemplated by this Agreement or any Pricing Agreement or the Indenture, except such as have been, or will have been prior to the Time of Delivery (as defined in Section 4 hereof), obtained under the Act, the Exchange Act and the Trust Indenture Act and except for the rules of the New York Stock Exchange, Inc. (“NYSE”) and such consents, approvals, authorizations, registrations or qualifications as may be required under state securities or Blue Sky laws in connection with the purchase and distribution of the Securities by the Underwriters;</w:t>
      </w:r>
    </w:p>
    <w:p>
      <w:pPr>
        <w:spacing w:after="0" w:line="29" w:lineRule="exact"/>
        <w:rPr>
          <w:rFonts w:ascii="Arial" w:cs="Arial" w:eastAsia="Arial" w:hAnsi="Arial"/>
          <w:sz w:val="16"/>
          <w:szCs w:val="16"/>
          <w:color w:val="auto"/>
        </w:rPr>
      </w:pPr>
    </w:p>
    <w:p>
      <w:pPr>
        <w:ind w:right="60" w:firstLine="443"/>
        <w:spacing w:after="0" w:line="255" w:lineRule="auto"/>
        <w:tabs>
          <w:tab w:leader="none" w:pos="648"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than as set forth in the Prospectus, there are no legal or governmental proceedings pending to which the Company or any of the Entities is a party or of which any property of the Company or any of the Entities is the subject which, if determined adversely to the Company or any of the Entities, would individually or in the aggregate have a material adverse effect on the consolidated financial position, shareholders’ equity or results of operations of the Company and the Entities; and, to the best of the Company’s knowledge, no such proceedings are threatened or contemplated by governmental authorities or threatened by others;</w:t>
      </w:r>
    </w:p>
    <w:p>
      <w:pPr>
        <w:spacing w:after="0" w:line="48" w:lineRule="exact"/>
        <w:rPr>
          <w:rFonts w:ascii="Arial" w:cs="Arial" w:eastAsia="Arial" w:hAnsi="Arial"/>
          <w:sz w:val="18"/>
          <w:szCs w:val="18"/>
          <w:color w:val="auto"/>
        </w:rPr>
      </w:pPr>
    </w:p>
    <w:p>
      <w:pPr>
        <w:ind w:firstLine="443"/>
        <w:spacing w:after="0" w:line="294" w:lineRule="auto"/>
        <w:tabs>
          <w:tab w:leader="none" w:pos="648"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consolidated financial statements of the Company and the Entities, together with related notes and schedules as set forth or incorporated by reference in the Registration Statement, present fairly the financial position and the results of operations of the Company and the Entities at the indicated dates and for the indicated periods. Such consolidated financial statements have been prepared in accordance with generally accepted accounting principles, consistently applied throughout the periods involved, and all adjustments necessary for a fair presentation of results for such periods have been made. The summary financial and statistical data contained in the Prospectus present fairly the information</w:t>
      </w:r>
    </w:p>
    <w:p>
      <w:pPr>
        <w:spacing w:after="0" w:line="10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0"/>
          </w:cols>
          <w:pgMar w:left="700" w:top="280" w:right="239" w:bottom="1440" w:gutter="0" w:footer="0" w:header="0"/>
        </w:sectPr>
      </w:pPr>
    </w:p>
    <w:bookmarkStart w:id="9" w:name="page10"/>
    <w:bookmarkEnd w:id="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shown therein and have been compiled on a basis consistent with the consolidated financial statements incorporated by reference therein;</w:t>
      </w:r>
    </w:p>
    <w:p>
      <w:pPr>
        <w:spacing w:after="0" w:line="100" w:lineRule="exact"/>
        <w:rPr>
          <w:sz w:val="20"/>
          <w:szCs w:val="20"/>
          <w:color w:val="auto"/>
        </w:rPr>
      </w:pPr>
    </w:p>
    <w:p>
      <w:pPr>
        <w:ind w:right="440" w:firstLine="443"/>
        <w:spacing w:after="0" w:line="306" w:lineRule="auto"/>
        <w:tabs>
          <w:tab w:leader="none" w:pos="687"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Company and the Entities have good and marketable title to, or valid and enforceable leasehold estates in, all items of real and personal property referred to in the Prospectus as owned or leased by the Company or any of the Entities, in each case free and clear of all pledges, liens, encumbrances, claims, security interests and defects, other than those referred to in the Prospectus or which are not material in amount;</w:t>
      </w:r>
    </w:p>
    <w:p>
      <w:pPr>
        <w:spacing w:after="0" w:line="12" w:lineRule="exact"/>
        <w:rPr>
          <w:rFonts w:ascii="Arial" w:cs="Arial" w:eastAsia="Arial" w:hAnsi="Arial"/>
          <w:sz w:val="16"/>
          <w:szCs w:val="16"/>
          <w:color w:val="auto"/>
        </w:rPr>
      </w:pPr>
    </w:p>
    <w:p>
      <w:pPr>
        <w:ind w:right="40" w:firstLine="443"/>
        <w:spacing w:after="0" w:line="259" w:lineRule="auto"/>
        <w:tabs>
          <w:tab w:leader="none" w:pos="648"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and the Entities have filed all federal, state, local and foreign income tax returns which have been required to be filed, or appropriate extensions for such filings have been obtained as required by law, and all federal, state, local and foreign taxes of the Company and the Entities have been paid except such taxes as are not yet due or are being contested in good faith;</w:t>
      </w:r>
    </w:p>
    <w:p>
      <w:pPr>
        <w:spacing w:after="0" w:line="45" w:lineRule="exact"/>
        <w:rPr>
          <w:rFonts w:ascii="Arial" w:cs="Arial" w:eastAsia="Arial" w:hAnsi="Arial"/>
          <w:sz w:val="18"/>
          <w:szCs w:val="18"/>
          <w:color w:val="auto"/>
        </w:rPr>
      </w:pPr>
    </w:p>
    <w:p>
      <w:pPr>
        <w:ind w:right="20" w:firstLine="443"/>
        <w:spacing w:after="0" w:line="259" w:lineRule="auto"/>
        <w:tabs>
          <w:tab w:leader="none" w:pos="736"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and each of the Entities hold all material licenses, certificates and permits from governmental authorities which are necessary to the conduct of their respective businesses; and neither the Company nor any of the Entities has infringed any patents, patent rights, trade names, trademarks or copyrights, which infringement is material to the business of the Company;</w:t>
      </w:r>
    </w:p>
    <w:p>
      <w:pPr>
        <w:spacing w:after="0" w:line="45" w:lineRule="exact"/>
        <w:rPr>
          <w:rFonts w:ascii="Arial" w:cs="Arial" w:eastAsia="Arial" w:hAnsi="Arial"/>
          <w:sz w:val="18"/>
          <w:szCs w:val="18"/>
          <w:color w:val="auto"/>
        </w:rPr>
      </w:pPr>
    </w:p>
    <w:p>
      <w:pPr>
        <w:ind w:right="100" w:firstLine="443"/>
        <w:spacing w:after="0" w:line="256" w:lineRule="auto"/>
        <w:tabs>
          <w:tab w:leader="none" w:pos="687" w:val="left"/>
        </w:tabs>
        <w:numPr>
          <w:ilvl w:val="0"/>
          <w:numId w:val="7"/>
        </w:numPr>
        <w:rPr>
          <w:rFonts w:ascii="Arial" w:cs="Arial" w:eastAsia="Arial" w:hAnsi="Arial"/>
          <w:sz w:val="18"/>
          <w:szCs w:val="18"/>
          <w:color w:val="auto"/>
        </w:rPr>
      </w:pPr>
      <w:r>
        <w:rPr>
          <w:rFonts w:ascii="Arial" w:cs="Arial" w:eastAsia="Arial" w:hAnsi="Arial"/>
          <w:sz w:val="18"/>
          <w:szCs w:val="18"/>
          <w:color w:val="auto"/>
        </w:rPr>
        <w:t>Grant Thornton LLP, which audited the consolidated balance sheet of the Company and subsidiaries as of December 31, 2002 and the restated consolidated statement of operations, common shareholders’ equity and cash flows for the year ended December 31, 2002 incorporated by reference in the Registration Statement and Prospectus, are independent public accountants as required by the Act and the rules and regulations of the Commission promulgated thereunder;</w:t>
      </w:r>
    </w:p>
    <w:p>
      <w:pPr>
        <w:spacing w:after="0" w:line="48" w:lineRule="exact"/>
        <w:rPr>
          <w:rFonts w:ascii="Arial" w:cs="Arial" w:eastAsia="Arial" w:hAnsi="Arial"/>
          <w:sz w:val="18"/>
          <w:szCs w:val="18"/>
          <w:color w:val="auto"/>
        </w:rPr>
      </w:pPr>
    </w:p>
    <w:p>
      <w:pPr>
        <w:ind w:firstLine="443"/>
        <w:spacing w:after="0" w:line="323" w:lineRule="auto"/>
        <w:tabs>
          <w:tab w:leader="none" w:pos="687" w:val="left"/>
        </w:tabs>
        <w:numPr>
          <w:ilvl w:val="0"/>
          <w:numId w:val="7"/>
        </w:numPr>
        <w:rPr>
          <w:rFonts w:ascii="Arial" w:cs="Arial" w:eastAsia="Arial" w:hAnsi="Arial"/>
          <w:sz w:val="15"/>
          <w:szCs w:val="15"/>
          <w:color w:val="auto"/>
        </w:rPr>
      </w:pPr>
      <w:r>
        <w:rPr>
          <w:rFonts w:ascii="Arial" w:cs="Arial" w:eastAsia="Arial" w:hAnsi="Arial"/>
          <w:sz w:val="15"/>
          <w:szCs w:val="15"/>
          <w:color w:val="auto"/>
        </w:rPr>
        <w:t>To our knowledge, Arthur Andersen LLP, which audited the consolidated balance sheets of the Company and subsidiaries as of December 31, 2001 and the related consolidated statements of operations, common shareholders’ equity, and cash flows for each of the years in the two-year period ended December 31, 2001 incorporated by reference in the Registration Statement and Prospectus, was, at all times until its replacement as the Company’s auditor in June 2002, an independent public accountant as required by the Act and the rules and regulations of the Commission promulgated thereunder;</w:t>
      </w:r>
    </w:p>
    <w:p>
      <w:pPr>
        <w:spacing w:after="0" w:line="3" w:lineRule="exact"/>
        <w:rPr>
          <w:rFonts w:ascii="Arial" w:cs="Arial" w:eastAsia="Arial" w:hAnsi="Arial"/>
          <w:sz w:val="15"/>
          <w:szCs w:val="15"/>
          <w:color w:val="auto"/>
        </w:rPr>
      </w:pPr>
    </w:p>
    <w:p>
      <w:pPr>
        <w:ind w:right="540" w:firstLine="443"/>
        <w:spacing w:after="0" w:line="268" w:lineRule="auto"/>
        <w:tabs>
          <w:tab w:leader="none" w:pos="687"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conditions for use of registration statements on Form S-3 set forth in the General Instructions on Form S-3 have been satisfied and the Company is entitled to use such form for the transaction contemplated herein;</w:t>
      </w:r>
    </w:p>
    <w:p>
      <w:pPr>
        <w:spacing w:after="0" w:line="37" w:lineRule="exact"/>
        <w:rPr>
          <w:rFonts w:ascii="Arial" w:cs="Arial" w:eastAsia="Arial" w:hAnsi="Arial"/>
          <w:sz w:val="18"/>
          <w:szCs w:val="18"/>
          <w:color w:val="auto"/>
        </w:rPr>
      </w:pPr>
    </w:p>
    <w:p>
      <w:pPr>
        <w:jc w:val="both"/>
        <w:ind w:right="180" w:firstLine="443"/>
        <w:spacing w:after="0" w:line="370" w:lineRule="auto"/>
        <w:tabs>
          <w:tab w:leader="none" w:pos="687" w:val="left"/>
        </w:tabs>
        <w:numPr>
          <w:ilvl w:val="0"/>
          <w:numId w:val="7"/>
        </w:numPr>
        <w:rPr>
          <w:rFonts w:ascii="Arial" w:cs="Arial" w:eastAsia="Arial" w:hAnsi="Arial"/>
          <w:sz w:val="15"/>
          <w:szCs w:val="15"/>
          <w:color w:val="auto"/>
        </w:rPr>
      </w:pPr>
      <w:r>
        <w:rPr>
          <w:rFonts w:ascii="Arial" w:cs="Arial" w:eastAsia="Arial" w:hAnsi="Arial"/>
          <w:sz w:val="15"/>
          <w:szCs w:val="15"/>
          <w:color w:val="auto"/>
        </w:rPr>
        <w:t>Although the Company is aware of the presence of hazardous substances, hazardous materials, toxic substances or waste materials (“Hazardous Materials”) on certain of its properties, nothing has come to the attention of the Company which, at this time, would lead the Company to believe that the</w:t>
      </w:r>
    </w:p>
    <w:p>
      <w:pPr>
        <w:spacing w:after="0" w:line="4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0"/>
          </w:cols>
          <w:pgMar w:left="700" w:top="280" w:right="239" w:bottom="1440" w:gutter="0" w:footer="0" w:header="0"/>
        </w:sectPr>
      </w:pPr>
    </w:p>
    <w:bookmarkStart w:id="10" w:name="page11"/>
    <w:bookmarkEnd w:id="10"/>
    <w:p>
      <w:pPr>
        <w:ind w:left="4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presence of such Hazardous Materials, when considered in the aggregate, would materially adversely affect the financial condition of the Company. In connection with the construction on or operation and use of the properties owned or leased by the Company or the Entities, the Company represents that, as of the date of this Agreement, it has no knowledge of any material failure by the Company or the Entities to comply with all applicable local, state and federal environmental laws, regulations, ordinances and administrative and judicial orders relating to the generation, recycling, reuse, sale, storage, handling, transport and disposal of any Hazardous Materials; and</w:t>
      </w:r>
    </w:p>
    <w:p>
      <w:pPr>
        <w:spacing w:after="0" w:line="48" w:lineRule="exact"/>
        <w:rPr>
          <w:sz w:val="20"/>
          <w:szCs w:val="20"/>
          <w:color w:val="auto"/>
        </w:rPr>
      </w:pPr>
    </w:p>
    <w:p>
      <w:pPr>
        <w:ind w:left="440" w:firstLine="443"/>
        <w:spacing w:after="0" w:line="323" w:lineRule="auto"/>
        <w:tabs>
          <w:tab w:leader="none" w:pos="1097" w:val="left"/>
        </w:tabs>
        <w:numPr>
          <w:ilvl w:val="1"/>
          <w:numId w:val="8"/>
        </w:numPr>
        <w:rPr>
          <w:rFonts w:ascii="Arial" w:cs="Arial" w:eastAsia="Arial" w:hAnsi="Arial"/>
          <w:sz w:val="15"/>
          <w:szCs w:val="15"/>
          <w:color w:val="auto"/>
        </w:rPr>
      </w:pPr>
      <w:r>
        <w:rPr>
          <w:rFonts w:ascii="Arial" w:cs="Arial" w:eastAsia="Arial" w:hAnsi="Arial"/>
          <w:sz w:val="15"/>
          <w:szCs w:val="15"/>
          <w:color w:val="auto"/>
        </w:rPr>
        <w:t>With respect to all tax periods regarding which the Internal Revenue Service is or will be entitled to assert any claim, the Company has met the requirements for qualification as a real estate investment trust under Sections 856 through 860 of the Internal Revenue Code of 1986, as amended (the “Code”), and the Company’s present and contemplated operations, assets and income continue to meet such requirements; and the Company is neither an “investment company” nor a company “controlled” by an “investment company” within the meaning of the Investment Company Act of 1940, as amended.</w:t>
      </w:r>
    </w:p>
    <w:p>
      <w:pPr>
        <w:spacing w:after="0" w:line="84" w:lineRule="exact"/>
        <w:rPr>
          <w:rFonts w:ascii="Arial" w:cs="Arial" w:eastAsia="Arial" w:hAnsi="Arial"/>
          <w:sz w:val="15"/>
          <w:szCs w:val="15"/>
          <w:color w:val="auto"/>
        </w:rPr>
      </w:pPr>
    </w:p>
    <w:p>
      <w:pPr>
        <w:ind w:left="-20" w:right="180" w:firstLine="464"/>
        <w:spacing w:after="0" w:line="259" w:lineRule="auto"/>
        <w:tabs>
          <w:tab w:leader="none" w:pos="612" w:val="left"/>
        </w:tabs>
        <w:numPr>
          <w:ilvl w:val="0"/>
          <w:numId w:val="9"/>
        </w:numPr>
        <w:rPr>
          <w:rFonts w:ascii="Arial" w:cs="Arial" w:eastAsia="Arial" w:hAnsi="Arial"/>
          <w:sz w:val="18"/>
          <w:szCs w:val="18"/>
          <w:color w:val="auto"/>
        </w:rPr>
      </w:pPr>
      <w:r>
        <w:rPr>
          <w:rFonts w:ascii="Arial" w:cs="Arial" w:eastAsia="Arial" w:hAnsi="Arial"/>
          <w:sz w:val="18"/>
          <w:szCs w:val="18"/>
          <w:color w:val="auto"/>
        </w:rPr>
        <w:t>Upon the execution of the Pricing Agreement applicable to any Designated Securities and authorization by the Representatives of the release of such Designated Securities, the several Underwriters propose to offer such Designated Securities for sale upon the terms and conditions set forth in the Prospectus as amended or supplemented.</w:t>
      </w:r>
    </w:p>
    <w:p>
      <w:pPr>
        <w:spacing w:after="0" w:line="126" w:lineRule="exact"/>
        <w:rPr>
          <w:rFonts w:ascii="Arial" w:cs="Arial" w:eastAsia="Arial" w:hAnsi="Arial"/>
          <w:sz w:val="18"/>
          <w:szCs w:val="18"/>
          <w:color w:val="auto"/>
        </w:rPr>
      </w:pPr>
    </w:p>
    <w:p>
      <w:pPr>
        <w:ind w:left="-20" w:right="260" w:firstLine="464"/>
        <w:spacing w:after="0" w:line="290" w:lineRule="auto"/>
        <w:tabs>
          <w:tab w:leader="none" w:pos="612"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Designated Securities shall be delivered in the form of one or more global certificates in aggregate denomination equal to the aggregate principal amount of the Designated Securities upon original issuance and registered in the name of Cede &amp; Co., as nominee for The Depository Trust Company, against payment by such Underwriter or on its behalf of the purchase price therefor by wire transfer of federal or other immediately available funds to an account at a bank located in one of the 48 contiguous states of the United States of America (which account shall be designated by the Company upon at least twenty-four hours’ prior notice to the Representatives), all in the manner and at the place and time and date specified in such Pricing Agreement or at such other place and time and date as the Representatives and the Company may agree upon in writing, such time and date being herein called the “Time of Delivery” for such Securities.</w:t>
      </w:r>
    </w:p>
    <w:p>
      <w:pPr>
        <w:spacing w:after="0" w:line="104" w:lineRule="exact"/>
        <w:rPr>
          <w:rFonts w:ascii="Arial" w:cs="Arial" w:eastAsia="Arial" w:hAnsi="Arial"/>
          <w:sz w:val="16"/>
          <w:szCs w:val="16"/>
          <w:color w:val="auto"/>
        </w:rPr>
      </w:pPr>
    </w:p>
    <w:p>
      <w:pPr>
        <w:ind w:left="620" w:hanging="176"/>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Company agrees with each of the Underwriters of any Designated Securities:</w:t>
      </w:r>
    </w:p>
    <w:p>
      <w:pPr>
        <w:spacing w:after="0" w:line="76" w:lineRule="exact"/>
        <w:rPr>
          <w:rFonts w:ascii="Arial" w:cs="Arial" w:eastAsia="Arial" w:hAnsi="Arial"/>
          <w:sz w:val="18"/>
          <w:szCs w:val="18"/>
          <w:color w:val="auto"/>
        </w:rPr>
      </w:pPr>
    </w:p>
    <w:p>
      <w:pPr>
        <w:ind w:left="440" w:right="240" w:firstLine="443"/>
        <w:spacing w:after="0" w:line="298" w:lineRule="auto"/>
        <w:tabs>
          <w:tab w:leader="none" w:pos="1117" w:val="left"/>
        </w:tabs>
        <w:numPr>
          <w:ilvl w:val="1"/>
          <w:numId w:val="9"/>
        </w:numPr>
        <w:rPr>
          <w:rFonts w:ascii="Arial" w:cs="Arial" w:eastAsia="Arial" w:hAnsi="Arial"/>
          <w:sz w:val="16"/>
          <w:szCs w:val="16"/>
          <w:color w:val="auto"/>
        </w:rPr>
      </w:pPr>
      <w:r>
        <w:rPr>
          <w:rFonts w:ascii="Arial" w:cs="Arial" w:eastAsia="Arial" w:hAnsi="Arial"/>
          <w:sz w:val="16"/>
          <w:szCs w:val="16"/>
          <w:color w:val="auto"/>
        </w:rPr>
        <w:t>If the Company does not elect to rely on Rule 434 under the Act, immediately following execution and delivery of the applicable Pricing Agreement, to prepare the Prospectus as amended and supplemented in relation to the applicable Designated Securities in a form approved by the Representatives and to file such Prospectus as amended or supplemented pursuant to Rule 424(b) under the Act not later than the Commission’s close of business on the second business day following the execution and delivery of the Pricing Agreement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60" w:top="280" w:right="259" w:bottom="1440" w:gutter="0" w:footer="0" w:header="0"/>
        </w:sectPr>
      </w:pPr>
    </w:p>
    <w:bookmarkStart w:id="11" w:name="page12"/>
    <w:bookmarkEnd w:id="11"/>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relating to the applicable Designated Securities or, if applicable, such earlier time as may be required by Rule 424(b), or if the Company elects to rely on Rule 434 under the Act, immediately following execution and delivery of the applicable Pricing Agreement, to prepare an abbreviated term sheet relating to the Designated Securities in a form approved by the Representatives that complies with the requirements of Rule 434 under the Act and to file such form of Rule 434 Prospectus complying with Rule 434(c)(2) of the Act pursuant to Rule 424(b) under the Act not later than the Commission’s close of business on the business day following the execution and delivery of the Pricing Agreement relating to the applicable Designated Securities or, if applicable, such earlier time as may be required by Rule 424(b); to make no further amendment or any supplement to the Registration Statement or Prospectus as amended or supplemented after the date of the Pricing Agreement relating to such Designated Securities and prior to the Time of Delivery for such Designated Securities which shall be reasonably disapproved by the Representatives for such Designated Securities promptly after reasonable notice thereof; to advise the Representatives promptly of any such amendment or supplement after such Time of Delivery and furnish the Representatives with copies thereof; to file promptly all reports and any definitive proxy or information statements required to be filed by the Company with the Commission pursuant to Section 13(a), 13(c), 14 or 15(d) of the Exchange Act for so long as the delivery of a prospectus is required in connection with the offering or sale of such Designated Securities, and during such same period to advise the Representatives, promptly after it receives notice thereof, of the time when any amendment to the Registration Statement has been filed or becomes effective or any supplement to the Prospectus or any amended Prospectus has been filed with the Commission, of the issuance by the Commission of any stop order or of any order preventing or suspending the use of any Prospectus as amended or supplemented, of the suspension of the qualification of such Designated Securities for offering or sale in any jurisdiction, of the initiation or threatening of any proceeding for any such purpose, or of any request by the Commission for the amending or supplementing of the Registration Statement or Prospectus as amended or supplemented or for additional information; and, in the event of the issuance of any such stop order or of any such order preventing or suspending the use of any Prospectus as amended or supplemented relating to the Designated Securities or suspending any such qualification, to use promptly its best efforts to obtain its withdrawal;</w:t>
      </w:r>
    </w:p>
    <w:p>
      <w:pPr>
        <w:spacing w:after="0" w:line="37" w:lineRule="exact"/>
        <w:rPr>
          <w:sz w:val="20"/>
          <w:szCs w:val="20"/>
          <w:color w:val="auto"/>
        </w:rPr>
      </w:pPr>
    </w:p>
    <w:p>
      <w:pPr>
        <w:ind w:firstLine="438"/>
        <w:spacing w:after="0" w:line="255" w:lineRule="auto"/>
        <w:rPr>
          <w:sz w:val="20"/>
          <w:szCs w:val="20"/>
          <w:color w:val="auto"/>
        </w:rPr>
      </w:pPr>
      <w:r>
        <w:rPr>
          <w:rFonts w:ascii="Arial" w:cs="Arial" w:eastAsia="Arial" w:hAnsi="Arial"/>
          <w:sz w:val="18"/>
          <w:szCs w:val="18"/>
          <w:color w:val="auto"/>
        </w:rPr>
        <w:t>Promptly from time to time to take such action as the Representatives may reasonably request to qualify such Designated Securities for offering and sale under the securities laws of such jurisdictions as the Representatives may request and to comply with such laws so as to permit the continuance of sales and dealings therein in such jurisdictions for as long as may be necessary to complete the distribution of such Designated Securities, provided that in connection therewith the Company shall not be required to qualify as a foreign corporation or to file a general consent to service of process in any jurisdiction;</w:t>
      </w:r>
    </w:p>
    <w:p>
      <w:pPr>
        <w:spacing w:after="0" w:line="12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0"/>
          </w:cols>
          <w:pgMar w:left="700" w:top="280" w:right="239" w:bottom="1440" w:gutter="0" w:footer="0" w:header="0"/>
        </w:sectPr>
      </w:pPr>
    </w:p>
    <w:bookmarkStart w:id="12" w:name="page13"/>
    <w:bookmarkEnd w:id="12"/>
    <w:p>
      <w:pPr>
        <w:ind w:left="440" w:firstLine="443"/>
        <w:spacing w:after="0" w:line="287" w:lineRule="auto"/>
        <w:tabs>
          <w:tab w:leader="none" w:pos="1117" w:val="left"/>
        </w:tabs>
        <w:numPr>
          <w:ilvl w:val="0"/>
          <w:numId w:val="1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Promptly to furnish to the Underwriters in New York City with copies of the Prospectus, as amended or supplemented, in such quantities as the Representatives may reasonably request, and, if the delivery of a prospectus is required at any time in connection with the offering or sale of the Designated Securities and if at such time any event shall have occurred as a result of which the Prospectus as then amended or supplemented would include an untrue statement of a material fact or omit to state any material fact necessary in order to make the statements therein, in the light of the circumstances under which they were made when such Prospectus as amended or supplemented is delivered, not misleading, or, if for any other reason it shall be necessary during such same period to amend or supplement the Prospectus or to file under the Exchange Act any document incorporated by reference in the Prospectus in order to comply with the Act, the Exchange Act or the Trust Indenture Act, to notify the Representatives and upon their request to file such document and to prepare and furnish without charge to each Underwriter and to any dealer in securities as many copies as the Representatives may from time to time reasonably request of an amended Prospectus or a supplement to the Prospectus which will correct such statement or omission or effect such compliance;</w:t>
      </w:r>
    </w:p>
    <w:p>
      <w:pPr>
        <w:spacing w:after="0" w:line="28" w:lineRule="exact"/>
        <w:rPr>
          <w:rFonts w:ascii="Arial" w:cs="Arial" w:eastAsia="Arial" w:hAnsi="Arial"/>
          <w:sz w:val="16"/>
          <w:szCs w:val="16"/>
          <w:color w:val="auto"/>
        </w:rPr>
      </w:pPr>
    </w:p>
    <w:p>
      <w:pPr>
        <w:jc w:val="both"/>
        <w:ind w:left="440" w:right="20" w:firstLine="443"/>
        <w:spacing w:after="0" w:line="306" w:lineRule="auto"/>
        <w:tabs>
          <w:tab w:leader="none" w:pos="1127" w:val="left"/>
        </w:tabs>
        <w:numPr>
          <w:ilvl w:val="0"/>
          <w:numId w:val="10"/>
        </w:numPr>
        <w:rPr>
          <w:rFonts w:ascii="Arial" w:cs="Arial" w:eastAsia="Arial" w:hAnsi="Arial"/>
          <w:sz w:val="16"/>
          <w:szCs w:val="16"/>
          <w:color w:val="auto"/>
        </w:rPr>
      </w:pPr>
      <w:r>
        <w:rPr>
          <w:rFonts w:ascii="Arial" w:cs="Arial" w:eastAsia="Arial" w:hAnsi="Arial"/>
          <w:sz w:val="16"/>
          <w:szCs w:val="16"/>
          <w:color w:val="auto"/>
        </w:rPr>
        <w:t>To make generally available to its securityholders as soon as practicable, but in any event not later than eighteen months after the effective date of the Registration Statement (as defined in Rule 158(c)), an earnings statement of the Company (which need not be audited) complying with Section 11(a) of the Act and the rules and regulations of the Commission thereunder (including at the option of the Company Rule 158);</w:t>
      </w:r>
    </w:p>
    <w:p>
      <w:pPr>
        <w:spacing w:after="0" w:line="12" w:lineRule="exact"/>
        <w:rPr>
          <w:rFonts w:ascii="Arial" w:cs="Arial" w:eastAsia="Arial" w:hAnsi="Arial"/>
          <w:sz w:val="16"/>
          <w:szCs w:val="16"/>
          <w:color w:val="auto"/>
        </w:rPr>
      </w:pPr>
    </w:p>
    <w:p>
      <w:pPr>
        <w:ind w:left="440" w:right="40" w:firstLine="443"/>
        <w:spacing w:after="0" w:line="294" w:lineRule="auto"/>
        <w:tabs>
          <w:tab w:leader="none" w:pos="1117" w:val="left"/>
        </w:tabs>
        <w:numPr>
          <w:ilvl w:val="0"/>
          <w:numId w:val="10"/>
        </w:numPr>
        <w:rPr>
          <w:rFonts w:ascii="Arial" w:cs="Arial" w:eastAsia="Arial" w:hAnsi="Arial"/>
          <w:sz w:val="16"/>
          <w:szCs w:val="16"/>
          <w:color w:val="auto"/>
        </w:rPr>
      </w:pPr>
      <w:r>
        <w:rPr>
          <w:rFonts w:ascii="Arial" w:cs="Arial" w:eastAsia="Arial" w:hAnsi="Arial"/>
          <w:sz w:val="16"/>
          <w:szCs w:val="16"/>
          <w:color w:val="auto"/>
        </w:rPr>
        <w:t>During the period beginning on and including the date of the Pricing Agreement for such Designated Securities and continuing through and including the earlier of (i) the termination of trading restrictions for such Designated Securities, as notified to the Company by the Representatives and (ii) the Time of Delivery for such Designated Securities, but in no event later than 90 days from the date of the Pricing Agreement, not to offer, sell, contract to sell, pledge or otherwise issue any debt securities of the Company which mature more than one year after such Time of Delivery and which are substantially similar to such Designated Securities, without the prior written consent of the Representatives;</w:t>
      </w:r>
    </w:p>
    <w:p>
      <w:pPr>
        <w:spacing w:after="0" w:line="21" w:lineRule="exact"/>
        <w:rPr>
          <w:rFonts w:ascii="Arial" w:cs="Arial" w:eastAsia="Arial" w:hAnsi="Arial"/>
          <w:sz w:val="16"/>
          <w:szCs w:val="16"/>
          <w:color w:val="auto"/>
        </w:rPr>
      </w:pPr>
    </w:p>
    <w:p>
      <w:pPr>
        <w:ind w:left="440" w:right="80" w:firstLine="443"/>
        <w:spacing w:after="0" w:line="268" w:lineRule="auto"/>
        <w:tabs>
          <w:tab w:leader="none" w:pos="1097"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use the net proceeds received by it from the sale of the Designated Securities in the manner specified in the Prospectus under the caption “Use of Proceeds”; and</w:t>
      </w:r>
    </w:p>
    <w:p>
      <w:pPr>
        <w:spacing w:after="0" w:line="37" w:lineRule="exact"/>
        <w:rPr>
          <w:rFonts w:ascii="Arial" w:cs="Arial" w:eastAsia="Arial" w:hAnsi="Arial"/>
          <w:sz w:val="18"/>
          <w:szCs w:val="18"/>
          <w:color w:val="auto"/>
        </w:rPr>
      </w:pPr>
    </w:p>
    <w:p>
      <w:pPr>
        <w:ind w:left="440" w:right="180" w:firstLine="443"/>
        <w:spacing w:after="0" w:line="268" w:lineRule="auto"/>
        <w:tabs>
          <w:tab w:leader="none" w:pos="11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qualify as a “real estate investment trust” under the Code, and to use its best efforts to continue to meet the requirements to qualify as a “real estate investment trust.”</w:t>
      </w:r>
    </w:p>
    <w:p>
      <w:pPr>
        <w:spacing w:after="0" w:line="118" w:lineRule="exact"/>
        <w:rPr>
          <w:sz w:val="20"/>
          <w:szCs w:val="20"/>
          <w:color w:val="auto"/>
        </w:rPr>
      </w:pPr>
    </w:p>
    <w:p>
      <w:pPr>
        <w:ind w:left="-20" w:right="980" w:firstLine="464"/>
        <w:spacing w:after="0" w:line="268" w:lineRule="auto"/>
        <w:tabs>
          <w:tab w:leader="none" w:pos="612"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Company covenants and agrees with the several Underwriters that the Company will pay or cause to be paid the following: (i) the fees, disbursements and expenses of the Company’s counsel and accountants in connection with the registration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60" w:top="280" w:right="239" w:bottom="1440" w:gutter="0" w:footer="0" w:header="0"/>
        </w:sectPr>
      </w:pPr>
    </w:p>
    <w:bookmarkStart w:id="13" w:name="page14"/>
    <w:bookmarkEnd w:id="13"/>
    <w:p>
      <w:pPr>
        <w:ind w:right="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 the Securities under the Act and all other expenses in connection with the preparation, printing and filing of the Registration Statement, any Preliminary Prospectus and the Prospectus and amendments and supplements thereto (including each abbreviated term sheet delivered by the Company pursuant to Rule 434 under the Act) and the mailing and delivering of copies thereof to the Underwriters and dealers; (ii) the cost of printing or producing any Agreement Among Underwriters, this Agreement, any Pricing Agreement, any Indenture, any blue sky and legal investment surveys and any other documents in connection with the offering, purchase, sale and delivery of the Securities; (iii) all expenses in connection with the qualification of the Securities for offering and sale under state securities laws as provided in Section 5(b) hereof, including the fees and disbursements of counsel for the Underwriters in connection with such qualification and in connection with the blue sky and legal investment surveys; (iv) any fees charged by securities rating services for rating the Securities; (v) any filing fees incident to any required review by the National Association of Securities Dealers, Inc. of the terms of the sale of the Securities; (vi) the fees and expenses of any Trustee and any agent of any Trustee and the fees and disbursements of counsel for any Trustee in connection with any Indenture and the Securities; and (vii) all other costs and expenses incident to the performance of its obligations hereunder which are not otherwise specifically provided for in this Section. It is understood, however, that, except as provided in this Section, Section 8 and Section 11 hereof, the Underwriters will pay all of their own costs and expenses, including the fees of their counsel, transfer taxes on resale of any of the Securities by them, and any advertising expenses connected with any offers they may make.</w:t>
      </w:r>
    </w:p>
    <w:p>
      <w:pPr>
        <w:spacing w:after="0" w:line="10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7.The obligations of the Underwriters of any Designated Securities under the Pricing Agreement relating to such Designated Securities shall be subject, in the discretion of the Representatives, to the condition that all representations and warranties and other statements of the Company in, or incorporated by reference from this Agreement into, the Pricing Agreement relating to such Designated Securities are, at and as of the Time of Delivery for such Designated Securities, true and correct, to the condition that the Company shall have performed all of its obligations hereunder theretofore to be performed, and to the following additional conditions:</w:t>
      </w:r>
    </w:p>
    <w:p>
      <w:pPr>
        <w:spacing w:after="0" w:line="48" w:lineRule="exact"/>
        <w:rPr>
          <w:sz w:val="20"/>
          <w:szCs w:val="20"/>
          <w:color w:val="auto"/>
        </w:rPr>
      </w:pPr>
    </w:p>
    <w:p>
      <w:pPr>
        <w:ind w:left="460" w:right="80" w:firstLine="443"/>
        <w:spacing w:after="0" w:line="294" w:lineRule="auto"/>
        <w:tabs>
          <w:tab w:leader="none" w:pos="1137"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Prospectus as amended or supplemented in relation to the applicable Designated Securities shall have been filed with the Commission pursuant to Rule 424(b) within the applicable time period prescribed for such filing by the rules and regulations under the Act and in accordance with Section 5(a) hereof; no stop order suspending the effectiveness of the Registration Statement or any part thereof shall have been issued and no proceeding for that purpose shall have been initiated or threatened by the Commission; and all requests for additional information on the part of the Commission shall have been complied with to the Representatives’ reasonable satisfaction;</w:t>
      </w:r>
    </w:p>
    <w:p>
      <w:pPr>
        <w:spacing w:after="0" w:line="21" w:lineRule="exact"/>
        <w:rPr>
          <w:rFonts w:ascii="Arial" w:cs="Arial" w:eastAsia="Arial" w:hAnsi="Arial"/>
          <w:sz w:val="16"/>
          <w:szCs w:val="16"/>
          <w:color w:val="auto"/>
        </w:rPr>
      </w:pPr>
    </w:p>
    <w:p>
      <w:pPr>
        <w:jc w:val="both"/>
        <w:ind w:left="460" w:right="20" w:firstLine="443"/>
        <w:spacing w:after="0" w:line="259" w:lineRule="auto"/>
        <w:tabs>
          <w:tab w:leader="none" w:pos="1147" w:val="left"/>
        </w:tabs>
        <w:numPr>
          <w:ilvl w:val="0"/>
          <w:numId w:val="12"/>
        </w:numPr>
        <w:rPr>
          <w:rFonts w:ascii="Arial" w:cs="Arial" w:eastAsia="Arial" w:hAnsi="Arial"/>
          <w:sz w:val="18"/>
          <w:szCs w:val="18"/>
          <w:color w:val="auto"/>
        </w:rPr>
      </w:pPr>
      <w:r>
        <w:rPr>
          <w:rFonts w:ascii="Arial" w:cs="Arial" w:eastAsia="Arial" w:hAnsi="Arial"/>
          <w:sz w:val="18"/>
          <w:szCs w:val="18"/>
          <w:color w:val="auto"/>
        </w:rPr>
        <w:t>Sidley Austin Brown &amp; Wood LLP, counsel for the Underwriters, shall have furnished to the Representatives such opinion or opinions, dated the Time of Delivery for such Designated Securities, with respect to the organization of the Company, the validity of the Indenture, the Registration Statement, the Prospectus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80" w:right="279" w:bottom="1440" w:gutter="0" w:footer="0" w:header="0"/>
        </w:sectPr>
      </w:pPr>
    </w:p>
    <w:bookmarkStart w:id="14" w:name="page15"/>
    <w:bookmarkEnd w:id="14"/>
    <w:p>
      <w:pPr>
        <w:ind w:right="18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 amended or supplemented and other related matters as the Representatives may reasonably request, and such counsel shall have received such papers and information as they may reasonably request to enable them to pass upon such matters (in rendering such opinion, Sidley Austin Brown &amp; Wood LLP may rely, as to all matters arising under or governed by the laws of the State of Maryland, on the opinion of Shaw Pittman LLP);</w:t>
      </w:r>
    </w:p>
    <w:p>
      <w:pPr>
        <w:spacing w:after="0" w:line="12" w:lineRule="exact"/>
        <w:rPr>
          <w:sz w:val="20"/>
          <w:szCs w:val="20"/>
          <w:color w:val="auto"/>
        </w:rPr>
      </w:pPr>
    </w:p>
    <w:p>
      <w:pPr>
        <w:ind w:right="280" w:firstLine="443"/>
        <w:spacing w:after="0" w:line="325" w:lineRule="auto"/>
        <w:tabs>
          <w:tab w:leader="none" w:pos="677" w:val="left"/>
        </w:tabs>
        <w:numPr>
          <w:ilvl w:val="0"/>
          <w:numId w:val="13"/>
        </w:numPr>
        <w:rPr>
          <w:rFonts w:ascii="Arial" w:cs="Arial" w:eastAsia="Arial" w:hAnsi="Arial"/>
          <w:sz w:val="16"/>
          <w:szCs w:val="16"/>
          <w:color w:val="auto"/>
        </w:rPr>
      </w:pPr>
      <w:r>
        <w:rPr>
          <w:rFonts w:ascii="Arial" w:cs="Arial" w:eastAsia="Arial" w:hAnsi="Arial"/>
          <w:sz w:val="16"/>
          <w:szCs w:val="16"/>
          <w:color w:val="auto"/>
        </w:rPr>
        <w:t>Shaw Pittman LLP, counsel for the Company, shall have furnished to the Representatives their written opinion, dated the Time of Delivery for such Designated Securities, in form and substance satisfactory to the Representatives, to the effect set forth in Schedule A hereto.</w:t>
      </w:r>
    </w:p>
    <w:p>
      <w:pPr>
        <w:spacing w:after="0" w:line="1" w:lineRule="exact"/>
        <w:rPr>
          <w:rFonts w:ascii="Arial" w:cs="Arial" w:eastAsia="Arial" w:hAnsi="Arial"/>
          <w:sz w:val="16"/>
          <w:szCs w:val="16"/>
          <w:color w:val="auto"/>
        </w:rPr>
      </w:pPr>
    </w:p>
    <w:p>
      <w:pPr>
        <w:ind w:firstLine="443"/>
        <w:spacing w:after="0" w:line="286" w:lineRule="auto"/>
        <w:tabs>
          <w:tab w:leader="none" w:pos="687"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 addition to the above opinion, the Representatives shall have received the opinion or opinions of Shaw Pittman LLP, Tax Counsel to the Company, dated the Time of Delivery for such Designated Securities, in form and substance satisfactory to the Representatives, to the effect that (1) the Company qualified as a real estate investment trust (“REIT”) under the Code for its taxable years ending through December 31, 2002, (2) the Company is organized in conformity with the requirements for qualification as a REIT under the Code, and its current method of operation will enable it to meet the requirements for qualification as a REIT for the current taxable year and for future taxable years; and (3) the discussion in (x) the Prospectus under the caption “Federal Income Tax Consequences,” and (y) the Company’s Current Report on Form 8-K filed with the Commission on March 25, 2003 (hereafter, the “Company’s Form 8-K”) under the captions “Risk Factors—Failure to qualify as a REIT for federal income tax purposes would cause us to be taxed as a corporation, which would substantially reduce funds available for payment of distributions,” “Risk Factors—We may be required to incur additional debt to qualify as a REIT” and “Risk Factors—To maintain our status as a REIT, we limit the amount of shares any one shareholder can own,” which is incorporated by reference into the Prospectus Supplement, to the extent that it discusses matters of law or legal conclusions or purports to describe certain provisions of the federal tax laws, is a correct summary of the matters discussed therein, and the opinions of such counsel appearing in the Prospectus under “Federal Income Tax Consequences” are hereby confirmed;</w:t>
      </w:r>
    </w:p>
    <w:p>
      <w:pPr>
        <w:spacing w:after="0" w:line="29" w:lineRule="exact"/>
        <w:rPr>
          <w:rFonts w:ascii="Arial" w:cs="Arial" w:eastAsia="Arial" w:hAnsi="Arial"/>
          <w:sz w:val="16"/>
          <w:szCs w:val="16"/>
          <w:color w:val="auto"/>
        </w:rPr>
      </w:pPr>
    </w:p>
    <w:p>
      <w:pPr>
        <w:ind w:right="100" w:firstLine="443"/>
        <w:spacing w:after="0" w:line="259" w:lineRule="auto"/>
        <w:tabs>
          <w:tab w:leader="none" w:pos="677"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 the date of the Pricing Agreement for such Designated Securities and at the Time of Delivery for such Designated Securities, Grant Thornton LLP, the independent accountants of the Company, shall have furnished to the Underwriters a “comfort letter” in form and substance satisfactory to the Representatives;</w:t>
      </w:r>
    </w:p>
    <w:p>
      <w:pPr>
        <w:spacing w:after="0" w:line="45" w:lineRule="exact"/>
        <w:rPr>
          <w:rFonts w:ascii="Arial" w:cs="Arial" w:eastAsia="Arial" w:hAnsi="Arial"/>
          <w:sz w:val="18"/>
          <w:szCs w:val="18"/>
          <w:color w:val="auto"/>
        </w:rPr>
      </w:pPr>
    </w:p>
    <w:p>
      <w:pPr>
        <w:ind w:right="240" w:firstLine="443"/>
        <w:spacing w:after="0" w:line="259" w:lineRule="auto"/>
        <w:tabs>
          <w:tab w:leader="none" w:pos="657"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 the date of the Pricing Agreement for such Designated Securities and at the Time of Delivery for such Designated Securities the Chief Executive Officer or Chief Operating Officer and the Chief Financial Officer shall have furnished to the Representatives a certificate substantially in the form of Annex II hereto;</w:t>
      </w:r>
    </w:p>
    <w:p>
      <w:pPr>
        <w:spacing w:after="0" w:line="12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40"/>
          </w:cols>
          <w:pgMar w:left="700" w:top="280" w:right="259" w:bottom="1440" w:gutter="0" w:footer="0" w:header="0"/>
        </w:sectPr>
      </w:pPr>
    </w:p>
    <w:bookmarkStart w:id="15" w:name="page16"/>
    <w:bookmarkEnd w:id="15"/>
    <w:p>
      <w:pPr>
        <w:ind w:firstLine="443"/>
        <w:spacing w:after="0" w:line="256" w:lineRule="auto"/>
        <w:tabs>
          <w:tab w:leader="none" w:pos="687" w:val="left"/>
        </w:tabs>
        <w:numPr>
          <w:ilvl w:val="0"/>
          <w:numId w:val="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At the Time of Delivery for such Designated Securities, the Designated Securities shall be rated at least Baa2 by Moody’s Investor’s Service Inc. and BBB by Standard &amp; Poor’s Ratings Group, a division of McGraw-Hill, Inc., and the Company shall have delivered to the Representatives a letter dated the Time of Delivery, from each such rating agency, or other evidence satisfactory to the Representatives, confirming that the Designated Securities have such ratings;</w:t>
      </w:r>
    </w:p>
    <w:p>
      <w:pPr>
        <w:spacing w:after="0" w:line="48" w:lineRule="exact"/>
        <w:rPr>
          <w:rFonts w:ascii="Arial" w:cs="Arial" w:eastAsia="Arial" w:hAnsi="Arial"/>
          <w:sz w:val="18"/>
          <w:szCs w:val="18"/>
          <w:color w:val="auto"/>
        </w:rPr>
      </w:pPr>
    </w:p>
    <w:p>
      <w:pPr>
        <w:ind w:right="20" w:firstLine="443"/>
        <w:spacing w:after="0" w:line="287" w:lineRule="auto"/>
        <w:tabs>
          <w:tab w:leader="none" w:pos="687" w:val="left"/>
        </w:tabs>
        <w:numPr>
          <w:ilvl w:val="0"/>
          <w:numId w:val="14"/>
        </w:numPr>
        <w:rPr>
          <w:rFonts w:ascii="Arial" w:cs="Arial" w:eastAsia="Arial" w:hAnsi="Arial"/>
          <w:sz w:val="16"/>
          <w:szCs w:val="16"/>
          <w:color w:val="auto"/>
        </w:rPr>
      </w:pPr>
      <w:r>
        <w:rPr>
          <w:rFonts w:ascii="Arial" w:cs="Arial" w:eastAsia="Arial" w:hAnsi="Arial"/>
          <w:sz w:val="16"/>
          <w:szCs w:val="16"/>
          <w:color w:val="auto"/>
        </w:rPr>
        <w:t>(i) Neither the Company nor any of the Entities shall have sustained since the date of the latest audited financial statements included or incorporated by reference in the Prospectus as amended or supplemented any loss or interference with its business from fire, explosion, flood or other calamity, whether or not covered by insurance, or from any labor dispute or court or governmental action, order or decree, otherwise than as set forth or contemplated in the Prospectus as amended or supplemented, and (ii) since the respective dates as of which information is given in the Prospectus as amended or supplemented there shall not have been any change in the authorized, issued or outstanding capital shares of the Company or increase in long-term debt of the Company or any of the Entities or any change, or any development involving a prospective change, in or affecting the general affairs, management, financial position, shareholders’ equity or results of operations of the Company and the Entities, otherwise than as set forth or contemplated in the Prospectus as amended or supplemented, the effect of which, in any such case described in clause (i) or (ii), is in the judgment of the Representatives so material and adverse as to make it impracticable or inadvisable to proceed with the public offering or the delivery of the Designated Securities on the terms and in the manner contemplated in the Prospectus as amended or supplemented;</w:t>
      </w:r>
    </w:p>
    <w:p>
      <w:pPr>
        <w:spacing w:after="0" w:line="28" w:lineRule="exact"/>
        <w:rPr>
          <w:rFonts w:ascii="Arial" w:cs="Arial" w:eastAsia="Arial" w:hAnsi="Arial"/>
          <w:sz w:val="16"/>
          <w:szCs w:val="16"/>
          <w:color w:val="auto"/>
        </w:rPr>
      </w:pPr>
    </w:p>
    <w:p>
      <w:pPr>
        <w:jc w:val="both"/>
        <w:ind w:right="100" w:firstLine="443"/>
        <w:spacing w:after="0" w:line="298" w:lineRule="auto"/>
        <w:tabs>
          <w:tab w:leader="none" w:pos="648" w:val="left"/>
        </w:tabs>
        <w:numPr>
          <w:ilvl w:val="0"/>
          <w:numId w:val="14"/>
        </w:numPr>
        <w:rPr>
          <w:rFonts w:ascii="Arial" w:cs="Arial" w:eastAsia="Arial" w:hAnsi="Arial"/>
          <w:sz w:val="16"/>
          <w:szCs w:val="16"/>
          <w:color w:val="auto"/>
        </w:rPr>
      </w:pPr>
      <w:r>
        <w:rPr>
          <w:rFonts w:ascii="Arial" w:cs="Arial" w:eastAsia="Arial" w:hAnsi="Arial"/>
          <w:sz w:val="16"/>
          <w:szCs w:val="16"/>
          <w:color w:val="auto"/>
        </w:rPr>
        <w:t>On or after the date of the Pricing Agreement relating to the Designated Securities (i) no downgrading shall have occurred in the rating accorded the Company’s debt securities or preferred shares by any “nationally recognized statistical rating organization,” as that term is defined by the Commission for purposes of Rule 436(g)(2) under the Act and (ii) no such organization shall have publicly announced that it has under surveillance or review, with possible negative implications, its rating of any of the Company’s debt securities or preferred shares;</w:t>
      </w:r>
    </w:p>
    <w:p>
      <w:pPr>
        <w:spacing w:after="0" w:line="18" w:lineRule="exact"/>
        <w:rPr>
          <w:rFonts w:ascii="Arial" w:cs="Arial" w:eastAsia="Arial" w:hAnsi="Arial"/>
          <w:sz w:val="16"/>
          <w:szCs w:val="16"/>
          <w:color w:val="auto"/>
        </w:rPr>
      </w:pPr>
    </w:p>
    <w:p>
      <w:pPr>
        <w:ind w:right="100" w:firstLine="443"/>
        <w:spacing w:after="0" w:line="254" w:lineRule="auto"/>
        <w:tabs>
          <w:tab w:leader="none" w:pos="648" w:val="left"/>
        </w:tabs>
        <w:numPr>
          <w:ilvl w:val="0"/>
          <w:numId w:val="14"/>
        </w:numPr>
        <w:rPr>
          <w:rFonts w:ascii="Arial" w:cs="Arial" w:eastAsia="Arial" w:hAnsi="Arial"/>
          <w:sz w:val="18"/>
          <w:szCs w:val="18"/>
          <w:color w:val="auto"/>
        </w:rPr>
      </w:pPr>
      <w:r>
        <w:rPr>
          <w:rFonts w:ascii="Arial" w:cs="Arial" w:eastAsia="Arial" w:hAnsi="Arial"/>
          <w:sz w:val="18"/>
          <w:szCs w:val="18"/>
          <w:color w:val="auto"/>
        </w:rPr>
        <w:t>On or after the date of the Pricing Agreement relating to the Designated Securities there shall not have occurred any of the following: (i) a suspension or material limitation in trading in securities generally on the NYSE; (ii) a suspension or material limitation in trading in the Company’s securities on the NYSE; (iii) a general moratorium on commercial banking activities in New York declared by either federal or New York State authorities or a material disruption in commercial banking or securities settlement or clearance services in the United States; or (iv) the outbreak or escalation of hostilities involving the United States or the declaration by the United States of a national emergency or war or other calamity or crisis if the effect of any such event specified in this</w:t>
      </w:r>
    </w:p>
    <w:p>
      <w:pPr>
        <w:spacing w:after="0" w:line="13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40"/>
          </w:cols>
          <w:pgMar w:left="700" w:top="280" w:right="259" w:bottom="1440" w:gutter="0" w:footer="0" w:header="0"/>
        </w:sectPr>
      </w:pPr>
    </w:p>
    <w:bookmarkStart w:id="16" w:name="page17"/>
    <w:bookmarkEnd w:id="16"/>
    <w:p>
      <w:pPr>
        <w:ind w:right="760"/>
        <w:spacing w:after="0" w:line="32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clause (iv) in the judgment of the Representatives makes it impracticable or inadvisable to proceed with the public offering or the delivery of the Designated Securities on the terms and in the manner contemplated in the Prospectus as amended or supplemented;</w:t>
      </w:r>
    </w:p>
    <w:p>
      <w:pPr>
        <w:spacing w:after="0" w:line="1" w:lineRule="exact"/>
        <w:rPr>
          <w:sz w:val="20"/>
          <w:szCs w:val="20"/>
          <w:color w:val="auto"/>
        </w:rPr>
      </w:pPr>
    </w:p>
    <w:p>
      <w:pPr>
        <w:ind w:right="520" w:firstLine="443"/>
        <w:spacing w:after="0" w:line="268" w:lineRule="auto"/>
        <w:tabs>
          <w:tab w:leader="none" w:pos="687"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Company shall have complied with the provisions of Section 5(c) hereof with respect to the furnishing of Prospectuses as amended or supplemented; and</w:t>
      </w:r>
    </w:p>
    <w:p>
      <w:pPr>
        <w:spacing w:after="0" w:line="37" w:lineRule="exact"/>
        <w:rPr>
          <w:rFonts w:ascii="Arial" w:cs="Arial" w:eastAsia="Arial" w:hAnsi="Arial"/>
          <w:sz w:val="18"/>
          <w:szCs w:val="18"/>
          <w:color w:val="auto"/>
        </w:rPr>
      </w:pPr>
    </w:p>
    <w:p>
      <w:pPr>
        <w:ind w:firstLine="443"/>
        <w:spacing w:after="0" w:line="255" w:lineRule="auto"/>
        <w:tabs>
          <w:tab w:leader="none" w:pos="648"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Company shall have furnished or caused to be furnished to the Representatives at the Time of Delivery for the Designated Securities a certificate or certificates of officers of the Company dated such Time of Delivery and satisfactory to the Representatives as to the accuracy of the representations and warranties of the Company herein at and as of the date of such certificate, as to the performance by the Company of all of its obligations hereunder to be performed at or prior to the date of such certificate, as to the matters set forth in subsections (a) and (h) of this Section and as to such other matters as the Representatives may reasonably request.</w:t>
      </w:r>
    </w:p>
    <w:p>
      <w:pPr>
        <w:spacing w:after="0" w:line="48" w:lineRule="exact"/>
        <w:rPr>
          <w:sz w:val="20"/>
          <w:szCs w:val="20"/>
          <w:color w:val="auto"/>
        </w:rPr>
      </w:pPr>
    </w:p>
    <w:p>
      <w:pPr>
        <w:ind w:right="40" w:firstLine="443"/>
        <w:spacing w:after="0" w:line="286" w:lineRule="auto"/>
        <w:tabs>
          <w:tab w:leader="none" w:pos="614" w:val="left"/>
        </w:tabs>
        <w:numPr>
          <w:ilvl w:val="0"/>
          <w:numId w:val="16"/>
        </w:numPr>
        <w:rPr>
          <w:rFonts w:ascii="Arial" w:cs="Arial" w:eastAsia="Arial" w:hAnsi="Arial"/>
          <w:sz w:val="16"/>
          <w:szCs w:val="16"/>
          <w:color w:val="auto"/>
        </w:rPr>
      </w:pPr>
      <w:r>
        <w:rPr>
          <w:rFonts w:ascii="Arial" w:cs="Arial" w:eastAsia="Arial" w:hAnsi="Arial"/>
          <w:sz w:val="16"/>
          <w:szCs w:val="16"/>
          <w:color w:val="auto"/>
        </w:rPr>
        <w:t>(a) The Company will indemnify and hold harmless each Underwriter against any losses, claims, damages or liabilities, joint or several, to which such Underwriter may become subject, under the Act or otherwise, insofar as such losses, claims, damages or liabilities (or actions in respect thereof) arise out of or are based upon an untrue statement or alleged untrue statement of a material fact contained in any Preliminary Prospectus, any preliminary prospectus supplement, the Registration Statement, the Prospectus as amended or supplemented and any other prospectus relating to the Securities, or any amendment or supplement thereto (including the information deemed to be a part of the Registration Statement pursuant to Rule 434 under the Act, if applicable), or arise out of or are based upon the omission or alleged omission to state therein a material fact required to be stated therein or necessary to make the statements therein not misleading, and will reimburse each Underwriter for any legal or other expenses reasonably incurred by such Underwriter in connection with investigating or defending any such action or claim as such expenses are incurred; provided, however, that the Company shall not be liable in any such case to the extent that any such loss, claim, damage or liability arises out of or is based upon an untrue statement or alleged untrue statement or omission or alleged omission made in any Preliminary Prospectus, any preliminary prospectus supplement, the Registration Statement, the Prospectus as amended</w:t>
      </w:r>
    </w:p>
    <w:p>
      <w:pPr>
        <w:spacing w:after="0" w:line="11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20"/>
          </w:cols>
          <w:pgMar w:left="700" w:top="280" w:right="279" w:bottom="1440" w:gutter="0" w:footer="0" w:header="0"/>
        </w:sectPr>
      </w:pPr>
    </w:p>
    <w:bookmarkStart w:id="17" w:name="page18"/>
    <w:bookmarkEnd w:id="17"/>
    <w:p>
      <w:pPr>
        <w:spacing w:after="0" w:line="30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or supplemented and any other prospectus relating to the Securities, or any such amendment or supplement in reliance upon and in conformity with written information furnished to the Company by any Underwriter of Designated Securities through the Representatives expressly for use in the Prospectus as amended or supplemented relating to such Securities; and provided, further, that this indemnity agreement with respect to any Preliminary Prospectus shall not inure to the benefit of any Underwriter from whom the person asserting any such losses, claims, damages or liabilities purchased Designated Securities if a copy of the Prospectus as amended or supplemented relating to the Designated Securities (excluding documents incorporated or deemed to be incorporated or deemed to be incorporated by reference therein) was not sent or given by or on behalf of such Underwriter to such person, if such is required by the Act or the rules and regulations of the Commission thereunder, at or prior to written confirmation of the sale of such Designated Securities to such person and if the Prospectus as amended or supplemented relating to the Designated Securities would have corrected the defect giving rise to such loss, claim, damage or liability, except that this proviso shall not be applicable if such defect shall have been corrected in a document which is incorporated or deemed to be incorporated by reference in the Prospectus as amended or supplemented relating to the Designated Securities</w:t>
      </w:r>
    </w:p>
    <w:p>
      <w:pPr>
        <w:spacing w:after="0" w:line="15" w:lineRule="exact"/>
        <w:rPr>
          <w:sz w:val="20"/>
          <w:szCs w:val="20"/>
          <w:color w:val="auto"/>
        </w:rPr>
      </w:pPr>
    </w:p>
    <w:p>
      <w:pPr>
        <w:ind w:right="20" w:firstLine="443"/>
        <w:spacing w:after="0" w:line="286" w:lineRule="auto"/>
        <w:tabs>
          <w:tab w:leader="none" w:pos="687" w:val="left"/>
        </w:tabs>
        <w:numPr>
          <w:ilvl w:val="0"/>
          <w:numId w:val="17"/>
        </w:numPr>
        <w:rPr>
          <w:rFonts w:ascii="Arial" w:cs="Arial" w:eastAsia="Arial" w:hAnsi="Arial"/>
          <w:sz w:val="16"/>
          <w:szCs w:val="16"/>
          <w:color w:val="auto"/>
        </w:rPr>
      </w:pPr>
      <w:r>
        <w:rPr>
          <w:rFonts w:ascii="Arial" w:cs="Arial" w:eastAsia="Arial" w:hAnsi="Arial"/>
          <w:sz w:val="16"/>
          <w:szCs w:val="16"/>
          <w:color w:val="auto"/>
        </w:rPr>
        <w:t>Each Underwriter will indemnify and hold harmless the Company against any losses, claims, damages or liabilities to which the Company may become subject, under the Act or otherwise, insofar as such losses, claims, damages or liabilities (or actions in respect thereof) arise out of or are based upon an untrue statement or alleged untrue statement of a material fact contained in any Preliminary Prospectus, any preliminary prospectus supplement, the Registration Statement, the Prospectus as amended or supplemented and any other prospectus relating to the Securities, or any amendment or supplement thereto (including the information deemed to be a part of the Registration Statement pursuant to Rule 434 under the Act, if applicable),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any Preliminary Prospectus, any preliminary prospectus supplement, the Registration Statement, the Prospectus as amended or supplemented and any other prospectus relating to the Securities, or any such amendment or supplement in reliance upon and in conformity with written information furnished to the Company by such Underwriter through the Representatives expressly for use therein; and will reimburse the Company for any legal or other expenses reasonably incurred by the Company in connection with investigating or defending any such action or claim as to which the Company shall be entitled to indemnification under this subsection (b) as such expenses are incurred.</w:t>
      </w:r>
    </w:p>
    <w:p>
      <w:pPr>
        <w:spacing w:after="0" w:line="29" w:lineRule="exact"/>
        <w:rPr>
          <w:rFonts w:ascii="Arial" w:cs="Arial" w:eastAsia="Arial" w:hAnsi="Arial"/>
          <w:sz w:val="16"/>
          <w:szCs w:val="16"/>
          <w:color w:val="auto"/>
        </w:rPr>
      </w:pPr>
    </w:p>
    <w:p>
      <w:pPr>
        <w:ind w:firstLine="443"/>
        <w:spacing w:after="0" w:line="291" w:lineRule="auto"/>
        <w:tabs>
          <w:tab w:leader="none" w:pos="677" w:val="left"/>
        </w:tabs>
        <w:numPr>
          <w:ilvl w:val="0"/>
          <w:numId w:val="17"/>
        </w:numPr>
        <w:rPr>
          <w:rFonts w:ascii="Arial" w:cs="Arial" w:eastAsia="Arial" w:hAnsi="Arial"/>
          <w:sz w:val="16"/>
          <w:szCs w:val="16"/>
          <w:color w:val="auto"/>
        </w:rPr>
      </w:pPr>
      <w:r>
        <w:rPr>
          <w:rFonts w:ascii="Arial" w:cs="Arial" w:eastAsia="Arial" w:hAnsi="Arial"/>
          <w:sz w:val="16"/>
          <w:szCs w:val="16"/>
          <w:color w:val="auto"/>
        </w:rPr>
        <w:t>Promptly after receipt by an indemnified party under subsection (a) or (b) above of notice of the commencement of any action, such indemnified party shall, if a claim in respect thereof is to be made against the indemnifying party under such subsection, notify the indemnifying party in writing of the commencement thereof; but the omission so to notify the indemnifying party shall not relieve it from any liability which it may have to any indemnified party otherwise than under such subsection. In case any such action shall be brought against any indemnified party and it shall notify the indemnifying party of the commencement thereof, the indemnifying party shall be entitled to participate therein and, to the extent that it shall wish, jointly with any other indemnifying party similarly notified, to assume the defense thereof, with counsel satisfactory</w:t>
      </w:r>
    </w:p>
    <w:p>
      <w:pPr>
        <w:spacing w:after="0" w:line="107"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20"/>
          </w:cols>
          <w:pgMar w:left="700" w:top="280" w:right="279" w:bottom="1440" w:gutter="0" w:footer="0" w:header="0"/>
        </w:sectPr>
      </w:pPr>
    </w:p>
    <w:bookmarkStart w:id="18" w:name="page19"/>
    <w:bookmarkEnd w:id="18"/>
    <w:p>
      <w:pPr>
        <w:ind w:right="2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such indemnified party (who shall not, except with the consent of the indemnified party, be counsel to the indemnifying party), and, after notice from the indemnifying party to such indemnified party of its election so to assume the defense thereof, the indemnifying party shall not be liable to such indemnified party under such subsection for any legal expenses of other counsel (unless separate counsel is required due to conflict of interest) or any other expenses, in each case subsequently incurred by such indemnified party, in connection with the defense thereof other than reasonable costs of investigation. No indemnifying party shall, without written consent of the indemnified party,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compromises or judgment (i) includes an unconditional release of the indemnified party from all liability arising out of such action or claim and (ii) does not include a statement as to or an admission of fault, culpability or a failure to act, by or on behalf of any indemnified party.</w:t>
      </w:r>
    </w:p>
    <w:p>
      <w:pPr>
        <w:spacing w:after="0" w:line="25" w:lineRule="exact"/>
        <w:rPr>
          <w:sz w:val="20"/>
          <w:szCs w:val="20"/>
          <w:color w:val="auto"/>
        </w:rPr>
      </w:pPr>
    </w:p>
    <w:p>
      <w:pPr>
        <w:ind w:left="700" w:hanging="257"/>
        <w:spacing w:after="0"/>
        <w:tabs>
          <w:tab w:leader="none" w:pos="700" w:val="left"/>
        </w:tabs>
        <w:numPr>
          <w:ilvl w:val="1"/>
          <w:numId w:val="18"/>
        </w:numPr>
        <w:rPr>
          <w:rFonts w:ascii="Arial" w:cs="Arial" w:eastAsia="Arial" w:hAnsi="Arial"/>
          <w:sz w:val="16"/>
          <w:szCs w:val="16"/>
          <w:color w:val="auto"/>
        </w:rPr>
      </w:pPr>
      <w:r>
        <w:rPr>
          <w:rFonts w:ascii="Arial" w:cs="Arial" w:eastAsia="Arial" w:hAnsi="Arial"/>
          <w:sz w:val="16"/>
          <w:szCs w:val="16"/>
          <w:color w:val="auto"/>
        </w:rPr>
        <w:t>If the indemnification provided for in this Section 8 is unavailable to or insufficient to hold harmless an indemnified party under subsection (a) or</w:t>
      </w:r>
    </w:p>
    <w:p>
      <w:pPr>
        <w:spacing w:after="0" w:line="38" w:lineRule="exact"/>
        <w:rPr>
          <w:rFonts w:ascii="Arial" w:cs="Arial" w:eastAsia="Arial" w:hAnsi="Arial"/>
          <w:sz w:val="16"/>
          <w:szCs w:val="16"/>
          <w:color w:val="auto"/>
        </w:rPr>
      </w:pPr>
    </w:p>
    <w:p>
      <w:pPr>
        <w:ind w:firstLine="4"/>
        <w:spacing w:after="0" w:line="284" w:lineRule="auto"/>
        <w:tabs>
          <w:tab w:leader="none" w:pos="249" w:val="left"/>
        </w:tabs>
        <w:numPr>
          <w:ilvl w:val="0"/>
          <w:numId w:val="19"/>
        </w:numPr>
        <w:rPr>
          <w:rFonts w:ascii="Arial" w:cs="Arial" w:eastAsia="Arial" w:hAnsi="Arial"/>
          <w:sz w:val="16"/>
          <w:szCs w:val="16"/>
          <w:color w:val="auto"/>
        </w:rPr>
      </w:pPr>
      <w:r>
        <w:rPr>
          <w:rFonts w:ascii="Arial" w:cs="Arial" w:eastAsia="Arial" w:hAnsi="Arial"/>
          <w:sz w:val="16"/>
          <w:szCs w:val="16"/>
          <w:color w:val="auto"/>
        </w:rPr>
        <w:t>above in respect of any losses, claims damages or liabilities (or actions in respect thereof) referred to therein, then each indemnifying party shall contribute to the amount paid or payable by such indemnified party as a result of such losses, claims, damages or liabilities (or actions in respect thereof) in such proportion as is appropriate to reflect the relative benefits received by the Company on the one hand and the Underwriters of the Designated Securities on the other from the offering of the Designated Securities to which such loss, claim, damage or liability (or action in respect thereof) relates. If, however, the allocation provided by the immediately preceding sentence is not permitted by applicable law or if the indemnified party failed to give the notice required under subsection (c) above, then each indemnifying party shall contribute to such amount paid or payable by such indemnified party in such proportion as is appropriate to reflect not only such relative benefits but also the relative fault of the Company on the one hand and the Underwriters of the Designated Securities on the other in connection with the statements or omissions which resulted in such losses, claims, damages or liabilities (or actions in respect thereof), as well as any other relevant equitable considerations. The relative benefits received by the Company on the one hand and such Underwriters on the other shall be deemed to be in the same proportion as the total net proceeds from such offering (before deducting expenses) received by the Company bear to the total underwriting discounts and commissions from such offering received by such Underwriters. The relative fault shall be determined by reference to, among other things, whether the untrue or alleged untrue statement of a material fact or the omission or alleged omission to state a material fact relates to information supplied by the Company on the one hand or such Underwriters on the other and the parties’ relative intent, knowledge, access to information and opportunity to correct or prevent such statement or omission. The Company and the Underwriters agree that it would not be just and equitable if</w:t>
      </w:r>
    </w:p>
    <w:p>
      <w:pPr>
        <w:spacing w:after="0" w:line="11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60"/>
          </w:cols>
          <w:pgMar w:left="700" w:top="280" w:right="239" w:bottom="1440" w:gutter="0" w:footer="0" w:header="0"/>
        </w:sectPr>
      </w:pPr>
    </w:p>
    <w:bookmarkStart w:id="19" w:name="page20"/>
    <w:bookmarkEnd w:id="19"/>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contribution pursuant to this subsection (d) were determined by pro rata allocation (even if the Underwriters were treated as one entity for such purpose) or by any other method of allocation which does not take account of the equitable considerations referred to above in this subsection (d). The amount paid or payable by an indemnified party as a result of the losses, claims, damages or liabilities (or actions in respect thereof) referred to above in this subsection (d) shall be deemed to include any legal or other expenses reasonably incurred by such indemnified party in connection with investigating or defending any such action or claim. Notwithstanding the provisions of this subsection (d), no Underwriter shall be required to contribute any amount in excess of the amount by which the total price at which the applicable Designated Securities underwritten by it and distributed to the public were offered to the public exceeds the amount of any damages which such Underwriter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 The obligations of the Underwriters of Designated Securities in this subsection (d) to contribute are several in proportion to their respective underwriting obligations with respect to such Securities and not joint.</w:t>
      </w:r>
    </w:p>
    <w:p>
      <w:pPr>
        <w:spacing w:after="0" w:line="28" w:lineRule="exact"/>
        <w:rPr>
          <w:sz w:val="20"/>
          <w:szCs w:val="20"/>
          <w:color w:val="auto"/>
        </w:rPr>
      </w:pPr>
    </w:p>
    <w:p>
      <w:pPr>
        <w:ind w:right="60" w:firstLine="443"/>
        <w:spacing w:after="0" w:line="255" w:lineRule="auto"/>
        <w:tabs>
          <w:tab w:leader="none" w:pos="677"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obligations of the Company under this Section 8 shall be in addition to any liability which the Company may otherwise have and shall extend, upon the same terms and conditions, to each person, if any, who controls any Underwriter within the meaning of the Act; and the obligations of the Underwriters under this Section 8 shall be in addition to any liability which the respective Underwriters may otherwise have and shall extend, upon the same terms and conditions, to each officer of the Company who signed the Registration Statement, trustee of the Company and to each person, if any, who controls the Company within the meaning of the Act.</w:t>
      </w:r>
    </w:p>
    <w:p>
      <w:pPr>
        <w:spacing w:after="0" w:line="48" w:lineRule="exact"/>
        <w:rPr>
          <w:sz w:val="20"/>
          <w:szCs w:val="20"/>
          <w:color w:val="auto"/>
        </w:rPr>
      </w:pPr>
    </w:p>
    <w:p>
      <w:pPr>
        <w:ind w:firstLine="443"/>
        <w:spacing w:after="0" w:line="288" w:lineRule="auto"/>
        <w:tabs>
          <w:tab w:leader="none" w:pos="614" w:val="left"/>
        </w:tabs>
        <w:numPr>
          <w:ilvl w:val="0"/>
          <w:numId w:val="21"/>
        </w:numPr>
        <w:rPr>
          <w:rFonts w:ascii="Arial" w:cs="Arial" w:eastAsia="Arial" w:hAnsi="Arial"/>
          <w:sz w:val="16"/>
          <w:szCs w:val="16"/>
          <w:color w:val="auto"/>
        </w:rPr>
      </w:pPr>
      <w:r>
        <w:rPr>
          <w:rFonts w:ascii="Arial" w:cs="Arial" w:eastAsia="Arial" w:hAnsi="Arial"/>
          <w:sz w:val="16"/>
          <w:szCs w:val="16"/>
          <w:color w:val="auto"/>
        </w:rPr>
        <w:t>(a) If any Underwriter shall default in its obligation to purchase the Designated Securities which it has agreed to purchase at the Time of Delivery under the Pricing Agreement relating to such Designated Securities, the Representatives may in their discretion arrange for themselves or another party or other parties to purchase such Designated Securities on the terms contained herein. If within thirty-six hours after such default by any Underwriter the Representatives do not arrange for the purchase of such Designated Securities, then the Company shall be entitled to a further period of thirty-six hours within which to procure another party or other parties satisfactory to the Representatives to purchase such Designated Securities on such terms. In the event that, within the respective prescribed period, the Representatives notify the Company that they have so arranged for the purchase of such Designated Securities, or the Company notifies the Representatives that it has so arranged for the purchase of such Designated Securities, the Representatives or the Company shall have the right to postpone the time of Delivery for such Designated Securities for a period of not more than seven days, in order to effect whatever changes may thereby be</w:t>
      </w:r>
    </w:p>
    <w:p>
      <w:pPr>
        <w:spacing w:after="0" w:line="106"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40"/>
          </w:cols>
          <w:pgMar w:left="700" w:top="280" w:right="259" w:bottom="1440" w:gutter="0" w:footer="0" w:header="0"/>
        </w:sectPr>
      </w:pPr>
    </w:p>
    <w:bookmarkStart w:id="20" w:name="page21"/>
    <w:bookmarkEnd w:id="20"/>
    <w:p>
      <w:pPr>
        <w:ind w:left="4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made necessary in the Registration Statement or the Prospectus as amended or supplemented, or in any other documents or arrangements, and the Company agrees to file promptly any amendments or supplements to the Registration Statement or the Prospectus which in the opinion of the Representatives may thereby be made necessary. The term “Underwriter” as used in this Agreement shall include any person substituted under this Section with like effect as if such person had originally been a party to the Pricing Agreement with respect to such Designated Securities.</w:t>
      </w:r>
    </w:p>
    <w:p>
      <w:pPr>
        <w:spacing w:after="0" w:line="18" w:lineRule="exact"/>
        <w:rPr>
          <w:sz w:val="20"/>
          <w:szCs w:val="20"/>
          <w:color w:val="auto"/>
        </w:rPr>
      </w:pPr>
    </w:p>
    <w:p>
      <w:pPr>
        <w:ind w:left="440" w:firstLine="443"/>
        <w:spacing w:after="0" w:line="289" w:lineRule="auto"/>
        <w:tabs>
          <w:tab w:leader="none" w:pos="1127" w:val="left"/>
        </w:tabs>
        <w:numPr>
          <w:ilvl w:val="1"/>
          <w:numId w:val="22"/>
        </w:numPr>
        <w:rPr>
          <w:rFonts w:ascii="Arial" w:cs="Arial" w:eastAsia="Arial" w:hAnsi="Arial"/>
          <w:sz w:val="16"/>
          <w:szCs w:val="16"/>
          <w:color w:val="auto"/>
        </w:rPr>
      </w:pPr>
      <w:r>
        <w:rPr>
          <w:rFonts w:ascii="Arial" w:cs="Arial" w:eastAsia="Arial" w:hAnsi="Arial"/>
          <w:sz w:val="16"/>
          <w:szCs w:val="16"/>
          <w:color w:val="auto"/>
        </w:rPr>
        <w:t>If, after giving effect to any arrangements for the purchase of the Designated Securities of a defaulting Underwriter or Underwriters by the Representatives and the Company as provided in subsection (a) above, the aggregate principal amount of such Designated Securities which remains unpurchased does not exceed one-tenth of the aggregate principal amount of the Designated Securities to be purchased at the Time of Delivery, then the Company shall have the right to require each non-defaulting Underwriter to purchase the principal amount of Designated Securities which such Underwriter agreed to purchase at the Time of Delivery under the Pricing Agreement relating to such Designated Securities and, in addition, to require each non-defaulting Underwriter to purchase its pro rata share (based on the principal amount of Designated Securities which such Underwriter agreed to purchase under such Pricing Agreement) of the Designated Securities of such defaulting Underwriter or Underwriters for which such arrangements have not been made; but nothing herein shall relieve a defaulting Underwriter from liability for its default.</w:t>
      </w:r>
    </w:p>
    <w:p>
      <w:pPr>
        <w:spacing w:after="0" w:line="23" w:lineRule="exact"/>
        <w:rPr>
          <w:rFonts w:ascii="Arial" w:cs="Arial" w:eastAsia="Arial" w:hAnsi="Arial"/>
          <w:sz w:val="16"/>
          <w:szCs w:val="16"/>
          <w:color w:val="auto"/>
        </w:rPr>
      </w:pPr>
    </w:p>
    <w:p>
      <w:pPr>
        <w:ind w:left="440" w:firstLine="443"/>
        <w:spacing w:after="0" w:line="289" w:lineRule="auto"/>
        <w:tabs>
          <w:tab w:leader="none" w:pos="1117" w:val="left"/>
        </w:tabs>
        <w:numPr>
          <w:ilvl w:val="1"/>
          <w:numId w:val="22"/>
        </w:numPr>
        <w:rPr>
          <w:rFonts w:ascii="Arial" w:cs="Arial" w:eastAsia="Arial" w:hAnsi="Arial"/>
          <w:sz w:val="16"/>
          <w:szCs w:val="16"/>
          <w:color w:val="auto"/>
        </w:rPr>
      </w:pPr>
      <w:r>
        <w:rPr>
          <w:rFonts w:ascii="Arial" w:cs="Arial" w:eastAsia="Arial" w:hAnsi="Arial"/>
          <w:sz w:val="16"/>
          <w:szCs w:val="16"/>
          <w:color w:val="auto"/>
        </w:rPr>
        <w:t>If, after giving effect to any arrangements for the purchase of the Designated Securities of a defaulting Underwriter or Underwriters by the Representatives and the Company as provided in subsection (a) above, the aggregate principal amount of Designated Securities which remains unpurchased exceeds one-tenth of the aggregate principal amount of the Designated Securities to be purchased at the Time of Delivery, as referred to in subsection (b) above, or if the Company shall not exercise the right described in subsection (b) above to require non-defaulting Underwriters to purchase Designated Securities of a defaulting Underwriter or Underwriters, then, in the case of a failure to purchase Designated Securities at the Time of Delivery, the Pricing Agreement relating to such Designated Securities shall thereupon terminate, without liability on the part of any non-defaulting Underwriter or the Company, except for the expenses to be borne by the Company and the Underwriters as provided in Section 6 hereof and the indemnity and contribution agreements in Section 8 hereof; but nothing herein shall relieve a defaulting Underwriter from liability for its default.</w:t>
      </w:r>
    </w:p>
    <w:p>
      <w:pPr>
        <w:spacing w:after="0" w:line="104" w:lineRule="exact"/>
        <w:rPr>
          <w:rFonts w:ascii="Arial" w:cs="Arial" w:eastAsia="Arial" w:hAnsi="Arial"/>
          <w:sz w:val="16"/>
          <w:szCs w:val="16"/>
          <w:color w:val="auto"/>
        </w:rPr>
      </w:pPr>
    </w:p>
    <w:p>
      <w:pPr>
        <w:ind w:left="-20" w:right="60" w:firstLine="464"/>
        <w:spacing w:after="0" w:line="306" w:lineRule="auto"/>
        <w:tabs>
          <w:tab w:leader="none" w:pos="7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respective indemnities, agreements, representations, warranties and other statements of the Company and the several Underwriters, as set forth in this Agreement or made by or on behalf of them, respectively, pursuant to this Agreement, shall remain in full force and effect, regardless of any investigation (or any statement as to the results thereof) made by or on behalf of any Underwriter or any controlling person of any</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60" w:top="280" w:right="239" w:bottom="1440" w:gutter="0" w:footer="0" w:header="0"/>
        </w:sectPr>
      </w:pPr>
    </w:p>
    <w:bookmarkStart w:id="21" w:name="page22"/>
    <w:bookmarkEnd w:id="2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Underwriter, or the Company, or any officer or trustee or controlling person of the Company, and shall survive delivery of and payment for the Securities.</w:t>
      </w:r>
    </w:p>
    <w:p>
      <w:pPr>
        <w:spacing w:after="0" w:line="181" w:lineRule="exact"/>
        <w:rPr>
          <w:sz w:val="20"/>
          <w:szCs w:val="20"/>
          <w:color w:val="auto"/>
        </w:rPr>
      </w:pPr>
    </w:p>
    <w:p>
      <w:pPr>
        <w:ind w:right="60" w:firstLine="464"/>
        <w:spacing w:after="0" w:line="290" w:lineRule="auto"/>
        <w:tabs>
          <w:tab w:leader="none" w:pos="713" w:val="left"/>
        </w:tabs>
        <w:numPr>
          <w:ilvl w:val="0"/>
          <w:numId w:val="24"/>
        </w:numPr>
        <w:rPr>
          <w:rFonts w:ascii="Arial" w:cs="Arial" w:eastAsia="Arial" w:hAnsi="Arial"/>
          <w:sz w:val="16"/>
          <w:szCs w:val="16"/>
          <w:color w:val="auto"/>
        </w:rPr>
      </w:pPr>
      <w:r>
        <w:rPr>
          <w:rFonts w:ascii="Arial" w:cs="Arial" w:eastAsia="Arial" w:hAnsi="Arial"/>
          <w:sz w:val="16"/>
          <w:szCs w:val="16"/>
          <w:color w:val="auto"/>
        </w:rPr>
        <w:t>If any Pricing Agreement shall be terminated pursuant to Section 9 hereof, the Company shall not then be under any liability to any Underwriter with respect to the Designated Securities covered by such Pricing Agreement except as provided in Section 6 and Section 8 hereof. If this Agreement shall be terminated as a result of any of the conditions set forth in Section 7 (other than clause (i), (iii) or (iv) of Section 7(j) hereto) not being satisfied, the Company will reimburse the Underwriters through the Representatives for all out-of-pocket expenses approved in writing by the Representatives, including reasonable fees and disbursements of counsel, reasonably incurred by the Underwriters in making preparations for the purchase, sale and delivery of such Designated Securities, but the Company shall then be under no further liability to any Underwriter with respect to such Designated Securities except as provided in Section 6 and Section 8 hereof.</w:t>
      </w:r>
    </w:p>
    <w:p>
      <w:pPr>
        <w:spacing w:after="0" w:line="104" w:lineRule="exact"/>
        <w:rPr>
          <w:rFonts w:ascii="Arial" w:cs="Arial" w:eastAsia="Arial" w:hAnsi="Arial"/>
          <w:sz w:val="16"/>
          <w:szCs w:val="16"/>
          <w:color w:val="auto"/>
        </w:rPr>
      </w:pPr>
    </w:p>
    <w:p>
      <w:pPr>
        <w:ind w:right="300" w:firstLine="464"/>
        <w:spacing w:after="0" w:line="306" w:lineRule="auto"/>
        <w:tabs>
          <w:tab w:leader="none" w:pos="7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 all dealings hereunder, the Representatives of the Underwriters of Designated Securities shall act on behalf of each of such Underwriters, and the parties hereto shall be entitled to act and rely upon any statement, request, notice or agreement on behalf of any Underwriter made or given by such Representatives jointly or by such of the Representatives, if any, as may be designated for such purpose in the Pricing Agreement.</w:t>
      </w:r>
    </w:p>
    <w:p>
      <w:pPr>
        <w:spacing w:after="0" w:line="9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All statements, requests, notices and agreements hereunder shall be in writing, and if to the Underwriters shall be delivered or sent by mail, overnight courier, hand delivery or facsimile transmission to the address of the Representatives as set forth in the applicable Pricing Agreement; and if to the Company shall be delivered or sent by mail, overnight courier, hand delivery or facsimile transmission to the address of the Company set forth on the cover of the Registration Statement: Attention: Legal Department; provided, however, that any notice to an Underwriter pursuant to Section 8(c) hereof shall also be delivered or sent by mail, overnight courier, hand delivery or facsimile transmission to such Underwriter at its address set forth in its Underwriters’ Questionnaire, or telex or facsimile transmission constituting such Questionnaire, which address will be supplied to the Company by the Representatives upon request. Any such statements, requests, notices or agreements shall take effect upon receipt thereof.</w:t>
      </w:r>
    </w:p>
    <w:p>
      <w:pPr>
        <w:spacing w:after="0" w:line="105" w:lineRule="exact"/>
        <w:rPr>
          <w:sz w:val="20"/>
          <w:szCs w:val="20"/>
          <w:color w:val="auto"/>
        </w:rPr>
      </w:pPr>
    </w:p>
    <w:p>
      <w:pPr>
        <w:ind w:right="20" w:firstLine="464"/>
        <w:spacing w:after="0" w:line="294" w:lineRule="auto"/>
        <w:tabs>
          <w:tab w:leader="none" w:pos="7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This Agreement and each Pricing Agreement shall be binding upon, and inure solely to the benefit of, the Underwriters, the Company and, to the extent provided in Section 8 and Section 10 hereof, the officers of the Company who signed the Registration Statement, and trustees of the Company and each person who controls the Company or any Underwriter, and their respective heirs, executors, administrators, successors and assigns, and no other person shall acquire or have any right under or by virtue of this Agreement or any such Pricing, Agreement. No purchaser of any of the Securities from any Underwriter shall be deemed a successor or assign by reason merely of such purchase.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80" w:right="259" w:bottom="1440" w:gutter="0" w:footer="0" w:header="0"/>
        </w:sectPr>
      </w:pPr>
    </w:p>
    <w:bookmarkStart w:id="22" w:name="page23"/>
    <w:bookmarkEnd w:id="22"/>
    <w:p>
      <w:pPr>
        <w:ind w:left="-60" w:right="720" w:firstLine="464"/>
        <w:spacing w:after="0" w:line="268"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Time shall be of the essence of each Pricing Agreement. As used herein, “business day” shall mean any day when the Commission’s office in Washington, D.C. is open for business.</w:t>
      </w:r>
    </w:p>
    <w:p>
      <w:pPr>
        <w:spacing w:after="0" w:line="118" w:lineRule="exact"/>
        <w:rPr>
          <w:rFonts w:ascii="Arial" w:cs="Arial" w:eastAsia="Arial" w:hAnsi="Arial"/>
          <w:sz w:val="18"/>
          <w:szCs w:val="18"/>
          <w:color w:val="auto"/>
        </w:rPr>
      </w:pPr>
    </w:p>
    <w:p>
      <w:pPr>
        <w:ind w:left="660" w:hanging="256"/>
        <w:spacing w:after="0"/>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This Agreement and each Pricing Agreement shall be governed by and construed in accordance with the laws of the State of New York.</w:t>
      </w:r>
    </w:p>
    <w:p>
      <w:pPr>
        <w:spacing w:after="0" w:line="180" w:lineRule="exact"/>
        <w:rPr>
          <w:rFonts w:ascii="Arial" w:cs="Arial" w:eastAsia="Arial" w:hAnsi="Arial"/>
          <w:sz w:val="16"/>
          <w:szCs w:val="16"/>
          <w:color w:val="auto"/>
        </w:rPr>
      </w:pPr>
    </w:p>
    <w:p>
      <w:pPr>
        <w:ind w:left="-60" w:firstLine="464"/>
        <w:spacing w:after="0" w:line="332" w:lineRule="auto"/>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This Agreement and each Pricing Agreement may be executed by any one or more of the parties hereto and thereto in any number of counterparts, each of which shall be deemed to be an original, but all such respective counterparts shall together constitute one and the same instrument.</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THIS PAGE INTENTIONALLY LEFT BLANK]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20"/>
          </w:cols>
          <w:pgMar w:left="300" w:top="280" w:right="279" w:bottom="1440" w:gutter="0" w:footer="0" w:header="0"/>
        </w:sectPr>
      </w:pPr>
    </w:p>
    <w:bookmarkStart w:id="23" w:name="page24"/>
    <w:bookmarkEnd w:id="2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the foregoing is in accordance with your understanding, please sign and return this Agreement to us.</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77" w:lineRule="exact"/>
        <w:rPr>
          <w:sz w:val="20"/>
          <w:szCs w:val="20"/>
          <w:color w:val="auto"/>
        </w:rPr>
      </w:pPr>
    </w:p>
    <w:p>
      <w:pPr>
        <w:jc w:val="right"/>
        <w:ind w:right="1760"/>
        <w:spacing w:after="0"/>
        <w:rPr>
          <w:sz w:val="20"/>
          <w:szCs w:val="20"/>
          <w:color w:val="auto"/>
        </w:rPr>
      </w:pPr>
      <w:r>
        <w:rPr>
          <w:rFonts w:ascii="Arial" w:cs="Arial" w:eastAsia="Arial" w:hAnsi="Arial"/>
          <w:sz w:val="18"/>
          <w:szCs w:val="18"/>
          <w:color w:val="auto"/>
        </w:rPr>
        <w:t>F</w:t>
      </w:r>
      <w:r>
        <w:rPr>
          <w:rFonts w:ascii="Arial" w:cs="Arial" w:eastAsia="Arial" w:hAnsi="Arial"/>
          <w:sz w:val="14"/>
          <w:szCs w:val="14"/>
          <w:color w:val="auto"/>
        </w:rPr>
        <w:t>EDERAL</w:t>
      </w:r>
      <w:r>
        <w:rPr>
          <w:rFonts w:ascii="Arial" w:cs="Arial" w:eastAsia="Arial" w:hAnsi="Arial"/>
          <w:sz w:val="18"/>
          <w:szCs w:val="18"/>
          <w:color w:val="auto"/>
        </w:rPr>
        <w:t xml:space="preserve"> R</w:t>
      </w:r>
      <w:r>
        <w:rPr>
          <w:rFonts w:ascii="Arial" w:cs="Arial" w:eastAsia="Arial" w:hAnsi="Arial"/>
          <w:sz w:val="14"/>
          <w:szCs w:val="14"/>
          <w:color w:val="auto"/>
        </w:rPr>
        <w:t>EALTY</w:t>
      </w:r>
      <w:r>
        <w:rPr>
          <w:rFonts w:ascii="Arial" w:cs="Arial" w:eastAsia="Arial" w:hAnsi="Arial"/>
          <w:sz w:val="18"/>
          <w:szCs w:val="18"/>
          <w:color w:val="auto"/>
        </w:rPr>
        <w:t xml:space="preserve"> I</w:t>
      </w:r>
      <w:r>
        <w:rPr>
          <w:rFonts w:ascii="Arial" w:cs="Arial" w:eastAsia="Arial" w:hAnsi="Arial"/>
          <w:sz w:val="14"/>
          <w:szCs w:val="14"/>
          <w:color w:val="auto"/>
        </w:rPr>
        <w:t>NVESTMENT</w:t>
      </w:r>
      <w:r>
        <w:rPr>
          <w:rFonts w:ascii="Arial" w:cs="Arial" w:eastAsia="Arial" w:hAnsi="Arial"/>
          <w:sz w:val="18"/>
          <w:szCs w:val="18"/>
          <w:color w:val="auto"/>
        </w:rPr>
        <w:t xml:space="preserve"> T</w:t>
      </w:r>
      <w:r>
        <w:rPr>
          <w:rFonts w:ascii="Arial" w:cs="Arial" w:eastAsia="Arial" w:hAnsi="Arial"/>
          <w:sz w:val="14"/>
          <w:szCs w:val="14"/>
          <w:color w:val="auto"/>
        </w:rPr>
        <w:t>RUST</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680" w:type="dxa"/>
            <w:vAlign w:val="bottom"/>
            <w:gridSpan w:val="2"/>
          </w:tcPr>
          <w:p>
            <w:pPr>
              <w:spacing w:after="0"/>
              <w:rPr>
                <w:sz w:val="20"/>
                <w:szCs w:val="20"/>
                <w:color w:val="auto"/>
              </w:rPr>
            </w:pPr>
            <w:r>
              <w:rPr>
                <w:rFonts w:ascii="Arial" w:cs="Arial" w:eastAsia="Arial" w:hAnsi="Arial"/>
                <w:sz w:val="18"/>
                <w:szCs w:val="18"/>
                <w:color w:val="auto"/>
              </w:rPr>
              <w:t>By:  /s/</w:t>
            </w:r>
          </w:p>
        </w:tc>
        <w:tc>
          <w:tcPr>
            <w:tcW w:w="3880" w:type="dxa"/>
            <w:vAlign w:val="bottom"/>
          </w:tcPr>
          <w:p>
            <w:pPr>
              <w:ind w:left="40"/>
              <w:spacing w:after="0"/>
              <w:rPr>
                <w:sz w:val="20"/>
                <w:szCs w:val="20"/>
                <w:color w:val="auto"/>
              </w:rPr>
            </w:pPr>
            <w:r>
              <w:rPr>
                <w:rFonts w:ascii="Arial" w:cs="Arial" w:eastAsia="Arial" w:hAnsi="Arial"/>
                <w:sz w:val="18"/>
                <w:szCs w:val="18"/>
                <w:color w:val="auto"/>
              </w:rPr>
              <w:t>Larry E. Finger</w:t>
            </w:r>
          </w:p>
        </w:tc>
      </w:tr>
      <w:tr>
        <w:trPr>
          <w:trHeight w:val="110"/>
        </w:trPr>
        <w:tc>
          <w:tcPr>
            <w:tcW w:w="300" w:type="dxa"/>
            <w:vAlign w:val="bottom"/>
          </w:tcPr>
          <w:p>
            <w:pPr>
              <w:spacing w:after="0"/>
              <w:rPr>
                <w:sz w:val="9"/>
                <w:szCs w:val="9"/>
                <w:color w:val="auto"/>
              </w:rPr>
            </w:pPr>
          </w:p>
        </w:tc>
        <w:tc>
          <w:tcPr>
            <w:tcW w:w="4260" w:type="dxa"/>
            <w:vAlign w:val="bottom"/>
            <w:tcBorders>
              <w:bottom w:val="single" w:sz="8" w:color="auto"/>
            </w:tcBorders>
            <w:gridSpan w:val="2"/>
          </w:tcPr>
          <w:p>
            <w:pPr>
              <w:spacing w:after="0"/>
              <w:rPr>
                <w:sz w:val="9"/>
                <w:szCs w:val="9"/>
                <w:color w:val="auto"/>
              </w:rPr>
            </w:pPr>
          </w:p>
        </w:tc>
      </w:tr>
      <w:tr>
        <w:trPr>
          <w:trHeight w:val="239"/>
        </w:trPr>
        <w:tc>
          <w:tcPr>
            <w:tcW w:w="300" w:type="dxa"/>
            <w:vAlign w:val="bottom"/>
          </w:tcPr>
          <w:p>
            <w:pPr>
              <w:spacing w:after="0"/>
              <w:rPr>
                <w:sz w:val="20"/>
                <w:szCs w:val="20"/>
                <w:color w:val="auto"/>
              </w:rPr>
            </w:pPr>
          </w:p>
        </w:tc>
        <w:tc>
          <w:tcPr>
            <w:tcW w:w="4260" w:type="dxa"/>
            <w:vAlign w:val="bottom"/>
            <w:gridSpan w:val="2"/>
          </w:tcPr>
          <w:p>
            <w:pPr>
              <w:ind w:left="80"/>
              <w:spacing w:after="0"/>
              <w:rPr>
                <w:sz w:val="20"/>
                <w:szCs w:val="20"/>
                <w:color w:val="auto"/>
              </w:rPr>
            </w:pPr>
            <w:r>
              <w:rPr>
                <w:rFonts w:ascii="Arial" w:cs="Arial" w:eastAsia="Arial" w:hAnsi="Arial"/>
                <w:sz w:val="14"/>
                <w:szCs w:val="14"/>
                <w:color w:val="auto"/>
              </w:rPr>
              <w:t>Name:  Larry E. Finger</w:t>
            </w:r>
          </w:p>
        </w:tc>
      </w:tr>
      <w:tr>
        <w:trPr>
          <w:trHeight w:val="149"/>
        </w:trPr>
        <w:tc>
          <w:tcPr>
            <w:tcW w:w="300" w:type="dxa"/>
            <w:vAlign w:val="bottom"/>
          </w:tcPr>
          <w:p>
            <w:pPr>
              <w:spacing w:after="0"/>
              <w:rPr>
                <w:sz w:val="12"/>
                <w:szCs w:val="12"/>
                <w:color w:val="auto"/>
              </w:rPr>
            </w:pPr>
          </w:p>
        </w:tc>
        <w:tc>
          <w:tcPr>
            <w:tcW w:w="380" w:type="dxa"/>
            <w:vAlign w:val="bottom"/>
          </w:tcPr>
          <w:p>
            <w:pPr>
              <w:ind w:left="80"/>
              <w:spacing w:after="0" w:line="149" w:lineRule="exact"/>
              <w:rPr>
                <w:sz w:val="20"/>
                <w:szCs w:val="20"/>
                <w:color w:val="auto"/>
              </w:rPr>
            </w:pPr>
            <w:r>
              <w:rPr>
                <w:rFonts w:ascii="Arial" w:cs="Arial" w:eastAsia="Arial" w:hAnsi="Arial"/>
                <w:sz w:val="14"/>
                <w:szCs w:val="14"/>
                <w:color w:val="auto"/>
                <w:w w:val="92"/>
              </w:rPr>
              <w:t>Title:</w:t>
            </w:r>
          </w:p>
        </w:tc>
        <w:tc>
          <w:tcPr>
            <w:tcW w:w="3880" w:type="dxa"/>
            <w:vAlign w:val="bottom"/>
          </w:tcPr>
          <w:p>
            <w:pPr>
              <w:ind w:left="140"/>
              <w:spacing w:after="0" w:line="149" w:lineRule="exact"/>
              <w:rPr>
                <w:sz w:val="20"/>
                <w:szCs w:val="20"/>
                <w:color w:val="auto"/>
              </w:rPr>
            </w:pPr>
            <w:r>
              <w:rPr>
                <w:rFonts w:ascii="Arial" w:cs="Arial" w:eastAsia="Arial" w:hAnsi="Arial"/>
                <w:sz w:val="14"/>
                <w:szCs w:val="14"/>
                <w:color w:val="auto"/>
              </w:rPr>
              <w:t>Senior Vice President,</w:t>
            </w:r>
          </w:p>
        </w:tc>
      </w:tr>
      <w:tr>
        <w:trPr>
          <w:trHeight w:val="172"/>
        </w:trPr>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80" w:type="dxa"/>
            <w:vAlign w:val="bottom"/>
          </w:tcPr>
          <w:p>
            <w:pPr>
              <w:ind w:left="140"/>
              <w:spacing w:after="0"/>
              <w:rPr>
                <w:sz w:val="20"/>
                <w:szCs w:val="20"/>
                <w:color w:val="auto"/>
              </w:rPr>
            </w:pPr>
            <w:r>
              <w:rPr>
                <w:rFonts w:ascii="Arial" w:cs="Arial" w:eastAsia="Arial" w:hAnsi="Arial"/>
                <w:sz w:val="14"/>
                <w:szCs w:val="14"/>
                <w:color w:val="auto"/>
              </w:rPr>
              <w:t>Chief Financial Officer and Treasurer</w:t>
            </w:r>
          </w:p>
        </w:tc>
      </w:tr>
    </w:tbl>
    <w:p>
      <w:pPr>
        <w:spacing w:after="0" w:line="1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Accepted as of the date hereof:</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ITIGROUP</w:t>
      </w:r>
      <w:r>
        <w:rPr>
          <w:rFonts w:ascii="Arial" w:cs="Arial" w:eastAsia="Arial" w:hAnsi="Arial"/>
          <w:sz w:val="18"/>
          <w:szCs w:val="18"/>
          <w:color w:val="auto"/>
        </w:rPr>
        <w:t xml:space="preserve"> G</w:t>
      </w:r>
      <w:r>
        <w:rPr>
          <w:rFonts w:ascii="Arial" w:cs="Arial" w:eastAsia="Arial" w:hAnsi="Arial"/>
          <w:sz w:val="14"/>
          <w:szCs w:val="14"/>
          <w:color w:val="auto"/>
        </w:rPr>
        <w:t>LOBAL</w:t>
      </w:r>
      <w:r>
        <w:rPr>
          <w:rFonts w:ascii="Arial" w:cs="Arial" w:eastAsia="Arial" w:hAnsi="Arial"/>
          <w:sz w:val="18"/>
          <w:szCs w:val="18"/>
          <w:color w:val="auto"/>
        </w:rPr>
        <w:t xml:space="preserve"> M</w:t>
      </w:r>
      <w:r>
        <w:rPr>
          <w:rFonts w:ascii="Arial" w:cs="Arial" w:eastAsia="Arial" w:hAnsi="Arial"/>
          <w:sz w:val="14"/>
          <w:szCs w:val="14"/>
          <w:color w:val="auto"/>
        </w:rPr>
        <w:t>ARKETS</w:t>
      </w:r>
      <w:r>
        <w:rPr>
          <w:rFonts w:ascii="Arial" w:cs="Arial" w:eastAsia="Arial" w:hAnsi="Arial"/>
          <w:sz w:val="18"/>
          <w:szCs w:val="18"/>
          <w:color w:val="auto"/>
        </w:rPr>
        <w:t xml:space="preserve"> I</w:t>
      </w:r>
      <w:r>
        <w:rPr>
          <w:rFonts w:ascii="Arial" w:cs="Arial" w:eastAsia="Arial" w:hAnsi="Arial"/>
          <w:sz w:val="14"/>
          <w:szCs w:val="14"/>
          <w:color w:val="auto"/>
        </w:rPr>
        <w:t>NC</w:t>
      </w:r>
      <w:r>
        <w:rPr>
          <w:rFonts w:ascii="Arial" w:cs="Arial" w:eastAsia="Arial" w:hAnsi="Arial"/>
          <w:sz w:val="18"/>
          <w:szCs w:val="18"/>
          <w:color w:val="auto"/>
        </w:rPr>
        <w:t>.</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ACHOVIA</w:t>
      </w:r>
      <w:r>
        <w:rPr>
          <w:rFonts w:ascii="Arial" w:cs="Arial" w:eastAsia="Arial" w:hAnsi="Arial"/>
          <w:sz w:val="18"/>
          <w:szCs w:val="18"/>
          <w:color w:val="auto"/>
        </w:rPr>
        <w:t xml:space="preserve"> C</w:t>
      </w:r>
      <w:r>
        <w:rPr>
          <w:rFonts w:ascii="Arial" w:cs="Arial" w:eastAsia="Arial" w:hAnsi="Arial"/>
          <w:sz w:val="14"/>
          <w:szCs w:val="14"/>
          <w:color w:val="auto"/>
        </w:rPr>
        <w:t>APITAL</w:t>
      </w:r>
      <w:r>
        <w:rPr>
          <w:rFonts w:ascii="Arial" w:cs="Arial" w:eastAsia="Arial" w:hAnsi="Arial"/>
          <w:sz w:val="18"/>
          <w:szCs w:val="18"/>
          <w:color w:val="auto"/>
        </w:rPr>
        <w:t xml:space="preserve"> M</w:t>
      </w:r>
      <w:r>
        <w:rPr>
          <w:rFonts w:ascii="Arial" w:cs="Arial" w:eastAsia="Arial" w:hAnsi="Arial"/>
          <w:sz w:val="14"/>
          <w:szCs w:val="14"/>
          <w:color w:val="auto"/>
        </w:rPr>
        <w:t>ARKETS</w:t>
      </w:r>
      <w:r>
        <w:rPr>
          <w:rFonts w:ascii="Arial" w:cs="Arial" w:eastAsia="Arial" w:hAnsi="Arial"/>
          <w:sz w:val="18"/>
          <w:szCs w:val="18"/>
          <w:color w:val="auto"/>
        </w:rPr>
        <w:t>, LLC</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EGG</w:t>
      </w:r>
      <w:r>
        <w:rPr>
          <w:rFonts w:ascii="Arial" w:cs="Arial" w:eastAsia="Arial" w:hAnsi="Arial"/>
          <w:sz w:val="18"/>
          <w:szCs w:val="18"/>
          <w:color w:val="auto"/>
        </w:rPr>
        <w:t xml:space="preserve"> M</w:t>
      </w:r>
      <w:r>
        <w:rPr>
          <w:rFonts w:ascii="Arial" w:cs="Arial" w:eastAsia="Arial" w:hAnsi="Arial"/>
          <w:sz w:val="14"/>
          <w:szCs w:val="14"/>
          <w:color w:val="auto"/>
        </w:rPr>
        <w:t>ASON</w:t>
      </w:r>
      <w:r>
        <w:rPr>
          <w:rFonts w:ascii="Arial" w:cs="Arial" w:eastAsia="Arial" w:hAnsi="Arial"/>
          <w:sz w:val="18"/>
          <w:szCs w:val="18"/>
          <w:color w:val="auto"/>
        </w:rPr>
        <w:t xml:space="preserve"> W</w:t>
      </w:r>
      <w:r>
        <w:rPr>
          <w:rFonts w:ascii="Arial" w:cs="Arial" w:eastAsia="Arial" w:hAnsi="Arial"/>
          <w:sz w:val="14"/>
          <w:szCs w:val="14"/>
          <w:color w:val="auto"/>
        </w:rPr>
        <w:t>OOD</w:t>
      </w:r>
      <w:r>
        <w:rPr>
          <w:rFonts w:ascii="Arial" w:cs="Arial" w:eastAsia="Arial" w:hAnsi="Arial"/>
          <w:sz w:val="18"/>
          <w:szCs w:val="18"/>
          <w:color w:val="auto"/>
        </w:rPr>
        <w:t xml:space="preserve"> W</w:t>
      </w:r>
      <w:r>
        <w:rPr>
          <w:rFonts w:ascii="Arial" w:cs="Arial" w:eastAsia="Arial" w:hAnsi="Arial"/>
          <w:sz w:val="14"/>
          <w:szCs w:val="14"/>
          <w:color w:val="auto"/>
        </w:rPr>
        <w:t>ALKER</w:t>
      </w:r>
      <w:r>
        <w:rPr>
          <w:rFonts w:ascii="Arial" w:cs="Arial" w:eastAsia="Arial" w:hAnsi="Arial"/>
          <w:sz w:val="18"/>
          <w:szCs w:val="18"/>
          <w:color w:val="auto"/>
        </w:rPr>
        <w:t>, I</w:t>
      </w:r>
      <w:r>
        <w:rPr>
          <w:rFonts w:ascii="Arial" w:cs="Arial" w:eastAsia="Arial" w:hAnsi="Arial"/>
          <w:sz w:val="14"/>
          <w:szCs w:val="14"/>
          <w:color w:val="auto"/>
        </w:rPr>
        <w:t>NCORPORATED</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ERRILL</w:t>
      </w:r>
      <w:r>
        <w:rPr>
          <w:rFonts w:ascii="Arial" w:cs="Arial" w:eastAsia="Arial" w:hAnsi="Arial"/>
          <w:sz w:val="18"/>
          <w:szCs w:val="18"/>
          <w:color w:val="auto"/>
        </w:rPr>
        <w:t xml:space="preserve"> L</w:t>
      </w:r>
      <w:r>
        <w:rPr>
          <w:rFonts w:ascii="Arial" w:cs="Arial" w:eastAsia="Arial" w:hAnsi="Arial"/>
          <w:sz w:val="14"/>
          <w:szCs w:val="14"/>
          <w:color w:val="auto"/>
        </w:rPr>
        <w:t>YNCH</w:t>
      </w:r>
      <w:r>
        <w:rPr>
          <w:rFonts w:ascii="Arial" w:cs="Arial" w:eastAsia="Arial" w:hAnsi="Arial"/>
          <w:sz w:val="18"/>
          <w:szCs w:val="18"/>
          <w:color w:val="auto"/>
        </w:rPr>
        <w:t>, P</w:t>
      </w:r>
      <w:r>
        <w:rPr>
          <w:rFonts w:ascii="Arial" w:cs="Arial" w:eastAsia="Arial" w:hAnsi="Arial"/>
          <w:sz w:val="14"/>
          <w:szCs w:val="14"/>
          <w:color w:val="auto"/>
        </w:rPr>
        <w:t>IERCE</w:t>
      </w:r>
      <w:r>
        <w:rPr>
          <w:rFonts w:ascii="Arial" w:cs="Arial" w:eastAsia="Arial" w:hAnsi="Arial"/>
          <w:sz w:val="18"/>
          <w:szCs w:val="18"/>
          <w:color w:val="auto"/>
        </w:rPr>
        <w:t>, F</w:t>
      </w:r>
      <w:r>
        <w:rPr>
          <w:rFonts w:ascii="Arial" w:cs="Arial" w:eastAsia="Arial" w:hAnsi="Arial"/>
          <w:sz w:val="14"/>
          <w:szCs w:val="14"/>
          <w:color w:val="auto"/>
        </w:rPr>
        <w:t>ENNER</w:t>
      </w:r>
      <w:r>
        <w:rPr>
          <w:rFonts w:ascii="Arial" w:cs="Arial" w:eastAsia="Arial" w:hAnsi="Arial"/>
          <w:sz w:val="18"/>
          <w:szCs w:val="18"/>
          <w:color w:val="auto"/>
        </w:rPr>
        <w:t xml:space="preserve"> &amp; S</w:t>
      </w:r>
      <w:r>
        <w:rPr>
          <w:rFonts w:ascii="Arial" w:cs="Arial" w:eastAsia="Arial" w:hAnsi="Arial"/>
          <w:sz w:val="14"/>
          <w:szCs w:val="14"/>
          <w:color w:val="auto"/>
        </w:rPr>
        <w:t>MITH</w:t>
      </w:r>
      <w:r>
        <w:rPr>
          <w:rFonts w:ascii="Arial" w:cs="Arial" w:eastAsia="Arial" w:hAnsi="Arial"/>
          <w:sz w:val="18"/>
          <w:szCs w:val="18"/>
          <w:color w:val="auto"/>
        </w:rPr>
        <w:t xml:space="preserve"> I</w:t>
      </w:r>
      <w:r>
        <w:rPr>
          <w:rFonts w:ascii="Arial" w:cs="Arial" w:eastAsia="Arial" w:hAnsi="Arial"/>
          <w:sz w:val="14"/>
          <w:szCs w:val="14"/>
          <w:color w:val="auto"/>
        </w:rPr>
        <w:t>NCORPORATED</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EAR</w:t>
      </w:r>
      <w:r>
        <w:rPr>
          <w:rFonts w:ascii="Arial" w:cs="Arial" w:eastAsia="Arial" w:hAnsi="Arial"/>
          <w:sz w:val="18"/>
          <w:szCs w:val="18"/>
          <w:color w:val="auto"/>
        </w:rPr>
        <w:t>, S</w:t>
      </w:r>
      <w:r>
        <w:rPr>
          <w:rFonts w:ascii="Arial" w:cs="Arial" w:eastAsia="Arial" w:hAnsi="Arial"/>
          <w:sz w:val="14"/>
          <w:szCs w:val="14"/>
          <w:color w:val="auto"/>
        </w:rPr>
        <w:t>TEARNS</w:t>
      </w:r>
      <w:r>
        <w:rPr>
          <w:rFonts w:ascii="Arial" w:cs="Arial" w:eastAsia="Arial" w:hAnsi="Arial"/>
          <w:sz w:val="18"/>
          <w:szCs w:val="18"/>
          <w:color w:val="auto"/>
        </w:rPr>
        <w:t xml:space="preserve"> &amp; C</w:t>
      </w:r>
      <w:r>
        <w:rPr>
          <w:rFonts w:ascii="Arial" w:cs="Arial" w:eastAsia="Arial" w:hAnsi="Arial"/>
          <w:sz w:val="14"/>
          <w:szCs w:val="14"/>
          <w:color w:val="auto"/>
        </w:rPr>
        <w:t>O</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C</w:t>
      </w:r>
      <w:r>
        <w:rPr>
          <w:rFonts w:ascii="Arial" w:cs="Arial" w:eastAsia="Arial" w:hAnsi="Arial"/>
          <w:sz w:val="18"/>
          <w:szCs w:val="18"/>
          <w:color w:val="auto"/>
        </w:rPr>
        <w:t>D</w:t>
      </w:r>
      <w:r>
        <w:rPr>
          <w:rFonts w:ascii="Arial" w:cs="Arial" w:eastAsia="Arial" w:hAnsi="Arial"/>
          <w:sz w:val="14"/>
          <w:szCs w:val="14"/>
          <w:color w:val="auto"/>
        </w:rPr>
        <w:t>ONALD</w:t>
      </w:r>
      <w:r>
        <w:rPr>
          <w:rFonts w:ascii="Arial" w:cs="Arial" w:eastAsia="Arial" w:hAnsi="Arial"/>
          <w:sz w:val="18"/>
          <w:szCs w:val="18"/>
          <w:color w:val="auto"/>
        </w:rPr>
        <w:t>I</w:t>
      </w:r>
      <w:r>
        <w:rPr>
          <w:rFonts w:ascii="Arial" w:cs="Arial" w:eastAsia="Arial" w:hAnsi="Arial"/>
          <w:sz w:val="14"/>
          <w:szCs w:val="14"/>
          <w:color w:val="auto"/>
        </w:rPr>
        <w:t>NVESTMENTS</w:t>
      </w:r>
      <w:r>
        <w:rPr>
          <w:rFonts w:ascii="Arial" w:cs="Arial" w:eastAsia="Arial" w:hAnsi="Arial"/>
          <w:sz w:val="18"/>
          <w:szCs w:val="18"/>
          <w:color w:val="auto"/>
        </w:rPr>
        <w:t xml:space="preserve"> I</w:t>
      </w:r>
      <w:r>
        <w:rPr>
          <w:rFonts w:ascii="Arial" w:cs="Arial" w:eastAsia="Arial" w:hAnsi="Arial"/>
          <w:sz w:val="14"/>
          <w:szCs w:val="14"/>
          <w:color w:val="auto"/>
        </w:rPr>
        <w:t>NC</w:t>
      </w:r>
      <w:r>
        <w:rPr>
          <w:rFonts w:ascii="Arial" w:cs="Arial" w:eastAsia="Arial" w:hAnsi="Arial"/>
          <w:sz w:val="18"/>
          <w:szCs w:val="18"/>
          <w:color w:val="auto"/>
        </w:rPr>
        <w:t>.</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 Citigroup Global Markets Inc.</w:t>
      </w:r>
    </w:p>
    <w:p>
      <w:pPr>
        <w:spacing w:after="0" w:line="37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By:  /s/</w:t>
      </w:r>
      <w:r>
        <w:rPr>
          <w:sz w:val="20"/>
          <w:szCs w:val="20"/>
          <w:color w:val="auto"/>
        </w:rPr>
        <w:tab/>
      </w:r>
      <w:r>
        <w:rPr>
          <w:rFonts w:ascii="Arial" w:cs="Arial" w:eastAsia="Arial" w:hAnsi="Arial"/>
          <w:sz w:val="15"/>
          <w:szCs w:val="15"/>
          <w:color w:val="auto"/>
        </w:rPr>
        <w:t>Douglas W. Sesler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80010</wp:posOffset>
            </wp:positionV>
            <wp:extent cx="27101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216" w:lineRule="exact"/>
        <w:rPr>
          <w:sz w:val="20"/>
          <w:szCs w:val="20"/>
          <w:color w:val="auto"/>
        </w:rPr>
      </w:pPr>
    </w:p>
    <w:p>
      <w:pPr>
        <w:ind w:left="380"/>
        <w:spacing w:after="0"/>
        <w:rPr>
          <w:sz w:val="20"/>
          <w:szCs w:val="20"/>
          <w:color w:val="auto"/>
        </w:rPr>
      </w:pPr>
      <w:r>
        <w:rPr>
          <w:rFonts w:ascii="Arial" w:cs="Arial" w:eastAsia="Arial" w:hAnsi="Arial"/>
          <w:sz w:val="14"/>
          <w:szCs w:val="14"/>
          <w:color w:val="auto"/>
        </w:rPr>
        <w:t>Name:  Douglas W. Sesler</w:t>
      </w:r>
    </w:p>
    <w:p>
      <w:pPr>
        <w:ind w:left="380"/>
        <w:spacing w:after="0"/>
        <w:tabs>
          <w:tab w:leader="none" w:pos="820" w:val="left"/>
        </w:tabs>
        <w:rPr>
          <w:sz w:val="20"/>
          <w:szCs w:val="20"/>
          <w:color w:val="auto"/>
        </w:rPr>
      </w:pPr>
      <w:r>
        <w:rPr>
          <w:rFonts w:ascii="Arial" w:cs="Arial" w:eastAsia="Arial" w:hAnsi="Arial"/>
          <w:sz w:val="14"/>
          <w:szCs w:val="14"/>
          <w:color w:val="auto"/>
        </w:rPr>
        <w:t>Title:</w:t>
        <w:tab/>
        <w:t>Managing Director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80" w:right="239" w:bottom="1440" w:gutter="0" w:footer="0" w:header="0"/>
        </w:sectPr>
      </w:pPr>
    </w:p>
    <w:bookmarkStart w:id="24" w:name="page25"/>
    <w:bookmarkEnd w:id="24"/>
    <w:p>
      <w:pPr>
        <w:ind w:left="101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A-1</w:t>
      </w:r>
    </w:p>
    <w:p>
      <w:pPr>
        <w:spacing w:after="0" w:line="18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Indenture dated December 13, 1993, related to the Company’s 7.48% Debentures due August 15, 2026; 8 7/8% Senior Notes due January 15, 2000; 8% Notes due April 21, 2002; 6 5/8% Notes due 2005; 6.82% Medium Term Notes due August 1, 2027; 6.74% Medium Term Notes due March 10, 2004; and 6.99% Medium Term Notes due March 10, 2006, filed with the Commission on December 13, 1993 as Exhibit 4(a) to the Company’s Registration Statement on Form S-3 (File No. 33-51029).</w:t>
      </w:r>
    </w:p>
    <w:p>
      <w:pPr>
        <w:spacing w:after="0" w:line="130" w:lineRule="exact"/>
        <w:rPr>
          <w:sz w:val="20"/>
          <w:szCs w:val="20"/>
          <w:color w:val="auto"/>
        </w:rPr>
      </w:pPr>
    </w:p>
    <w:p>
      <w:pPr>
        <w:ind w:right="140"/>
        <w:spacing w:after="0" w:line="228" w:lineRule="auto"/>
        <w:rPr>
          <w:sz w:val="20"/>
          <w:szCs w:val="20"/>
          <w:color w:val="auto"/>
        </w:rPr>
      </w:pPr>
      <w:r>
        <w:rPr>
          <w:rFonts w:ascii="Arial" w:cs="Arial" w:eastAsia="Arial" w:hAnsi="Arial"/>
          <w:sz w:val="18"/>
          <w:szCs w:val="18"/>
          <w:color w:val="auto"/>
        </w:rPr>
        <w:t xml:space="preserve">Indenture dated September 1, 1998 related to the Company’s 6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Notes due November 15, 2007 and 8.75% Notes due December 1, 2009 filed as Exhibit 4(a) to the Company’s Registration Statement on Form S-3 (File No. 333-63619).</w:t>
      </w:r>
    </w:p>
    <w:p>
      <w:pPr>
        <w:spacing w:after="0" w:line="144"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Credit Agreement dated as of October 8, 2003, by and among the Company, as Borrower, The Financial Institutions Party Thereto and Their Assignees Under Section 13.5.(a), as Lenders, Wachovia Capital Markets, LLC as sole Lead Arranger and Administrative Agent, Commerzbank, New York Branch as the sole Syndication Agent, Wells Fargo Bank N.A., Bank One and SunTrust Bank as Documentation Agents, and PNC Real Estate Finance, Eurohypo AG, New York Branch and Fleet National Bank as Managing Agents.</w:t>
      </w:r>
    </w:p>
    <w:p>
      <w:pPr>
        <w:sectPr>
          <w:pgSz w:w="11900" w:h="16838" w:orient="portrait"/>
          <w:cols w:equalWidth="0" w:num="1">
            <w:col w:w="11420"/>
          </w:cols>
          <w:pgMar w:left="240" w:top="274" w:right="239" w:bottom="1440" w:gutter="0" w:footer="0" w:header="0"/>
        </w:sectPr>
      </w:pPr>
    </w:p>
    <w:bookmarkStart w:id="25" w:name="page26"/>
    <w:bookmarkEnd w:id="25"/>
    <w:p>
      <w:pPr>
        <w:ind w:left="106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ANNEX I</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Pricing Agreement</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January 21, 2004</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ITIGROUP</w:t>
      </w:r>
      <w:r>
        <w:rPr>
          <w:rFonts w:ascii="Arial" w:cs="Arial" w:eastAsia="Arial" w:hAnsi="Arial"/>
          <w:sz w:val="18"/>
          <w:szCs w:val="18"/>
          <w:color w:val="auto"/>
        </w:rPr>
        <w:t xml:space="preserve"> G</w:t>
      </w:r>
      <w:r>
        <w:rPr>
          <w:rFonts w:ascii="Arial" w:cs="Arial" w:eastAsia="Arial" w:hAnsi="Arial"/>
          <w:sz w:val="14"/>
          <w:szCs w:val="14"/>
          <w:color w:val="auto"/>
        </w:rPr>
        <w:t>LOBAL</w:t>
      </w:r>
      <w:r>
        <w:rPr>
          <w:rFonts w:ascii="Arial" w:cs="Arial" w:eastAsia="Arial" w:hAnsi="Arial"/>
          <w:sz w:val="18"/>
          <w:szCs w:val="18"/>
          <w:color w:val="auto"/>
        </w:rPr>
        <w:t xml:space="preserve"> M</w:t>
      </w:r>
      <w:r>
        <w:rPr>
          <w:rFonts w:ascii="Arial" w:cs="Arial" w:eastAsia="Arial" w:hAnsi="Arial"/>
          <w:sz w:val="14"/>
          <w:szCs w:val="14"/>
          <w:color w:val="auto"/>
        </w:rPr>
        <w:t>ARKETS</w:t>
      </w:r>
      <w:r>
        <w:rPr>
          <w:rFonts w:ascii="Arial" w:cs="Arial" w:eastAsia="Arial" w:hAnsi="Arial"/>
          <w:sz w:val="18"/>
          <w:szCs w:val="18"/>
          <w:color w:val="auto"/>
        </w:rPr>
        <w:t xml:space="preserve"> I</w:t>
      </w:r>
      <w:r>
        <w:rPr>
          <w:rFonts w:ascii="Arial" w:cs="Arial" w:eastAsia="Arial" w:hAnsi="Arial"/>
          <w:sz w:val="14"/>
          <w:szCs w:val="14"/>
          <w:color w:val="auto"/>
        </w:rPr>
        <w:t>NC</w:t>
      </w:r>
      <w:r>
        <w:rPr>
          <w:rFonts w:ascii="Arial" w:cs="Arial" w:eastAsia="Arial" w:hAnsi="Arial"/>
          <w:sz w:val="18"/>
          <w:szCs w:val="18"/>
          <w:color w:val="auto"/>
        </w:rPr>
        <w:t>.</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ACHOVIA</w:t>
      </w:r>
      <w:r>
        <w:rPr>
          <w:rFonts w:ascii="Arial" w:cs="Arial" w:eastAsia="Arial" w:hAnsi="Arial"/>
          <w:sz w:val="18"/>
          <w:szCs w:val="18"/>
          <w:color w:val="auto"/>
        </w:rPr>
        <w:t xml:space="preserve"> C</w:t>
      </w:r>
      <w:r>
        <w:rPr>
          <w:rFonts w:ascii="Arial" w:cs="Arial" w:eastAsia="Arial" w:hAnsi="Arial"/>
          <w:sz w:val="14"/>
          <w:szCs w:val="14"/>
          <w:color w:val="auto"/>
        </w:rPr>
        <w:t>APITAL</w:t>
      </w:r>
      <w:r>
        <w:rPr>
          <w:rFonts w:ascii="Arial" w:cs="Arial" w:eastAsia="Arial" w:hAnsi="Arial"/>
          <w:sz w:val="18"/>
          <w:szCs w:val="18"/>
          <w:color w:val="auto"/>
        </w:rPr>
        <w:t xml:space="preserve"> M</w:t>
      </w:r>
      <w:r>
        <w:rPr>
          <w:rFonts w:ascii="Arial" w:cs="Arial" w:eastAsia="Arial" w:hAnsi="Arial"/>
          <w:sz w:val="14"/>
          <w:szCs w:val="14"/>
          <w:color w:val="auto"/>
        </w:rPr>
        <w:t>ARKETS</w:t>
      </w:r>
      <w:r>
        <w:rPr>
          <w:rFonts w:ascii="Arial" w:cs="Arial" w:eastAsia="Arial" w:hAnsi="Arial"/>
          <w:sz w:val="18"/>
          <w:szCs w:val="18"/>
          <w:color w:val="auto"/>
        </w:rPr>
        <w:t>, LLC</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EGG</w:t>
      </w:r>
      <w:r>
        <w:rPr>
          <w:rFonts w:ascii="Arial" w:cs="Arial" w:eastAsia="Arial" w:hAnsi="Arial"/>
          <w:sz w:val="18"/>
          <w:szCs w:val="18"/>
          <w:color w:val="auto"/>
        </w:rPr>
        <w:t xml:space="preserve"> M</w:t>
      </w:r>
      <w:r>
        <w:rPr>
          <w:rFonts w:ascii="Arial" w:cs="Arial" w:eastAsia="Arial" w:hAnsi="Arial"/>
          <w:sz w:val="14"/>
          <w:szCs w:val="14"/>
          <w:color w:val="auto"/>
        </w:rPr>
        <w:t>ASON</w:t>
      </w:r>
      <w:r>
        <w:rPr>
          <w:rFonts w:ascii="Arial" w:cs="Arial" w:eastAsia="Arial" w:hAnsi="Arial"/>
          <w:sz w:val="18"/>
          <w:szCs w:val="18"/>
          <w:color w:val="auto"/>
        </w:rPr>
        <w:t xml:space="preserve"> W</w:t>
      </w:r>
      <w:r>
        <w:rPr>
          <w:rFonts w:ascii="Arial" w:cs="Arial" w:eastAsia="Arial" w:hAnsi="Arial"/>
          <w:sz w:val="14"/>
          <w:szCs w:val="14"/>
          <w:color w:val="auto"/>
        </w:rPr>
        <w:t>OOD</w:t>
      </w:r>
      <w:r>
        <w:rPr>
          <w:rFonts w:ascii="Arial" w:cs="Arial" w:eastAsia="Arial" w:hAnsi="Arial"/>
          <w:sz w:val="18"/>
          <w:szCs w:val="18"/>
          <w:color w:val="auto"/>
        </w:rPr>
        <w:t xml:space="preserve"> W</w:t>
      </w:r>
      <w:r>
        <w:rPr>
          <w:rFonts w:ascii="Arial" w:cs="Arial" w:eastAsia="Arial" w:hAnsi="Arial"/>
          <w:sz w:val="14"/>
          <w:szCs w:val="14"/>
          <w:color w:val="auto"/>
        </w:rPr>
        <w:t>ALKER</w:t>
      </w:r>
      <w:r>
        <w:rPr>
          <w:rFonts w:ascii="Arial" w:cs="Arial" w:eastAsia="Arial" w:hAnsi="Arial"/>
          <w:sz w:val="18"/>
          <w:szCs w:val="18"/>
          <w:color w:val="auto"/>
        </w:rPr>
        <w:t>, I</w:t>
      </w:r>
      <w:r>
        <w:rPr>
          <w:rFonts w:ascii="Arial" w:cs="Arial" w:eastAsia="Arial" w:hAnsi="Arial"/>
          <w:sz w:val="14"/>
          <w:szCs w:val="14"/>
          <w:color w:val="auto"/>
        </w:rPr>
        <w:t>NCORPORATED</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ERRILL</w:t>
      </w:r>
      <w:r>
        <w:rPr>
          <w:rFonts w:ascii="Arial" w:cs="Arial" w:eastAsia="Arial" w:hAnsi="Arial"/>
          <w:sz w:val="18"/>
          <w:szCs w:val="18"/>
          <w:color w:val="auto"/>
        </w:rPr>
        <w:t xml:space="preserve"> L</w:t>
      </w:r>
      <w:r>
        <w:rPr>
          <w:rFonts w:ascii="Arial" w:cs="Arial" w:eastAsia="Arial" w:hAnsi="Arial"/>
          <w:sz w:val="14"/>
          <w:szCs w:val="14"/>
          <w:color w:val="auto"/>
        </w:rPr>
        <w:t>YNCH</w:t>
      </w:r>
      <w:r>
        <w:rPr>
          <w:rFonts w:ascii="Arial" w:cs="Arial" w:eastAsia="Arial" w:hAnsi="Arial"/>
          <w:sz w:val="18"/>
          <w:szCs w:val="18"/>
          <w:color w:val="auto"/>
        </w:rPr>
        <w:t>, P</w:t>
      </w:r>
      <w:r>
        <w:rPr>
          <w:rFonts w:ascii="Arial" w:cs="Arial" w:eastAsia="Arial" w:hAnsi="Arial"/>
          <w:sz w:val="14"/>
          <w:szCs w:val="14"/>
          <w:color w:val="auto"/>
        </w:rPr>
        <w:t>IERCE</w:t>
      </w:r>
      <w:r>
        <w:rPr>
          <w:rFonts w:ascii="Arial" w:cs="Arial" w:eastAsia="Arial" w:hAnsi="Arial"/>
          <w:sz w:val="18"/>
          <w:szCs w:val="18"/>
          <w:color w:val="auto"/>
        </w:rPr>
        <w:t>, F</w:t>
      </w:r>
      <w:r>
        <w:rPr>
          <w:rFonts w:ascii="Arial" w:cs="Arial" w:eastAsia="Arial" w:hAnsi="Arial"/>
          <w:sz w:val="14"/>
          <w:szCs w:val="14"/>
          <w:color w:val="auto"/>
        </w:rPr>
        <w:t>ENNER</w:t>
      </w:r>
      <w:r>
        <w:rPr>
          <w:rFonts w:ascii="Arial" w:cs="Arial" w:eastAsia="Arial" w:hAnsi="Arial"/>
          <w:sz w:val="18"/>
          <w:szCs w:val="18"/>
          <w:color w:val="auto"/>
        </w:rPr>
        <w:t xml:space="preserve"> &amp; S</w:t>
      </w:r>
      <w:r>
        <w:rPr>
          <w:rFonts w:ascii="Arial" w:cs="Arial" w:eastAsia="Arial" w:hAnsi="Arial"/>
          <w:sz w:val="14"/>
          <w:szCs w:val="14"/>
          <w:color w:val="auto"/>
        </w:rPr>
        <w:t>MITH</w:t>
      </w:r>
      <w:r>
        <w:rPr>
          <w:rFonts w:ascii="Arial" w:cs="Arial" w:eastAsia="Arial" w:hAnsi="Arial"/>
          <w:sz w:val="18"/>
          <w:szCs w:val="18"/>
          <w:color w:val="auto"/>
        </w:rPr>
        <w:t xml:space="preserve"> I</w:t>
      </w:r>
      <w:r>
        <w:rPr>
          <w:rFonts w:ascii="Arial" w:cs="Arial" w:eastAsia="Arial" w:hAnsi="Arial"/>
          <w:sz w:val="14"/>
          <w:szCs w:val="14"/>
          <w:color w:val="auto"/>
        </w:rPr>
        <w:t>NCORPORATED</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EAR</w:t>
      </w:r>
      <w:r>
        <w:rPr>
          <w:rFonts w:ascii="Arial" w:cs="Arial" w:eastAsia="Arial" w:hAnsi="Arial"/>
          <w:sz w:val="18"/>
          <w:szCs w:val="18"/>
          <w:color w:val="auto"/>
        </w:rPr>
        <w:t>, S</w:t>
      </w:r>
      <w:r>
        <w:rPr>
          <w:rFonts w:ascii="Arial" w:cs="Arial" w:eastAsia="Arial" w:hAnsi="Arial"/>
          <w:sz w:val="14"/>
          <w:szCs w:val="14"/>
          <w:color w:val="auto"/>
        </w:rPr>
        <w:t>TEARNS</w:t>
      </w:r>
      <w:r>
        <w:rPr>
          <w:rFonts w:ascii="Arial" w:cs="Arial" w:eastAsia="Arial" w:hAnsi="Arial"/>
          <w:sz w:val="18"/>
          <w:szCs w:val="18"/>
          <w:color w:val="auto"/>
        </w:rPr>
        <w:t xml:space="preserve"> &amp; C</w:t>
      </w:r>
      <w:r>
        <w:rPr>
          <w:rFonts w:ascii="Arial" w:cs="Arial" w:eastAsia="Arial" w:hAnsi="Arial"/>
          <w:sz w:val="14"/>
          <w:szCs w:val="14"/>
          <w:color w:val="auto"/>
        </w:rPr>
        <w:t>O</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C</w:t>
      </w:r>
      <w:r>
        <w:rPr>
          <w:rFonts w:ascii="Arial" w:cs="Arial" w:eastAsia="Arial" w:hAnsi="Arial"/>
          <w:sz w:val="18"/>
          <w:szCs w:val="18"/>
          <w:color w:val="auto"/>
        </w:rPr>
        <w:t>D</w:t>
      </w:r>
      <w:r>
        <w:rPr>
          <w:rFonts w:ascii="Arial" w:cs="Arial" w:eastAsia="Arial" w:hAnsi="Arial"/>
          <w:sz w:val="14"/>
          <w:szCs w:val="14"/>
          <w:color w:val="auto"/>
        </w:rPr>
        <w:t>ONALD</w:t>
      </w:r>
      <w:r>
        <w:rPr>
          <w:rFonts w:ascii="Arial" w:cs="Arial" w:eastAsia="Arial" w:hAnsi="Arial"/>
          <w:sz w:val="18"/>
          <w:szCs w:val="18"/>
          <w:color w:val="auto"/>
        </w:rPr>
        <w:t xml:space="preserve"> I</w:t>
      </w:r>
      <w:r>
        <w:rPr>
          <w:rFonts w:ascii="Arial" w:cs="Arial" w:eastAsia="Arial" w:hAnsi="Arial"/>
          <w:sz w:val="14"/>
          <w:szCs w:val="14"/>
          <w:color w:val="auto"/>
        </w:rPr>
        <w:t>NVESTMENTS</w:t>
      </w:r>
      <w:r>
        <w:rPr>
          <w:rFonts w:ascii="Arial" w:cs="Arial" w:eastAsia="Arial" w:hAnsi="Arial"/>
          <w:sz w:val="18"/>
          <w:szCs w:val="18"/>
          <w:color w:val="auto"/>
        </w:rPr>
        <w:t xml:space="preserve"> I</w:t>
      </w:r>
      <w:r>
        <w:rPr>
          <w:rFonts w:ascii="Arial" w:cs="Arial" w:eastAsia="Arial" w:hAnsi="Arial"/>
          <w:sz w:val="14"/>
          <w:szCs w:val="14"/>
          <w:color w:val="auto"/>
        </w:rPr>
        <w:t>NC</w:t>
      </w:r>
      <w:r>
        <w:rPr>
          <w:rFonts w:ascii="Arial" w:cs="Arial" w:eastAsia="Arial" w:hAnsi="Arial"/>
          <w:sz w:val="18"/>
          <w:szCs w:val="18"/>
          <w:color w:val="auto"/>
        </w:rPr>
        <w:t>.</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c/o Citigroup Global Markets Inc.</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New York, New York 10013</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58" w:lineRule="exact"/>
        <w:rPr>
          <w:sz w:val="20"/>
          <w:szCs w:val="20"/>
          <w:color w:val="auto"/>
        </w:rPr>
      </w:pPr>
    </w:p>
    <w:p>
      <w:pPr>
        <w:ind w:right="60" w:firstLine="456"/>
        <w:spacing w:after="0" w:line="285" w:lineRule="auto"/>
        <w:rPr>
          <w:sz w:val="20"/>
          <w:szCs w:val="20"/>
          <w:color w:val="auto"/>
        </w:rPr>
      </w:pPr>
      <w:r>
        <w:rPr>
          <w:rFonts w:ascii="Arial" w:cs="Arial" w:eastAsia="Arial" w:hAnsi="Arial"/>
          <w:sz w:val="16"/>
          <w:szCs w:val="16"/>
          <w:color w:val="auto"/>
        </w:rPr>
        <w:t>Federal Realty Investment Trust, a Maryland real estate investment trust (the “Company”), proposes, subject to the terms and conditions stated herein and in the Underwriting Agreement, dated January 21, 2004 (the “Underwriting Agreement”), between the Company on the one hand and Citigroup Global Markets Inc., Wachovia Capital Markets, LLC, Legg Mason Wood Walker, Incorporated, Merrill Lynch, Pierce, Fenner &amp; Smith Incorporated, Bear, Stearns &amp; Co. Inc. and McDonald Investments Inc. on the other hand, to issue and sell to the Underwriters named in Schedule I hereto (the “Underwriters”) the Securities specified in Schedules II hereto (the “Designated Securities”). Each of the provisions of the Underwriting Agreement is incorporated herein by reference in its entirety, and shall be deemed to be a part of this Pricing Agreement to the same extent as if such provisions had been set forth in full herein; and each of the representations and warranties set forth therein shall be deemed to have been made at and as of the date of this Pricing Agreement, except that each representation and warranty which refers to the Prospectus in Section 2 of the Underwriting Agreement shall be deemed to be a representation or warranty as of the date of the Underwriting Agreement in relation to the Prospectus (as therein defined), and also a representation and warranty as of the date of this Pricing Agreement in relation to the Prospectus as amended or supplemented relating to the Designated Securities which are the subject of this Pricing Agreement. Each reference to the Representatives herein and in the provisions of the Underwriting Agreement so incorporated by reference shall be deemed to refer to you. Unless otherwise defined herein, terms defined in the Underwriting Agreement are used herein as therein defined. The Representative designated to act on behalf of the Representatives pursuant to Section 12 of the Underwriting Agreement is Citigroup Global Markets Inc., and the Representatives designated to act on behalf of each of the Underwriters of the Designated Securities pursuant to Section 12 of the</w:t>
      </w:r>
    </w:p>
    <w:p>
      <w:pPr>
        <w:sectPr>
          <w:pgSz w:w="11900" w:h="16838" w:orient="portrait"/>
          <w:cols w:equalWidth="0" w:num="1">
            <w:col w:w="11420"/>
          </w:cols>
          <w:pgMar w:left="240" w:top="274"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Underwriting Agreement and the address of the Representatives referred to in such Section 12 are set forth in Schedule II hereto.</w:t>
      </w:r>
    </w:p>
    <w:p>
      <w:pPr>
        <w:spacing w:after="0" w:line="158"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An amendment to the Registration Statement, or a supplement to the Prospectus, as the case may be, relating to the Designated Securities, in the form heretofore delivered to you, is now proposed to be filed with the Commission.</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Subject to the terms and conditions set forth herein and in the Underwriting Agreement incorporated herein by reference, the Company agrees to issue and sell to each of the Underwriters, and each of the Underwriters agrees, severally and not jointly, to purchase from the Company, at the Time of Delivery and place and at the purchase price to the Underwriters set forth in Schedule II hereto, the principal amount of Designated Securities (as defined in Schedule II hereto) set forth opposite the name of such Underwriter in Schedule I hereto.</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obligations of the Underwriters under this Pricing Agreement and the Underwriting Agreement incorporated herein are several and not joint.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Pricing Agreement shall be governed by and construed in accordance with the laws of the State of New York.</w:t>
      </w:r>
    </w:p>
    <w:p>
      <w:pPr>
        <w:spacing w:after="0" w:line="158"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[REMAINDER OF THIS PAGE INTENTIONALLY LEFT BLANK]</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20"/>
          </w:cols>
          <w:pgMar w:left="240" w:top="280" w:right="339" w:bottom="1440" w:gutter="0" w:footer="0" w:header="0"/>
        </w:sectPr>
      </w:pPr>
    </w:p>
    <w:bookmarkStart w:id="27" w:name="page28"/>
    <w:bookmarkEnd w:id="27"/>
    <w:p>
      <w:pPr>
        <w:jc w:val="both"/>
        <w:ind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the foregoing is in accordance with your understanding, please sign and return this Pricing Agreement to us, and upon acceptance hereof by you, on behalf of each of the Underwriters, this Pricing Agreement and such acceptance hereof, including the provisions of the Underwriting Agreement incorporated herein by reference, shall constitute a binding agreement between each of the Underwriters and the Company.</w:t>
      </w:r>
    </w:p>
    <w:p>
      <w:pPr>
        <w:spacing w:after="0" w:line="9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7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w:t>
      </w:r>
      <w:r>
        <w:rPr>
          <w:rFonts w:ascii="Arial" w:cs="Arial" w:eastAsia="Arial" w:hAnsi="Arial"/>
          <w:sz w:val="14"/>
          <w:szCs w:val="14"/>
          <w:color w:val="auto"/>
        </w:rPr>
        <w:t>EDERAL</w:t>
      </w:r>
      <w:r>
        <w:rPr>
          <w:rFonts w:ascii="Arial" w:cs="Arial" w:eastAsia="Arial" w:hAnsi="Arial"/>
          <w:sz w:val="18"/>
          <w:szCs w:val="18"/>
          <w:color w:val="auto"/>
        </w:rPr>
        <w:t xml:space="preserve"> R</w:t>
      </w:r>
      <w:r>
        <w:rPr>
          <w:rFonts w:ascii="Arial" w:cs="Arial" w:eastAsia="Arial" w:hAnsi="Arial"/>
          <w:sz w:val="14"/>
          <w:szCs w:val="14"/>
          <w:color w:val="auto"/>
        </w:rPr>
        <w:t>EALTY</w:t>
      </w:r>
      <w:r>
        <w:rPr>
          <w:rFonts w:ascii="Arial" w:cs="Arial" w:eastAsia="Arial" w:hAnsi="Arial"/>
          <w:sz w:val="18"/>
          <w:szCs w:val="18"/>
          <w:color w:val="auto"/>
        </w:rPr>
        <w:t xml:space="preserve"> I</w:t>
      </w:r>
      <w:r>
        <w:rPr>
          <w:rFonts w:ascii="Arial" w:cs="Arial" w:eastAsia="Arial" w:hAnsi="Arial"/>
          <w:sz w:val="14"/>
          <w:szCs w:val="14"/>
          <w:color w:val="auto"/>
        </w:rPr>
        <w:t>NVESTMENT</w:t>
      </w:r>
      <w:r>
        <w:rPr>
          <w:rFonts w:ascii="Arial" w:cs="Arial" w:eastAsia="Arial" w:hAnsi="Arial"/>
          <w:sz w:val="18"/>
          <w:szCs w:val="18"/>
          <w:color w:val="auto"/>
        </w:rPr>
        <w:t xml:space="preserve"> T</w:t>
      </w:r>
      <w:r>
        <w:rPr>
          <w:rFonts w:ascii="Arial" w:cs="Arial" w:eastAsia="Arial" w:hAnsi="Arial"/>
          <w:sz w:val="14"/>
          <w:szCs w:val="14"/>
          <w:color w:val="auto"/>
        </w:rPr>
        <w:t>RUST</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80010</wp:posOffset>
            </wp:positionV>
            <wp:extent cx="265874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16" w:lineRule="exact"/>
        <w:rPr>
          <w:sz w:val="20"/>
          <w:szCs w:val="20"/>
          <w:color w:val="auto"/>
        </w:rPr>
      </w:pPr>
    </w:p>
    <w:p>
      <w:pPr>
        <w:ind w:left="7320"/>
        <w:spacing w:after="0"/>
        <w:rPr>
          <w:sz w:val="20"/>
          <w:szCs w:val="20"/>
          <w:color w:val="auto"/>
        </w:rPr>
      </w:pPr>
      <w:r>
        <w:rPr>
          <w:rFonts w:ascii="Arial" w:cs="Arial" w:eastAsia="Arial" w:hAnsi="Arial"/>
          <w:sz w:val="14"/>
          <w:szCs w:val="14"/>
          <w:color w:val="auto"/>
        </w:rPr>
        <w:t>Name:</w:t>
      </w:r>
    </w:p>
    <w:p>
      <w:pPr>
        <w:ind w:left="7320"/>
        <w:spacing w:after="0"/>
        <w:rPr>
          <w:sz w:val="20"/>
          <w:szCs w:val="20"/>
          <w:color w:val="auto"/>
        </w:rPr>
      </w:pPr>
      <w:r>
        <w:rPr>
          <w:rFonts w:ascii="Arial" w:cs="Arial" w:eastAsia="Arial" w:hAnsi="Arial"/>
          <w:sz w:val="14"/>
          <w:szCs w:val="14"/>
          <w:color w:val="auto"/>
        </w:rPr>
        <w:t>Title:</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Accepted as of the date hereof:</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ITIGROUP</w:t>
      </w:r>
      <w:r>
        <w:rPr>
          <w:rFonts w:ascii="Arial" w:cs="Arial" w:eastAsia="Arial" w:hAnsi="Arial"/>
          <w:sz w:val="18"/>
          <w:szCs w:val="18"/>
          <w:color w:val="auto"/>
        </w:rPr>
        <w:t xml:space="preserve"> G</w:t>
      </w:r>
      <w:r>
        <w:rPr>
          <w:rFonts w:ascii="Arial" w:cs="Arial" w:eastAsia="Arial" w:hAnsi="Arial"/>
          <w:sz w:val="14"/>
          <w:szCs w:val="14"/>
          <w:color w:val="auto"/>
        </w:rPr>
        <w:t>LOBAL</w:t>
      </w:r>
      <w:r>
        <w:rPr>
          <w:rFonts w:ascii="Arial" w:cs="Arial" w:eastAsia="Arial" w:hAnsi="Arial"/>
          <w:sz w:val="18"/>
          <w:szCs w:val="18"/>
          <w:color w:val="auto"/>
        </w:rPr>
        <w:t xml:space="preserve"> M</w:t>
      </w:r>
      <w:r>
        <w:rPr>
          <w:rFonts w:ascii="Arial" w:cs="Arial" w:eastAsia="Arial" w:hAnsi="Arial"/>
          <w:sz w:val="14"/>
          <w:szCs w:val="14"/>
          <w:color w:val="auto"/>
        </w:rPr>
        <w:t>ARKETS</w:t>
      </w:r>
      <w:r>
        <w:rPr>
          <w:rFonts w:ascii="Arial" w:cs="Arial" w:eastAsia="Arial" w:hAnsi="Arial"/>
          <w:sz w:val="18"/>
          <w:szCs w:val="18"/>
          <w:color w:val="auto"/>
        </w:rPr>
        <w:t xml:space="preserve"> I</w:t>
      </w:r>
      <w:r>
        <w:rPr>
          <w:rFonts w:ascii="Arial" w:cs="Arial" w:eastAsia="Arial" w:hAnsi="Arial"/>
          <w:sz w:val="14"/>
          <w:szCs w:val="14"/>
          <w:color w:val="auto"/>
        </w:rPr>
        <w:t>NC</w:t>
      </w:r>
      <w:r>
        <w:rPr>
          <w:rFonts w:ascii="Arial" w:cs="Arial" w:eastAsia="Arial" w:hAnsi="Arial"/>
          <w:sz w:val="18"/>
          <w:szCs w:val="18"/>
          <w:color w:val="auto"/>
        </w:rPr>
        <w:t>.</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ACHOVIA</w:t>
      </w:r>
      <w:r>
        <w:rPr>
          <w:rFonts w:ascii="Arial" w:cs="Arial" w:eastAsia="Arial" w:hAnsi="Arial"/>
          <w:sz w:val="18"/>
          <w:szCs w:val="18"/>
          <w:color w:val="auto"/>
        </w:rPr>
        <w:t xml:space="preserve"> C</w:t>
      </w:r>
      <w:r>
        <w:rPr>
          <w:rFonts w:ascii="Arial" w:cs="Arial" w:eastAsia="Arial" w:hAnsi="Arial"/>
          <w:sz w:val="14"/>
          <w:szCs w:val="14"/>
          <w:color w:val="auto"/>
        </w:rPr>
        <w:t>APITAL</w:t>
      </w:r>
      <w:r>
        <w:rPr>
          <w:rFonts w:ascii="Arial" w:cs="Arial" w:eastAsia="Arial" w:hAnsi="Arial"/>
          <w:sz w:val="18"/>
          <w:szCs w:val="18"/>
          <w:color w:val="auto"/>
        </w:rPr>
        <w:t xml:space="preserve"> M</w:t>
      </w:r>
      <w:r>
        <w:rPr>
          <w:rFonts w:ascii="Arial" w:cs="Arial" w:eastAsia="Arial" w:hAnsi="Arial"/>
          <w:sz w:val="14"/>
          <w:szCs w:val="14"/>
          <w:color w:val="auto"/>
        </w:rPr>
        <w:t>ARKETS</w:t>
      </w:r>
      <w:r>
        <w:rPr>
          <w:rFonts w:ascii="Arial" w:cs="Arial" w:eastAsia="Arial" w:hAnsi="Arial"/>
          <w:sz w:val="18"/>
          <w:szCs w:val="18"/>
          <w:color w:val="auto"/>
        </w:rPr>
        <w:t>, LLC</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EGG</w:t>
      </w:r>
      <w:r>
        <w:rPr>
          <w:rFonts w:ascii="Arial" w:cs="Arial" w:eastAsia="Arial" w:hAnsi="Arial"/>
          <w:sz w:val="18"/>
          <w:szCs w:val="18"/>
          <w:color w:val="auto"/>
        </w:rPr>
        <w:t xml:space="preserve"> M</w:t>
      </w:r>
      <w:r>
        <w:rPr>
          <w:rFonts w:ascii="Arial" w:cs="Arial" w:eastAsia="Arial" w:hAnsi="Arial"/>
          <w:sz w:val="14"/>
          <w:szCs w:val="14"/>
          <w:color w:val="auto"/>
        </w:rPr>
        <w:t>ASON</w:t>
      </w:r>
      <w:r>
        <w:rPr>
          <w:rFonts w:ascii="Arial" w:cs="Arial" w:eastAsia="Arial" w:hAnsi="Arial"/>
          <w:sz w:val="18"/>
          <w:szCs w:val="18"/>
          <w:color w:val="auto"/>
        </w:rPr>
        <w:t xml:space="preserve"> W</w:t>
      </w:r>
      <w:r>
        <w:rPr>
          <w:rFonts w:ascii="Arial" w:cs="Arial" w:eastAsia="Arial" w:hAnsi="Arial"/>
          <w:sz w:val="14"/>
          <w:szCs w:val="14"/>
          <w:color w:val="auto"/>
        </w:rPr>
        <w:t>OOD</w:t>
      </w:r>
      <w:r>
        <w:rPr>
          <w:rFonts w:ascii="Arial" w:cs="Arial" w:eastAsia="Arial" w:hAnsi="Arial"/>
          <w:sz w:val="18"/>
          <w:szCs w:val="18"/>
          <w:color w:val="auto"/>
        </w:rPr>
        <w:t xml:space="preserve"> W</w:t>
      </w:r>
      <w:r>
        <w:rPr>
          <w:rFonts w:ascii="Arial" w:cs="Arial" w:eastAsia="Arial" w:hAnsi="Arial"/>
          <w:sz w:val="14"/>
          <w:szCs w:val="14"/>
          <w:color w:val="auto"/>
        </w:rPr>
        <w:t>ALKER</w:t>
      </w:r>
      <w:r>
        <w:rPr>
          <w:rFonts w:ascii="Arial" w:cs="Arial" w:eastAsia="Arial" w:hAnsi="Arial"/>
          <w:sz w:val="18"/>
          <w:szCs w:val="18"/>
          <w:color w:val="auto"/>
        </w:rPr>
        <w:t>, I</w:t>
      </w:r>
      <w:r>
        <w:rPr>
          <w:rFonts w:ascii="Arial" w:cs="Arial" w:eastAsia="Arial" w:hAnsi="Arial"/>
          <w:sz w:val="14"/>
          <w:szCs w:val="14"/>
          <w:color w:val="auto"/>
        </w:rPr>
        <w:t>NCORPORATED</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ERRILL</w:t>
      </w:r>
      <w:r>
        <w:rPr>
          <w:rFonts w:ascii="Arial" w:cs="Arial" w:eastAsia="Arial" w:hAnsi="Arial"/>
          <w:sz w:val="18"/>
          <w:szCs w:val="18"/>
          <w:color w:val="auto"/>
        </w:rPr>
        <w:t xml:space="preserve"> L</w:t>
      </w:r>
      <w:r>
        <w:rPr>
          <w:rFonts w:ascii="Arial" w:cs="Arial" w:eastAsia="Arial" w:hAnsi="Arial"/>
          <w:sz w:val="14"/>
          <w:szCs w:val="14"/>
          <w:color w:val="auto"/>
        </w:rPr>
        <w:t>YNCH</w:t>
      </w:r>
      <w:r>
        <w:rPr>
          <w:rFonts w:ascii="Arial" w:cs="Arial" w:eastAsia="Arial" w:hAnsi="Arial"/>
          <w:sz w:val="18"/>
          <w:szCs w:val="18"/>
          <w:color w:val="auto"/>
        </w:rPr>
        <w:t>, P</w:t>
      </w:r>
      <w:r>
        <w:rPr>
          <w:rFonts w:ascii="Arial" w:cs="Arial" w:eastAsia="Arial" w:hAnsi="Arial"/>
          <w:sz w:val="14"/>
          <w:szCs w:val="14"/>
          <w:color w:val="auto"/>
        </w:rPr>
        <w:t>IERCE</w:t>
      </w:r>
      <w:r>
        <w:rPr>
          <w:rFonts w:ascii="Arial" w:cs="Arial" w:eastAsia="Arial" w:hAnsi="Arial"/>
          <w:sz w:val="18"/>
          <w:szCs w:val="18"/>
          <w:color w:val="auto"/>
        </w:rPr>
        <w:t>, F</w:t>
      </w:r>
      <w:r>
        <w:rPr>
          <w:rFonts w:ascii="Arial" w:cs="Arial" w:eastAsia="Arial" w:hAnsi="Arial"/>
          <w:sz w:val="14"/>
          <w:szCs w:val="14"/>
          <w:color w:val="auto"/>
        </w:rPr>
        <w:t>ENNER</w:t>
      </w:r>
      <w:r>
        <w:rPr>
          <w:rFonts w:ascii="Arial" w:cs="Arial" w:eastAsia="Arial" w:hAnsi="Arial"/>
          <w:sz w:val="18"/>
          <w:szCs w:val="18"/>
          <w:color w:val="auto"/>
        </w:rPr>
        <w:t xml:space="preserve"> &amp; S</w:t>
      </w:r>
      <w:r>
        <w:rPr>
          <w:rFonts w:ascii="Arial" w:cs="Arial" w:eastAsia="Arial" w:hAnsi="Arial"/>
          <w:sz w:val="14"/>
          <w:szCs w:val="14"/>
          <w:color w:val="auto"/>
        </w:rPr>
        <w:t>MITH</w:t>
      </w:r>
      <w:r>
        <w:rPr>
          <w:rFonts w:ascii="Arial" w:cs="Arial" w:eastAsia="Arial" w:hAnsi="Arial"/>
          <w:sz w:val="18"/>
          <w:szCs w:val="18"/>
          <w:color w:val="auto"/>
        </w:rPr>
        <w:t xml:space="preserve"> I</w:t>
      </w:r>
      <w:r>
        <w:rPr>
          <w:rFonts w:ascii="Arial" w:cs="Arial" w:eastAsia="Arial" w:hAnsi="Arial"/>
          <w:sz w:val="14"/>
          <w:szCs w:val="14"/>
          <w:color w:val="auto"/>
        </w:rPr>
        <w:t>NCORPORATED</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EAR</w:t>
      </w:r>
      <w:r>
        <w:rPr>
          <w:rFonts w:ascii="Arial" w:cs="Arial" w:eastAsia="Arial" w:hAnsi="Arial"/>
          <w:sz w:val="18"/>
          <w:szCs w:val="18"/>
          <w:color w:val="auto"/>
        </w:rPr>
        <w:t>, S</w:t>
      </w:r>
      <w:r>
        <w:rPr>
          <w:rFonts w:ascii="Arial" w:cs="Arial" w:eastAsia="Arial" w:hAnsi="Arial"/>
          <w:sz w:val="14"/>
          <w:szCs w:val="14"/>
          <w:color w:val="auto"/>
        </w:rPr>
        <w:t>TEARNS</w:t>
      </w:r>
      <w:r>
        <w:rPr>
          <w:rFonts w:ascii="Arial" w:cs="Arial" w:eastAsia="Arial" w:hAnsi="Arial"/>
          <w:sz w:val="18"/>
          <w:szCs w:val="18"/>
          <w:color w:val="auto"/>
        </w:rPr>
        <w:t xml:space="preserve"> &amp; C</w:t>
      </w:r>
      <w:r>
        <w:rPr>
          <w:rFonts w:ascii="Arial" w:cs="Arial" w:eastAsia="Arial" w:hAnsi="Arial"/>
          <w:sz w:val="14"/>
          <w:szCs w:val="14"/>
          <w:color w:val="auto"/>
        </w:rPr>
        <w:t>O</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C</w:t>
      </w:r>
      <w:r>
        <w:rPr>
          <w:rFonts w:ascii="Arial" w:cs="Arial" w:eastAsia="Arial" w:hAnsi="Arial"/>
          <w:sz w:val="18"/>
          <w:szCs w:val="18"/>
          <w:color w:val="auto"/>
        </w:rPr>
        <w:t>D</w:t>
      </w:r>
      <w:r>
        <w:rPr>
          <w:rFonts w:ascii="Arial" w:cs="Arial" w:eastAsia="Arial" w:hAnsi="Arial"/>
          <w:sz w:val="14"/>
          <w:szCs w:val="14"/>
          <w:color w:val="auto"/>
        </w:rPr>
        <w:t>ONALD</w:t>
      </w:r>
      <w:r>
        <w:rPr>
          <w:rFonts w:ascii="Arial" w:cs="Arial" w:eastAsia="Arial" w:hAnsi="Arial"/>
          <w:sz w:val="18"/>
          <w:szCs w:val="18"/>
          <w:color w:val="auto"/>
        </w:rPr>
        <w:t xml:space="preserve"> I</w:t>
      </w:r>
      <w:r>
        <w:rPr>
          <w:rFonts w:ascii="Arial" w:cs="Arial" w:eastAsia="Arial" w:hAnsi="Arial"/>
          <w:sz w:val="14"/>
          <w:szCs w:val="14"/>
          <w:color w:val="auto"/>
        </w:rPr>
        <w:t>NVESTMENTS</w:t>
      </w:r>
      <w:r>
        <w:rPr>
          <w:rFonts w:ascii="Arial" w:cs="Arial" w:eastAsia="Arial" w:hAnsi="Arial"/>
          <w:sz w:val="18"/>
          <w:szCs w:val="18"/>
          <w:color w:val="auto"/>
        </w:rPr>
        <w:t xml:space="preserve"> I</w:t>
      </w:r>
      <w:r>
        <w:rPr>
          <w:rFonts w:ascii="Arial" w:cs="Arial" w:eastAsia="Arial" w:hAnsi="Arial"/>
          <w:sz w:val="14"/>
          <w:szCs w:val="14"/>
          <w:color w:val="auto"/>
        </w:rPr>
        <w:t>NC</w:t>
      </w:r>
      <w:r>
        <w:rPr>
          <w:rFonts w:ascii="Arial" w:cs="Arial" w:eastAsia="Arial" w:hAnsi="Arial"/>
          <w:sz w:val="18"/>
          <w:szCs w:val="18"/>
          <w:color w:val="auto"/>
        </w:rPr>
        <w:t>.</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 Citigroup Global Markets Inc.</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80010</wp:posOffset>
            </wp:positionV>
            <wp:extent cx="270129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216" w:lineRule="exact"/>
        <w:rPr>
          <w:sz w:val="20"/>
          <w:szCs w:val="20"/>
          <w:color w:val="auto"/>
        </w:rPr>
      </w:pPr>
    </w:p>
    <w:p>
      <w:pPr>
        <w:ind w:left="400"/>
        <w:spacing w:after="0"/>
        <w:rPr>
          <w:sz w:val="20"/>
          <w:szCs w:val="20"/>
          <w:color w:val="auto"/>
        </w:rPr>
      </w:pPr>
      <w:r>
        <w:rPr>
          <w:rFonts w:ascii="Arial" w:cs="Arial" w:eastAsia="Arial" w:hAnsi="Arial"/>
          <w:sz w:val="14"/>
          <w:szCs w:val="14"/>
          <w:color w:val="auto"/>
        </w:rPr>
        <w:t>Name:</w:t>
      </w:r>
    </w:p>
    <w:p>
      <w:pPr>
        <w:ind w:left="400"/>
        <w:spacing w:after="0"/>
        <w:rPr>
          <w:sz w:val="20"/>
          <w:szCs w:val="20"/>
          <w:color w:val="auto"/>
        </w:rPr>
      </w:pPr>
      <w:r>
        <w:rPr>
          <w:rFonts w:ascii="Arial" w:cs="Arial" w:eastAsia="Arial" w:hAnsi="Arial"/>
          <w:sz w:val="14"/>
          <w:szCs w:val="14"/>
          <w:color w:val="auto"/>
        </w:rPr>
        <w:t>Title:</w:t>
      </w:r>
    </w:p>
    <w:p>
      <w:pPr>
        <w:spacing w:after="0" w:line="12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80"/>
          </w:cols>
          <w:pgMar w:left="240" w:top="280" w:right="57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20" w:type="dxa"/>
            <w:vAlign w:val="bottom"/>
            <w:gridSpan w:val="3"/>
          </w:tcPr>
          <w:p>
            <w:pPr>
              <w:ind w:left="80"/>
              <w:spacing w:after="0"/>
              <w:rPr>
                <w:sz w:val="20"/>
                <w:szCs w:val="20"/>
                <w:color w:val="auto"/>
              </w:rPr>
            </w:pPr>
            <w:r>
              <w:rPr>
                <w:rFonts w:ascii="Arial" w:cs="Arial" w:eastAsia="Arial" w:hAnsi="Arial"/>
                <w:sz w:val="18"/>
                <w:szCs w:val="18"/>
                <w:color w:val="auto"/>
              </w:rPr>
              <w:t>SCHEDULE I</w:t>
            </w: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w w:val="90"/>
              </w:rPr>
              <w:t>Principal Amount of</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920" w:type="dxa"/>
            <w:vAlign w:val="bottom"/>
          </w:tcPr>
          <w:p>
            <w:pPr>
              <w:ind w:left="100"/>
              <w:spacing w:after="0"/>
              <w:rPr>
                <w:sz w:val="20"/>
                <w:szCs w:val="20"/>
                <w:color w:val="auto"/>
              </w:rPr>
            </w:pPr>
            <w:r>
              <w:rPr>
                <w:rFonts w:ascii="Arial" w:cs="Arial" w:eastAsia="Arial" w:hAnsi="Arial"/>
                <w:sz w:val="14"/>
                <w:szCs w:val="14"/>
                <w:b w:val="1"/>
                <w:bCs w:val="1"/>
                <w:color w:val="auto"/>
              </w:rPr>
              <w:t>Underwriter</w:t>
            </w:r>
          </w:p>
        </w:tc>
        <w:tc>
          <w:tcPr>
            <w:tcW w:w="5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w w:val="83"/>
              </w:rPr>
              <w:t>Designated Securities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18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50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50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Citigroup Global Markets Inc.</w:t>
            </w:r>
          </w:p>
        </w:tc>
        <w:tc>
          <w:tcPr>
            <w:tcW w:w="5220" w:type="dxa"/>
            <w:vAlign w:val="bottom"/>
            <w:gridSpan w:val="3"/>
            <w:shd w:val="clear" w:color="auto" w:fill="CCEEFF"/>
          </w:tcPr>
          <w:p>
            <w:pPr>
              <w:ind w:left="50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Wachovia Capital Markets, LLC</w:t>
            </w:r>
          </w:p>
        </w:tc>
        <w:tc>
          <w:tcPr>
            <w:tcW w:w="5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18,750,000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Legg Mason Wood Walker, Incorporated</w:t>
            </w:r>
          </w:p>
        </w:tc>
        <w:tc>
          <w:tcPr>
            <w:tcW w:w="5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Merrill Lynch, Pierce, Fenner &amp; Smith Incorporated</w:t>
            </w:r>
          </w:p>
        </w:tc>
        <w:tc>
          <w:tcPr>
            <w:tcW w:w="5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9,375,000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Bear, Stearns &amp; Co. Inc.</w:t>
            </w:r>
          </w:p>
        </w:tc>
        <w:tc>
          <w:tcPr>
            <w:tcW w:w="5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McDonald Investments Inc.</w:t>
            </w:r>
          </w:p>
        </w:tc>
        <w:tc>
          <w:tcPr>
            <w:tcW w:w="5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3,750,000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50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50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5220" w:type="dxa"/>
            <w:vAlign w:val="bottom"/>
            <w:gridSpan w:val="3"/>
            <w:shd w:val="clear" w:color="auto" w:fill="CCEEFF"/>
          </w:tcPr>
          <w:p>
            <w:pPr>
              <w:ind w:left="50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0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-29210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-29210</wp:posOffset>
            </wp:positionV>
            <wp:extent cx="2159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29" w:name="page30"/>
    <w:bookmarkEnd w:id="29"/>
    <w:p>
      <w:pPr>
        <w:jc w:val="center"/>
        <w:ind w:right="-4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II</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Title of Designated Securities: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4.50% Notes due 2011</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Aggregate principal amount: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$75,000,000</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to Public:</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99.698% of the principal amount of the Designated Securities, plus accrued interest from January 26, 2004</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Price by Underwriters: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99.073% of the principal amount of the Designated Securities, plus accrued interest from January 26, 2004</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Specified funds for payment of purchase price: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Wire transfer of immediately available funds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Indenture:</w:t>
      </w:r>
    </w:p>
    <w:p>
      <w:pPr>
        <w:spacing w:after="0" w:line="83"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Indenture dated as of September 1, 1998, between the Company and Wachovia Bank, National Association (formerly, First Union National Bank), as Trustee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Maturity:</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February 15, 2011</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4.50%</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Payment Dates: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February 15 and August 15, commencing August 15, 2004</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Provisions:</w:t>
      </w:r>
    </w:p>
    <w:p>
      <w:pPr>
        <w:spacing w:after="0" w:line="83" w:lineRule="exact"/>
        <w:rPr>
          <w:sz w:val="20"/>
          <w:szCs w:val="20"/>
          <w:color w:val="auto"/>
        </w:rPr>
      </w:pPr>
    </w:p>
    <w:p>
      <w:pPr>
        <w:ind w:left="920"/>
        <w:spacing w:after="0"/>
        <w:rPr>
          <w:sz w:val="20"/>
          <w:szCs w:val="20"/>
          <w:color w:val="auto"/>
        </w:rPr>
      </w:pPr>
      <w:r>
        <w:rPr>
          <w:rFonts w:ascii="Arial" w:cs="Arial" w:eastAsia="Arial" w:hAnsi="Arial"/>
          <w:sz w:val="15"/>
          <w:szCs w:val="15"/>
          <w:color w:val="auto"/>
        </w:rPr>
        <w:t>The Designated Securities may be redeemed at any time, in whole or in part, at a redemption price as described in the Prospectus Supplement</w:t>
      </w:r>
    </w:p>
    <w:p>
      <w:pPr>
        <w:sectPr>
          <w:pgSz w:w="11900" w:h="16838" w:orient="portrait"/>
          <w:cols w:equalWidth="0" w:num="1">
            <w:col w:w="10940"/>
          </w:cols>
          <w:pgMar w:left="240" w:top="280" w:right="71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Sinking Fund Provisions: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 provisions:</w:t>
      </w:r>
    </w:p>
    <w:p>
      <w:pPr>
        <w:spacing w:after="0" w:line="83" w:lineRule="exact"/>
        <w:rPr>
          <w:sz w:val="20"/>
          <w:szCs w:val="20"/>
          <w:color w:val="auto"/>
        </w:rPr>
      </w:pPr>
    </w:p>
    <w:p>
      <w:pPr>
        <w:ind w:right="3660" w:firstLine="456"/>
        <w:spacing w:after="0" w:line="375" w:lineRule="auto"/>
        <w:rPr>
          <w:sz w:val="20"/>
          <w:szCs w:val="20"/>
          <w:color w:val="auto"/>
        </w:rPr>
      </w:pPr>
      <w:r>
        <w:rPr>
          <w:rFonts w:ascii="Arial" w:cs="Arial" w:eastAsia="Arial" w:hAnsi="Arial"/>
          <w:sz w:val="18"/>
          <w:szCs w:val="18"/>
          <w:color w:val="auto"/>
        </w:rPr>
        <w:t xml:space="preserve">The defeasance and covenant defeasance provisions of the Indenture apply to the Designated Securities </w:t>
      </w:r>
      <w:r>
        <w:rPr>
          <w:rFonts w:ascii="Arial" w:cs="Arial" w:eastAsia="Arial" w:hAnsi="Arial"/>
          <w:sz w:val="18"/>
          <w:szCs w:val="18"/>
          <w:b w:val="1"/>
          <w:bCs w:val="1"/>
          <w:color w:val="auto"/>
        </w:rPr>
        <w:t>Time of Delivery:</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January 26, 2004</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Closing Location: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Sidley Austin Brown &amp; Wood LLP</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787 Seventh Avenue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10019</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Names and addresses of Representative(s):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Designated Representative(s):</w:t>
      </w:r>
    </w:p>
    <w:p>
      <w:pPr>
        <w:spacing w:after="0" w:line="77" w:lineRule="exact"/>
        <w:rPr>
          <w:sz w:val="20"/>
          <w:szCs w:val="20"/>
          <w:color w:val="auto"/>
        </w:rPr>
      </w:pPr>
    </w:p>
    <w:p>
      <w:pPr>
        <w:ind w:left="920" w:right="300"/>
        <w:spacing w:after="0" w:line="268" w:lineRule="auto"/>
        <w:rPr>
          <w:sz w:val="20"/>
          <w:szCs w:val="20"/>
          <w:color w:val="auto"/>
        </w:rPr>
      </w:pPr>
      <w:r>
        <w:rPr>
          <w:rFonts w:ascii="Arial" w:cs="Arial" w:eastAsia="Arial" w:hAnsi="Arial"/>
          <w:sz w:val="18"/>
          <w:szCs w:val="18"/>
          <w:color w:val="auto"/>
        </w:rPr>
        <w:t>Citigroup Global Markets Inc., on behalf of itself and Wachovia Capital Markets, LLC, Legg Mason Wood Walker, Incorporated, Merrill Lynch, Pierce, Fenner &amp; Smith Incorporated, Bear, Stearns &amp; Co. Inc. and McDonald Investments Inc.</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Address for Notices, etc.:</w:t>
      </w:r>
    </w:p>
    <w:p>
      <w:pPr>
        <w:spacing w:after="0" w:line="7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 Citigroup Global Markets Inc.</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New York, New York 10013</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Attn: Doug Sesler</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60007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367" w:lineRule="exact"/>
        <w:rPr>
          <w:sz w:val="20"/>
          <w:szCs w:val="20"/>
          <w:color w:val="auto"/>
        </w:rPr>
      </w:pPr>
    </w:p>
    <w:p>
      <w:pPr>
        <w:ind w:left="460" w:hanging="452"/>
        <w:spacing w:after="0" w:line="306" w:lineRule="auto"/>
        <w:tabs>
          <w:tab w:leader="none" w:pos="4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 xml:space="preserve">A description of particular tax, accounting or other unusual features (such as the addition of event risk provisions) of the Securities should be set forth, or referenced to an </w:t>
      </w:r>
      <w:r>
        <w:rPr>
          <w:rFonts w:ascii="Arial" w:cs="Arial" w:eastAsia="Arial" w:hAnsi="Arial"/>
          <w:sz w:val="16"/>
          <w:szCs w:val="16"/>
          <w:i w:val="1"/>
          <w:iCs w:val="1"/>
          <w:color w:val="auto"/>
        </w:rPr>
        <w:t>attached</w:t>
      </w:r>
      <w:r>
        <w:rPr>
          <w:rFonts w:ascii="Arial" w:cs="Arial" w:eastAsia="Arial" w:hAnsi="Arial"/>
          <w:sz w:val="16"/>
          <w:szCs w:val="16"/>
          <w:color w:val="auto"/>
        </w:rPr>
        <w:t xml:space="preserve"> and </w:t>
      </w:r>
      <w:r>
        <w:rPr>
          <w:rFonts w:ascii="Arial" w:cs="Arial" w:eastAsia="Arial" w:hAnsi="Arial"/>
          <w:sz w:val="16"/>
          <w:szCs w:val="16"/>
          <w:i w:val="1"/>
          <w:iCs w:val="1"/>
          <w:color w:val="auto"/>
        </w:rPr>
        <w:t>accompanying</w:t>
      </w:r>
      <w:r>
        <w:rPr>
          <w:rFonts w:ascii="Arial" w:cs="Arial" w:eastAsia="Arial" w:hAnsi="Arial"/>
          <w:sz w:val="16"/>
          <w:szCs w:val="16"/>
          <w:color w:val="auto"/>
        </w:rPr>
        <w:t xml:space="preserve"> description, if necessary to ensure agreement as to the terms of the Securities to be purchased and sold. Such a description might appropriately be in the form in which such features will be described in the Prospectus Supplement for the offering.</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4" w:right="27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ANNEX II</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THE PRESIDENT AND CHIEF EXECUTIVE OFFICER</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7(f) OF THE UNDERWRITING AGREEMENT</w:t>
      </w:r>
    </w:p>
    <w:p>
      <w:pPr>
        <w:spacing w:after="0" w:line="15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 Donald C. Wood, the President and Chief Executive Officer and a Trustee, and I, Larry E. Finger, the Senior Vice President and Chief Financial Officer, of Federal Realty Investment Trust, certify that:</w:t>
      </w:r>
    </w:p>
    <w:p>
      <w:pPr>
        <w:spacing w:after="0" w:line="37" w:lineRule="exact"/>
        <w:rPr>
          <w:sz w:val="20"/>
          <w:szCs w:val="20"/>
          <w:color w:val="auto"/>
        </w:rPr>
      </w:pPr>
    </w:p>
    <w:p>
      <w:pPr>
        <w:ind w:left="900" w:right="20" w:hanging="446"/>
        <w:spacing w:after="0" w:line="331" w:lineRule="auto"/>
        <w:tabs>
          <w:tab w:leader="none" w:pos="900" w:val="left"/>
        </w:tabs>
        <w:numPr>
          <w:ilvl w:val="0"/>
          <w:numId w:val="28"/>
        </w:numPr>
        <w:rPr>
          <w:rFonts w:ascii="Arial" w:cs="Arial" w:eastAsia="Arial" w:hAnsi="Arial"/>
          <w:sz w:val="15"/>
          <w:szCs w:val="15"/>
          <w:color w:val="auto"/>
        </w:rPr>
      </w:pPr>
      <w:r>
        <w:rPr>
          <w:rFonts w:ascii="Arial" w:cs="Arial" w:eastAsia="Arial" w:hAnsi="Arial"/>
          <w:sz w:val="15"/>
          <w:szCs w:val="15"/>
          <w:color w:val="auto"/>
        </w:rPr>
        <w:t>the Annual Report on Form 10-K for the year ended December 31, 2002, and Quarterly Reports on Form 10-Q for the fiscal quarters ended March 31, 2003, June 30, 2003 and September 30, 2003, and the Current Report on Form 8-K filed with the Securities and Exchange Commission on March 25, 2003 (collectively, the “Reports”), fully comply with the requirements of Section 13(a) or 15(d) of the Securities and Exchange Act of 1934; and</w:t>
      </w:r>
    </w:p>
    <w:p>
      <w:pPr>
        <w:spacing w:after="0" w:line="2" w:lineRule="exact"/>
        <w:rPr>
          <w:rFonts w:ascii="Arial" w:cs="Arial" w:eastAsia="Arial" w:hAnsi="Arial"/>
          <w:sz w:val="15"/>
          <w:szCs w:val="15"/>
          <w:color w:val="auto"/>
        </w:rPr>
      </w:pPr>
    </w:p>
    <w:p>
      <w:pPr>
        <w:ind w:left="900" w:right="220" w:hanging="446"/>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information contained in each Report fairly presents, in all material respects, the financial condition and results of operations of Federal Realty Investment Trust as of its date of filing with the Securities and Exchange Commission.</w:t>
      </w:r>
    </w:p>
    <w:p>
      <w:pPr>
        <w:spacing w:after="0" w:line="118" w:lineRule="exact"/>
        <w:rPr>
          <w:sz w:val="20"/>
          <w:szCs w:val="20"/>
          <w:color w:val="auto"/>
        </w:rPr>
      </w:pPr>
    </w:p>
    <w:p>
      <w:pPr>
        <w:ind w:left="20"/>
        <w:spacing w:after="0"/>
        <w:tabs>
          <w:tab w:leader="none" w:pos="1100" w:val="left"/>
        </w:tabs>
        <w:rPr>
          <w:sz w:val="20"/>
          <w:szCs w:val="20"/>
          <w:color w:val="auto"/>
        </w:rPr>
      </w:pPr>
      <w:r>
        <w:rPr>
          <w:rFonts w:ascii="Arial" w:cs="Arial" w:eastAsia="Arial" w:hAnsi="Arial"/>
          <w:sz w:val="18"/>
          <w:szCs w:val="18"/>
          <w:color w:val="auto"/>
        </w:rPr>
        <w:t>January</w:t>
      </w:r>
      <w:r>
        <w:rPr>
          <w:sz w:val="20"/>
          <w:szCs w:val="20"/>
          <w:color w:val="auto"/>
        </w:rPr>
        <w:tab/>
      </w:r>
      <w:r>
        <w:rPr>
          <w:rFonts w:ascii="Arial" w:cs="Arial" w:eastAsia="Arial" w:hAnsi="Arial"/>
          <w:sz w:val="18"/>
          <w:szCs w:val="18"/>
          <w:color w:val="auto"/>
        </w:rPr>
        <w:t>,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405765</wp:posOffset>
            </wp:positionV>
            <wp:extent cx="289877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-13970</wp:posOffset>
            </wp:positionV>
            <wp:extent cx="33464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6860"/>
        <w:spacing w:after="0"/>
        <w:rPr>
          <w:sz w:val="20"/>
          <w:szCs w:val="20"/>
          <w:color w:val="auto"/>
        </w:rPr>
      </w:pPr>
      <w:r>
        <w:rPr>
          <w:rFonts w:ascii="Arial" w:cs="Arial" w:eastAsia="Arial" w:hAnsi="Arial"/>
          <w:sz w:val="14"/>
          <w:szCs w:val="14"/>
          <w:color w:val="auto"/>
        </w:rPr>
        <w:t>Donald C. Wood</w:t>
      </w:r>
    </w:p>
    <w:p>
      <w:pPr>
        <w:ind w:left="6860"/>
        <w:spacing w:after="0"/>
        <w:rPr>
          <w:sz w:val="20"/>
          <w:szCs w:val="20"/>
          <w:color w:val="auto"/>
        </w:rPr>
      </w:pPr>
      <w:r>
        <w:rPr>
          <w:rFonts w:ascii="Arial" w:cs="Arial" w:eastAsia="Arial" w:hAnsi="Arial"/>
          <w:sz w:val="14"/>
          <w:szCs w:val="14"/>
          <w:color w:val="auto"/>
        </w:rPr>
        <w:t>President and Chief Executive Officer and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386080</wp:posOffset>
            </wp:positionV>
            <wp:extent cx="289877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860"/>
        <w:spacing w:after="0"/>
        <w:rPr>
          <w:sz w:val="20"/>
          <w:szCs w:val="20"/>
          <w:color w:val="auto"/>
        </w:rPr>
      </w:pPr>
      <w:r>
        <w:rPr>
          <w:rFonts w:ascii="Arial" w:cs="Arial" w:eastAsia="Arial" w:hAnsi="Arial"/>
          <w:sz w:val="14"/>
          <w:szCs w:val="14"/>
          <w:color w:val="auto"/>
        </w:rPr>
        <w:t>Larry E. Finger</w:t>
      </w:r>
    </w:p>
    <w:p>
      <w:pPr>
        <w:ind w:left="6860"/>
        <w:spacing w:after="0"/>
        <w:rPr>
          <w:sz w:val="20"/>
          <w:szCs w:val="20"/>
          <w:color w:val="auto"/>
        </w:rPr>
      </w:pPr>
      <w:r>
        <w:rPr>
          <w:rFonts w:ascii="Arial" w:cs="Arial" w:eastAsia="Arial" w:hAnsi="Arial"/>
          <w:sz w:val="14"/>
          <w:szCs w:val="14"/>
          <w:color w:val="auto"/>
        </w:rPr>
        <w:t>Senior Vice President and Chief Financial Officer</w:t>
      </w:r>
    </w:p>
    <w:p>
      <w:pPr>
        <w:sectPr>
          <w:pgSz w:w="11900" w:h="16838" w:orient="portrait"/>
          <w:cols w:equalWidth="0" w:num="1">
            <w:col w:w="11420"/>
          </w:cols>
          <w:pgMar w:left="240" w:top="274" w:right="239" w:bottom="1440" w:gutter="0" w:footer="0" w:header="0"/>
        </w:sectPr>
      </w:pPr>
    </w:p>
    <w:bookmarkStart w:id="32" w:name="page33"/>
    <w:bookmarkEnd w:id="3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FEDERAL REALTY INVESTMENT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212661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126615" cy="8890"/>
                    </a:xfrm>
                    <a:prstGeom prst="rect">
                      <a:avLst/>
                    </a:prstGeom>
                    <a:noFill/>
                  </pic:spPr>
                </pic:pic>
              </a:graphicData>
            </a:graphic>
          </wp:anchor>
        </w:drawing>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FR Associates Limited Partnership (“FR”)</w:t>
      </w:r>
    </w:p>
    <w:p>
      <w:pPr>
        <w:spacing w:after="0" w:line="1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Andorra Associates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Governor Plaza Associates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Shopping Center Associates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Berman Enterprises II Limited Partnership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FRIT Escondido Promenade,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FRIT Leasing &amp; Development Services,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Congressional Plaza Associates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 Pike 7 Limited Partnership (DownREIT)</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Federal Realty Partners L. P. (Master DownREIT – 531,724 units outstanding – 429,904 units have been redeemed)</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Federal Realty Partners, Inc.</w:t>
      </w:r>
    </w:p>
    <w:p>
      <w:pPr>
        <w:spacing w:after="0" w:line="1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Loehmann’s Plaza Limited Partnership (DownREIT – 250,000 units outstanding)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FRLP,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 Leesburg Plaza, LLC</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FR Leesburg Plaza, LP (DownREIT – 352,500 total units issued – 12,916 units have been redeemed)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Federal Realty Management Services,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 Federal Plaza, Inc.</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FR Federal Plaza,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 Mercer Mall, Inc.</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FR Mercer Mall,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 Plaza del Mercado, Inc.</w:t>
      </w:r>
    </w:p>
    <w:p>
      <w:pPr>
        <w:spacing w:after="0" w:line="1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FR Plaza del Mercado,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Street Retail, Inc.</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STREET RETAIL, INC. (“SRI”)</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SRI Old Town,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Street Retail Forest Hills 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Street Retail Forest Hills II,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Street Retail Tempe 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Street Retail West GP, Inc. (“SRWGP”)</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Street Retail West I, L.P.</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Street Retail West II, L.P.</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Street Retail West 3, L.P.</w:t>
      </w:r>
    </w:p>
    <w:p>
      <w:pPr>
        <w:spacing w:after="0" w:line="20" w:lineRule="exact"/>
        <w:rPr>
          <w:sz w:val="20"/>
          <w:szCs w:val="20"/>
          <w:color w:val="auto"/>
        </w:rPr>
      </w:pPr>
      <w:r>
        <w:rPr>
          <w:sz w:val="20"/>
          <w:szCs w:val="20"/>
          <w:color w:val="auto"/>
        </w:rPr>
        <w:br w:type="column"/>
      </w:r>
    </w:p>
    <w:p>
      <w:pPr>
        <w:ind w:left="1280"/>
        <w:spacing w:after="0"/>
        <w:rPr>
          <w:sz w:val="20"/>
          <w:szCs w:val="20"/>
          <w:color w:val="auto"/>
        </w:rPr>
      </w:pPr>
      <w:r>
        <w:rPr>
          <w:rFonts w:ascii="Arial" w:cs="Arial" w:eastAsia="Arial" w:hAnsi="Arial"/>
          <w:sz w:val="18"/>
          <w:szCs w:val="18"/>
          <w:b w:val="1"/>
          <w:bCs w:val="1"/>
          <w:color w:val="auto"/>
        </w:rPr>
        <w:t>ANNEX III</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Company’s Direct or</w:t>
      </w:r>
    </w:p>
    <w:p>
      <w:pPr>
        <w:jc w:val="center"/>
        <w:spacing w:after="0" w:line="223" w:lineRule="auto"/>
        <w:rPr>
          <w:sz w:val="20"/>
          <w:szCs w:val="20"/>
          <w:color w:val="auto"/>
        </w:rPr>
      </w:pPr>
      <w:r>
        <w:rPr>
          <w:rFonts w:ascii="Arial" w:cs="Arial" w:eastAsia="Arial" w:hAnsi="Arial"/>
          <w:sz w:val="14"/>
          <w:szCs w:val="14"/>
          <w:b w:val="1"/>
          <w:bCs w:val="1"/>
          <w:color w:val="auto"/>
        </w:rPr>
        <w:t>Indirect Ownership</w:t>
      </w:r>
    </w:p>
    <w:p>
      <w:pPr>
        <w:jc w:val="center"/>
        <w:spacing w:after="0"/>
        <w:rPr>
          <w:sz w:val="20"/>
          <w:szCs w:val="20"/>
          <w:color w:val="auto"/>
        </w:rPr>
      </w:pPr>
      <w:r>
        <w:rPr>
          <w:rFonts w:ascii="Arial" w:cs="Arial" w:eastAsia="Arial" w:hAnsi="Arial"/>
          <w:sz w:val="14"/>
          <w:szCs w:val="14"/>
          <w:b w:val="1"/>
          <w:bCs w:val="1"/>
          <w:color w:val="auto"/>
        </w:rPr>
        <w:t>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60325</wp:posOffset>
            </wp:positionV>
            <wp:extent cx="137223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99%</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99% (1% FR)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99% (1% FR)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99% (1% FR)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99% (1% FR)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voting stock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55.7065%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40 units (FedRP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40 units (FRLP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voting stock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60,000 units (FedRP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voting stock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227,416 units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voting stock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voting stock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(FedPlaza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voting stock</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100% (FR Mercer Mall,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100% voting stock</w:t>
      </w:r>
    </w:p>
    <w:p>
      <w:pPr>
        <w:spacing w:after="0" w:line="11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100% (FR Plaza del Mercado, Inc.)</w:t>
      </w:r>
    </w:p>
    <w:p>
      <w:pPr>
        <w:spacing w:after="0"/>
        <w:rPr>
          <w:sz w:val="20"/>
          <w:szCs w:val="20"/>
          <w:color w:val="auto"/>
        </w:rPr>
      </w:pPr>
      <w:r>
        <w:rPr>
          <w:rFonts w:ascii="Arial" w:cs="Arial" w:eastAsia="Arial" w:hAnsi="Arial"/>
          <w:sz w:val="18"/>
          <w:szCs w:val="18"/>
          <w:color w:val="auto"/>
        </w:rPr>
        <w:t>100% voting stock</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100%</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voting stock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90% (10% SRI)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90% (10% SRI)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90% (10% SRI)</w:t>
      </w:r>
    </w:p>
    <w:p>
      <w:pPr>
        <w:sectPr>
          <w:pgSz w:w="11900" w:h="16838" w:orient="portrait"/>
          <w:cols w:equalWidth="0" w:num="2">
            <w:col w:w="8540" w:space="720"/>
            <w:col w:w="2160"/>
          </w:cols>
          <w:pgMar w:left="240" w:top="274" w:right="239" w:bottom="1440" w:gutter="0" w:footer="0" w:header="0"/>
        </w:sectPr>
      </w:pPr>
    </w:p>
    <w:bookmarkStart w:id="33" w:name="page34"/>
    <w:bookmarkEnd w:id="33"/>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Street Retail West 4, L.P.</w:t>
      </w:r>
    </w:p>
    <w:p>
      <w:pPr>
        <w:spacing w:after="0" w:line="3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Street Retail West 6, L.P.</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Street Retail West 7, L.P.</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5"/>
          <w:szCs w:val="15"/>
          <w:color w:val="auto"/>
        </w:rPr>
        <w:t>Street Retail West 10, L.P.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90%</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90%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90%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90%</w:t>
      </w:r>
    </w:p>
    <w:p>
      <w:pPr>
        <w:spacing w:after="0" w:line="134" w:lineRule="exact"/>
        <w:rPr>
          <w:sz w:val="20"/>
          <w:szCs w:val="20"/>
          <w:color w:val="auto"/>
        </w:rPr>
      </w:pPr>
    </w:p>
    <w:p>
      <w:pPr>
        <w:sectPr>
          <w:pgSz w:w="11900" w:h="16838" w:orient="portrait"/>
          <w:cols w:equalWidth="0" w:num="2">
            <w:col w:w="8760" w:space="720"/>
            <w:col w:w="1580"/>
          </w:cols>
          <w:pgMar w:left="240" w:top="280" w:right="599" w:bottom="1440" w:gutter="0" w:footer="0" w:header="0"/>
        </w:sectPr>
      </w:pPr>
    </w:p>
    <w:p>
      <w:pPr>
        <w:spacing w:after="0"/>
        <w:rPr>
          <w:sz w:val="20"/>
          <w:szCs w:val="20"/>
          <w:color w:val="auto"/>
        </w:rPr>
      </w:pPr>
      <w:r>
        <w:rPr>
          <w:rFonts w:ascii="Arial" w:cs="Arial" w:eastAsia="Arial" w:hAnsi="Arial"/>
          <w:sz w:val="16"/>
          <w:szCs w:val="16"/>
          <w:color w:val="auto"/>
        </w:rPr>
        <w:t>Street Retail San Antonio, LP</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SRI San Antonio,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 (SRI San Anton)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99.9% (SRI Texas)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100% voting stock</w:t>
      </w:r>
    </w:p>
    <w:p>
      <w:pPr>
        <w:spacing w:after="0" w:line="9" w:lineRule="exact"/>
        <w:rPr>
          <w:sz w:val="20"/>
          <w:szCs w:val="20"/>
          <w:color w:val="auto"/>
        </w:rPr>
      </w:pPr>
    </w:p>
    <w:p>
      <w:pPr>
        <w:sectPr>
          <w:pgSz w:w="11900" w:h="16838" w:orient="portrait"/>
          <w:cols w:equalWidth="0" w:num="2">
            <w:col w:w="8760" w:space="720"/>
            <w:col w:w="1580"/>
          </w:cols>
          <w:pgMar w:left="240" w:top="280" w:right="599" w:bottom="1440" w:gutter="0" w:footer="0" w:header="0"/>
          <w:type w:val="continuous"/>
        </w:sectPr>
      </w:pPr>
    </w:p>
    <w:p>
      <w:pPr>
        <w:ind w:left="440"/>
        <w:spacing w:after="0"/>
        <w:rPr>
          <w:sz w:val="20"/>
          <w:szCs w:val="20"/>
          <w:color w:val="auto"/>
        </w:rPr>
      </w:pPr>
      <w:r>
        <w:rPr>
          <w:rFonts w:ascii="Arial" w:cs="Arial" w:eastAsia="Arial" w:hAnsi="Arial"/>
          <w:sz w:val="16"/>
          <w:szCs w:val="16"/>
          <w:color w:val="auto"/>
        </w:rPr>
        <w:t>(f/k/a Dim Sum, Inc. f/k/a FR Acquisition Holding Co., Inc.)</w:t>
      </w:r>
    </w:p>
    <w:p>
      <w:pPr>
        <w:sectPr>
          <w:pgSz w:w="11900" w:h="16838" w:orient="portrait"/>
          <w:cols w:equalWidth="0" w:num="1">
            <w:col w:w="11060"/>
          </w:cols>
          <w:pgMar w:left="240" w:top="280" w:right="599" w:bottom="1440" w:gutter="0" w:footer="0" w:header="0"/>
          <w:type w:val="continuous"/>
        </w:sectPr>
      </w:pP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SRI Texas,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JS&amp;DB,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SRI Holding Company, Inc.</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Street Retail West 9, L.P.</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FRIT San Jose Town and Country Village, LLC</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San Jose Residential, Inc.</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Santana Row Services,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Santana Row ROF, Inc.</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La Rive Gauche San Jose, LLC</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Straits Santana Row, LLC</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Blowfish SR, LLC</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Village Café Santana Row, LLC</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Yankee Pier Santana Row, LLC</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Pizza Antica, LLC</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100% voting stock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voting stock</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100% nonvoting stock</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90% (SRI Holding)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100% nonvoting stock</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voting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voting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37.5%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49.3%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w:t>
      </w:r>
    </w:p>
    <w:p>
      <w:pPr>
        <w:spacing w:after="0" w:line="151" w:lineRule="exact"/>
        <w:rPr>
          <w:sz w:val="20"/>
          <w:szCs w:val="20"/>
          <w:color w:val="auto"/>
        </w:rPr>
      </w:pPr>
    </w:p>
    <w:p>
      <w:pPr>
        <w:sectPr>
          <w:pgSz w:w="11900" w:h="16838" w:orient="portrait"/>
          <w:cols w:equalWidth="0" w:num="2">
            <w:col w:w="8760" w:space="720"/>
            <w:col w:w="1580"/>
          </w:cols>
          <w:pgMar w:left="240" w:top="280" w:right="599" w:bottom="1440" w:gutter="0" w:footer="0" w:header="0"/>
          <w:type w:val="continuous"/>
        </w:sectPr>
      </w:pPr>
    </w:p>
    <w:p>
      <w:pPr>
        <w:spacing w:after="0"/>
        <w:rPr>
          <w:sz w:val="20"/>
          <w:szCs w:val="20"/>
          <w:color w:val="auto"/>
        </w:rPr>
      </w:pPr>
      <w:r>
        <w:rPr>
          <w:rFonts w:ascii="Arial" w:cs="Arial" w:eastAsia="Arial" w:hAnsi="Arial"/>
          <w:sz w:val="16"/>
          <w:szCs w:val="16"/>
          <w:color w:val="auto"/>
        </w:rPr>
        <w:t>Santana Row Association, a California non-profit mutual benefit corporation</w:t>
      </w:r>
    </w:p>
    <w:p>
      <w:pPr>
        <w:spacing w:after="0" w:line="181" w:lineRule="exact"/>
        <w:rPr>
          <w:sz w:val="20"/>
          <w:szCs w:val="20"/>
          <w:color w:val="auto"/>
        </w:rPr>
      </w:pPr>
    </w:p>
    <w:p>
      <w:pPr>
        <w:jc w:val="center"/>
        <w:ind w:right="-37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060"/>
          </w:cols>
          <w:pgMar w:left="240" w:top="280" w:right="599" w:bottom="1440" w:gutter="0" w:footer="0" w:header="0"/>
          <w:type w:val="continuous"/>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1.2</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Execution Copy</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Pricing Agreement</w:t>
      </w:r>
    </w:p>
    <w:p>
      <w:pPr>
        <w:spacing w:after="0" w:line="77" w:lineRule="exact"/>
        <w:rPr>
          <w:sz w:val="20"/>
          <w:szCs w:val="20"/>
          <w:color w:val="auto"/>
        </w:rPr>
      </w:pPr>
    </w:p>
    <w:p>
      <w:pPr>
        <w:ind w:left="10220"/>
        <w:spacing w:after="0"/>
        <w:rPr>
          <w:sz w:val="20"/>
          <w:szCs w:val="20"/>
          <w:color w:val="auto"/>
        </w:rPr>
      </w:pPr>
      <w:r>
        <w:rPr>
          <w:rFonts w:ascii="Arial" w:cs="Arial" w:eastAsia="Arial" w:hAnsi="Arial"/>
          <w:sz w:val="15"/>
          <w:szCs w:val="15"/>
          <w:color w:val="auto"/>
        </w:rPr>
        <w:t>January 21, 2004</w:t>
      </w:r>
    </w:p>
    <w:p>
      <w:pPr>
        <w:spacing w:after="0" w:line="192" w:lineRule="exact"/>
        <w:rPr>
          <w:sz w:val="20"/>
          <w:szCs w:val="20"/>
          <w:color w:val="auto"/>
        </w:rPr>
      </w:pPr>
    </w:p>
    <w:p>
      <w:pPr>
        <w:ind w:left="20"/>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ITIGROUP</w:t>
      </w:r>
      <w:r>
        <w:rPr>
          <w:rFonts w:ascii="Arial" w:cs="Arial" w:eastAsia="Arial" w:hAnsi="Arial"/>
          <w:sz w:val="18"/>
          <w:szCs w:val="18"/>
          <w:color w:val="auto"/>
        </w:rPr>
        <w:t xml:space="preserve"> G</w:t>
      </w:r>
      <w:r>
        <w:rPr>
          <w:rFonts w:ascii="Arial" w:cs="Arial" w:eastAsia="Arial" w:hAnsi="Arial"/>
          <w:sz w:val="14"/>
          <w:szCs w:val="14"/>
          <w:color w:val="auto"/>
        </w:rPr>
        <w:t>LOBAL</w:t>
      </w:r>
      <w:r>
        <w:rPr>
          <w:rFonts w:ascii="Arial" w:cs="Arial" w:eastAsia="Arial" w:hAnsi="Arial"/>
          <w:sz w:val="18"/>
          <w:szCs w:val="18"/>
          <w:color w:val="auto"/>
        </w:rPr>
        <w:t xml:space="preserve"> M</w:t>
      </w:r>
      <w:r>
        <w:rPr>
          <w:rFonts w:ascii="Arial" w:cs="Arial" w:eastAsia="Arial" w:hAnsi="Arial"/>
          <w:sz w:val="14"/>
          <w:szCs w:val="14"/>
          <w:color w:val="auto"/>
        </w:rPr>
        <w:t>ARKETS</w:t>
      </w:r>
      <w:r>
        <w:rPr>
          <w:rFonts w:ascii="Arial" w:cs="Arial" w:eastAsia="Arial" w:hAnsi="Arial"/>
          <w:sz w:val="18"/>
          <w:szCs w:val="18"/>
          <w:color w:val="auto"/>
        </w:rPr>
        <w:t xml:space="preserve"> I</w:t>
      </w:r>
      <w:r>
        <w:rPr>
          <w:rFonts w:ascii="Arial" w:cs="Arial" w:eastAsia="Arial" w:hAnsi="Arial"/>
          <w:sz w:val="14"/>
          <w:szCs w:val="14"/>
          <w:color w:val="auto"/>
        </w:rPr>
        <w:t>NC</w:t>
      </w:r>
      <w:r>
        <w:rPr>
          <w:rFonts w:ascii="Arial" w:cs="Arial" w:eastAsia="Arial" w:hAnsi="Arial"/>
          <w:sz w:val="18"/>
          <w:szCs w:val="18"/>
          <w:color w:val="auto"/>
        </w:rPr>
        <w:t>.</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ACHOVIA</w:t>
      </w:r>
      <w:r>
        <w:rPr>
          <w:rFonts w:ascii="Arial" w:cs="Arial" w:eastAsia="Arial" w:hAnsi="Arial"/>
          <w:sz w:val="18"/>
          <w:szCs w:val="18"/>
          <w:color w:val="auto"/>
        </w:rPr>
        <w:t xml:space="preserve"> C</w:t>
      </w:r>
      <w:r>
        <w:rPr>
          <w:rFonts w:ascii="Arial" w:cs="Arial" w:eastAsia="Arial" w:hAnsi="Arial"/>
          <w:sz w:val="14"/>
          <w:szCs w:val="14"/>
          <w:color w:val="auto"/>
        </w:rPr>
        <w:t>APITAL</w:t>
      </w:r>
      <w:r>
        <w:rPr>
          <w:rFonts w:ascii="Arial" w:cs="Arial" w:eastAsia="Arial" w:hAnsi="Arial"/>
          <w:sz w:val="18"/>
          <w:szCs w:val="18"/>
          <w:color w:val="auto"/>
        </w:rPr>
        <w:t xml:space="preserve"> M</w:t>
      </w:r>
      <w:r>
        <w:rPr>
          <w:rFonts w:ascii="Arial" w:cs="Arial" w:eastAsia="Arial" w:hAnsi="Arial"/>
          <w:sz w:val="14"/>
          <w:szCs w:val="14"/>
          <w:color w:val="auto"/>
        </w:rPr>
        <w:t>ARKETS</w:t>
      </w:r>
      <w:r>
        <w:rPr>
          <w:rFonts w:ascii="Arial" w:cs="Arial" w:eastAsia="Arial" w:hAnsi="Arial"/>
          <w:sz w:val="18"/>
          <w:szCs w:val="18"/>
          <w:color w:val="auto"/>
        </w:rPr>
        <w:t>, LLC</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EGG</w:t>
      </w:r>
      <w:r>
        <w:rPr>
          <w:rFonts w:ascii="Arial" w:cs="Arial" w:eastAsia="Arial" w:hAnsi="Arial"/>
          <w:sz w:val="18"/>
          <w:szCs w:val="18"/>
          <w:color w:val="auto"/>
        </w:rPr>
        <w:t xml:space="preserve"> M</w:t>
      </w:r>
      <w:r>
        <w:rPr>
          <w:rFonts w:ascii="Arial" w:cs="Arial" w:eastAsia="Arial" w:hAnsi="Arial"/>
          <w:sz w:val="14"/>
          <w:szCs w:val="14"/>
          <w:color w:val="auto"/>
        </w:rPr>
        <w:t>ASON</w:t>
      </w:r>
      <w:r>
        <w:rPr>
          <w:rFonts w:ascii="Arial" w:cs="Arial" w:eastAsia="Arial" w:hAnsi="Arial"/>
          <w:sz w:val="18"/>
          <w:szCs w:val="18"/>
          <w:color w:val="auto"/>
        </w:rPr>
        <w:t xml:space="preserve"> W</w:t>
      </w:r>
      <w:r>
        <w:rPr>
          <w:rFonts w:ascii="Arial" w:cs="Arial" w:eastAsia="Arial" w:hAnsi="Arial"/>
          <w:sz w:val="14"/>
          <w:szCs w:val="14"/>
          <w:color w:val="auto"/>
        </w:rPr>
        <w:t>OOD</w:t>
      </w:r>
      <w:r>
        <w:rPr>
          <w:rFonts w:ascii="Arial" w:cs="Arial" w:eastAsia="Arial" w:hAnsi="Arial"/>
          <w:sz w:val="18"/>
          <w:szCs w:val="18"/>
          <w:color w:val="auto"/>
        </w:rPr>
        <w:t xml:space="preserve"> W</w:t>
      </w:r>
      <w:r>
        <w:rPr>
          <w:rFonts w:ascii="Arial" w:cs="Arial" w:eastAsia="Arial" w:hAnsi="Arial"/>
          <w:sz w:val="14"/>
          <w:szCs w:val="14"/>
          <w:color w:val="auto"/>
        </w:rPr>
        <w:t>ALKER</w:t>
      </w:r>
      <w:r>
        <w:rPr>
          <w:rFonts w:ascii="Arial" w:cs="Arial" w:eastAsia="Arial" w:hAnsi="Arial"/>
          <w:sz w:val="18"/>
          <w:szCs w:val="18"/>
          <w:color w:val="auto"/>
        </w:rPr>
        <w:t>, I</w:t>
      </w:r>
      <w:r>
        <w:rPr>
          <w:rFonts w:ascii="Arial" w:cs="Arial" w:eastAsia="Arial" w:hAnsi="Arial"/>
          <w:sz w:val="14"/>
          <w:szCs w:val="14"/>
          <w:color w:val="auto"/>
        </w:rPr>
        <w:t>NCORPORATED</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ERRILL</w:t>
      </w:r>
      <w:r>
        <w:rPr>
          <w:rFonts w:ascii="Arial" w:cs="Arial" w:eastAsia="Arial" w:hAnsi="Arial"/>
          <w:sz w:val="18"/>
          <w:szCs w:val="18"/>
          <w:color w:val="auto"/>
        </w:rPr>
        <w:t xml:space="preserve"> L</w:t>
      </w:r>
      <w:r>
        <w:rPr>
          <w:rFonts w:ascii="Arial" w:cs="Arial" w:eastAsia="Arial" w:hAnsi="Arial"/>
          <w:sz w:val="14"/>
          <w:szCs w:val="14"/>
          <w:color w:val="auto"/>
        </w:rPr>
        <w:t>YNCH</w:t>
      </w:r>
      <w:r>
        <w:rPr>
          <w:rFonts w:ascii="Arial" w:cs="Arial" w:eastAsia="Arial" w:hAnsi="Arial"/>
          <w:sz w:val="18"/>
          <w:szCs w:val="18"/>
          <w:color w:val="auto"/>
        </w:rPr>
        <w:t>, P</w:t>
      </w:r>
      <w:r>
        <w:rPr>
          <w:rFonts w:ascii="Arial" w:cs="Arial" w:eastAsia="Arial" w:hAnsi="Arial"/>
          <w:sz w:val="14"/>
          <w:szCs w:val="14"/>
          <w:color w:val="auto"/>
        </w:rPr>
        <w:t>IERCE</w:t>
      </w:r>
      <w:r>
        <w:rPr>
          <w:rFonts w:ascii="Arial" w:cs="Arial" w:eastAsia="Arial" w:hAnsi="Arial"/>
          <w:sz w:val="18"/>
          <w:szCs w:val="18"/>
          <w:color w:val="auto"/>
        </w:rPr>
        <w:t>, F</w:t>
      </w:r>
      <w:r>
        <w:rPr>
          <w:rFonts w:ascii="Arial" w:cs="Arial" w:eastAsia="Arial" w:hAnsi="Arial"/>
          <w:sz w:val="14"/>
          <w:szCs w:val="14"/>
          <w:color w:val="auto"/>
        </w:rPr>
        <w:t>ENNER</w:t>
      </w:r>
      <w:r>
        <w:rPr>
          <w:rFonts w:ascii="Arial" w:cs="Arial" w:eastAsia="Arial" w:hAnsi="Arial"/>
          <w:sz w:val="18"/>
          <w:szCs w:val="18"/>
          <w:color w:val="auto"/>
        </w:rPr>
        <w:t xml:space="preserve"> &amp; S</w:t>
      </w:r>
      <w:r>
        <w:rPr>
          <w:rFonts w:ascii="Arial" w:cs="Arial" w:eastAsia="Arial" w:hAnsi="Arial"/>
          <w:sz w:val="14"/>
          <w:szCs w:val="14"/>
          <w:color w:val="auto"/>
        </w:rPr>
        <w:t>MITH</w:t>
      </w:r>
      <w:r>
        <w:rPr>
          <w:rFonts w:ascii="Arial" w:cs="Arial" w:eastAsia="Arial" w:hAnsi="Arial"/>
          <w:sz w:val="18"/>
          <w:szCs w:val="18"/>
          <w:color w:val="auto"/>
        </w:rPr>
        <w:t xml:space="preserve"> I</w:t>
      </w:r>
      <w:r>
        <w:rPr>
          <w:rFonts w:ascii="Arial" w:cs="Arial" w:eastAsia="Arial" w:hAnsi="Arial"/>
          <w:sz w:val="14"/>
          <w:szCs w:val="14"/>
          <w:color w:val="auto"/>
        </w:rPr>
        <w:t>NCORPORATED</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EAR</w:t>
      </w:r>
      <w:r>
        <w:rPr>
          <w:rFonts w:ascii="Arial" w:cs="Arial" w:eastAsia="Arial" w:hAnsi="Arial"/>
          <w:sz w:val="18"/>
          <w:szCs w:val="18"/>
          <w:color w:val="auto"/>
        </w:rPr>
        <w:t>, S</w:t>
      </w:r>
      <w:r>
        <w:rPr>
          <w:rFonts w:ascii="Arial" w:cs="Arial" w:eastAsia="Arial" w:hAnsi="Arial"/>
          <w:sz w:val="14"/>
          <w:szCs w:val="14"/>
          <w:color w:val="auto"/>
        </w:rPr>
        <w:t>TEARNS</w:t>
      </w:r>
      <w:r>
        <w:rPr>
          <w:rFonts w:ascii="Arial" w:cs="Arial" w:eastAsia="Arial" w:hAnsi="Arial"/>
          <w:sz w:val="18"/>
          <w:szCs w:val="18"/>
          <w:color w:val="auto"/>
        </w:rPr>
        <w:t xml:space="preserve"> &amp; C</w:t>
      </w:r>
      <w:r>
        <w:rPr>
          <w:rFonts w:ascii="Arial" w:cs="Arial" w:eastAsia="Arial" w:hAnsi="Arial"/>
          <w:sz w:val="14"/>
          <w:szCs w:val="14"/>
          <w:color w:val="auto"/>
        </w:rPr>
        <w:t>O</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C</w:t>
      </w:r>
      <w:r>
        <w:rPr>
          <w:rFonts w:ascii="Arial" w:cs="Arial" w:eastAsia="Arial" w:hAnsi="Arial"/>
          <w:sz w:val="18"/>
          <w:szCs w:val="18"/>
          <w:color w:val="auto"/>
        </w:rPr>
        <w:t>D</w:t>
      </w:r>
      <w:r>
        <w:rPr>
          <w:rFonts w:ascii="Arial" w:cs="Arial" w:eastAsia="Arial" w:hAnsi="Arial"/>
          <w:sz w:val="14"/>
          <w:szCs w:val="14"/>
          <w:color w:val="auto"/>
        </w:rPr>
        <w:t>ONALD</w:t>
      </w:r>
      <w:r>
        <w:rPr>
          <w:rFonts w:ascii="Arial" w:cs="Arial" w:eastAsia="Arial" w:hAnsi="Arial"/>
          <w:sz w:val="18"/>
          <w:szCs w:val="18"/>
          <w:color w:val="auto"/>
        </w:rPr>
        <w:t xml:space="preserve"> I</w:t>
      </w:r>
      <w:r>
        <w:rPr>
          <w:rFonts w:ascii="Arial" w:cs="Arial" w:eastAsia="Arial" w:hAnsi="Arial"/>
          <w:sz w:val="14"/>
          <w:szCs w:val="14"/>
          <w:color w:val="auto"/>
        </w:rPr>
        <w:t>NVESTMENTS</w:t>
      </w:r>
      <w:r>
        <w:rPr>
          <w:rFonts w:ascii="Arial" w:cs="Arial" w:eastAsia="Arial" w:hAnsi="Arial"/>
          <w:sz w:val="18"/>
          <w:szCs w:val="18"/>
          <w:color w:val="auto"/>
        </w:rPr>
        <w:t xml:space="preserve"> I</w:t>
      </w:r>
      <w:r>
        <w:rPr>
          <w:rFonts w:ascii="Arial" w:cs="Arial" w:eastAsia="Arial" w:hAnsi="Arial"/>
          <w:sz w:val="14"/>
          <w:szCs w:val="14"/>
          <w:color w:val="auto"/>
        </w:rPr>
        <w:t>NC</w:t>
      </w:r>
      <w:r>
        <w:rPr>
          <w:rFonts w:ascii="Arial" w:cs="Arial" w:eastAsia="Arial" w:hAnsi="Arial"/>
          <w:sz w:val="18"/>
          <w:szCs w:val="18"/>
          <w:color w:val="auto"/>
        </w:rPr>
        <w: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 Citigroup Global Markets Inc.</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10013</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77"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auto"/>
        </w:rPr>
        <w:t>Federal Realty Investment Trust, a Maryland real estate investment trust (the “Company”), proposes, subject to the terms and conditions stated herein and in the Underwriting Agreement, dated January 21, 2004 (the “Underwriting Agreement”), between the Company on the one hand and Citigroup Global Markets Inc., Wachovia Capital Markets, LLC, Legg Mason Wood Walker, Incorporated, Merrill Lynch, Pierce, Fenner &amp; Smith Incorporated, Bear, Stearns &amp; Co. Inc. and McDonald Investments Inc. on the other hand, to issue and sell to the Underwriters named in Schedule I hereto (the “Underwriters”) the Securities specified in Schedules II hereto (the “Designated Securities”). Each of the provisions of the Underwriting Agreement is incorporated herein by reference in its entirety, and shall be deemed to be a part of this Pricing Agreement to the same extent as if such provisions had been set forth in full herein; and each of the representations and warranties set forth therein shall be deemed to have been made at and as of the date of this Pricing Agreement, except that each representation and warranty which refers to the Prospectus in Section 2 of the Underwriting Agreement shall be deemed to be a representation or warranty as of the date of the Underwriting Agreement in relation to the Prospectus (as therein defined), and also a representation and warranty as of the date of this Pricing Agreement in relation to the Prospectus as amended or supplemented relating to the Designated Securities which are the subject of this Pricing Agreement. Each reference to the Representatives herein and in the provisions of the Underwriting Agreement so incorporated by reference shall be deemed to refer to you. Unless otherwise defined herein, terms defined in the Underwriting Agreement are used herein as therein defined. The Representative designated to act on behalf of the Representatives pursuant to Section 12 of the Underwriting Agreement is Citigroup Global Markets Inc., and the Representatives designated to act on behalf of each of the Underwriters of the Designated Securities pursuant to Section 12 of the Underwriting Agreement and the address of the Representatives referred to in such Section 12 are set forth in Schedule II hereto.</w:t>
      </w:r>
    </w:p>
    <w:p>
      <w:pPr>
        <w:sectPr>
          <w:pgSz w:w="11900" w:h="16838" w:orient="portrait"/>
          <w:cols w:equalWidth="0" w:num="1">
            <w:col w:w="11420"/>
          </w:cols>
          <w:pgMar w:left="240" w:top="125" w:right="239" w:bottom="1440" w:gutter="0" w:footer="0" w:header="0"/>
        </w:sectPr>
      </w:pPr>
    </w:p>
    <w:bookmarkStart w:id="35" w:name="page36"/>
    <w:bookmarkEnd w:id="35"/>
    <w:p>
      <w:pPr>
        <w:ind w:right="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 amendment to the Registration Statement, or a supplement to the Prospectus, as the case may be, relating to the Designated Securities, in the form heretofore delivered to you, is now proposed to be filed with the Commission.</w:t>
      </w:r>
    </w:p>
    <w:p>
      <w:pPr>
        <w:spacing w:after="0" w:line="11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Subject to the terms and conditions set forth herein and in the Underwriting Agreement incorporated herein by reference, the Company agrees to issue and sell to each of the Underwriters, and each of the Underwriters agrees, severally and not jointly, to purchase from the Company, at the Time of Delivery and place and at the purchase price to the Underwriters set forth in Schedule II hereto, the principal amount of Designated Securities (as defined in Schedule II hereto) set forth opposite the name of such Underwriter in Schedule I hereto.</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The obligations of the Underwriters under this Pricing Agreement and the Underwriting Agreement incorporated herein are several and not joint.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This Pricing Agreement shall be governed by and construed in accordance with the laws of the State of New York.</w:t>
      </w:r>
    </w:p>
    <w:p>
      <w:pPr>
        <w:spacing w:after="0" w:line="158"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[REMAINDER OF THIS PAGE INTENTIONALLY LEFT BLANK]</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40" w:top="280" w:right="319" w:bottom="1440" w:gutter="0" w:footer="0" w:header="0"/>
        </w:sectPr>
      </w:pPr>
    </w:p>
    <w:bookmarkStart w:id="36" w:name="page37"/>
    <w:bookmarkEnd w:id="36"/>
    <w:p>
      <w:pPr>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the foregoing is in accordance with your understanding, please sign and return this Pricing Agreement to us, and upon acceptance hereof by you, on behalf of each of the Underwriters, this Pricing Agreement and such acceptance hereof, including the provisions of the Underwriting Agreement incorporated herein by reference, shall constitute a binding agreement between each of the Underwriters and the Company.</w:t>
      </w:r>
    </w:p>
    <w:p>
      <w:pPr>
        <w:spacing w:after="0" w:line="9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w:t>
      </w:r>
      <w:r>
        <w:rPr>
          <w:rFonts w:ascii="Arial" w:cs="Arial" w:eastAsia="Arial" w:hAnsi="Arial"/>
          <w:sz w:val="14"/>
          <w:szCs w:val="14"/>
          <w:color w:val="auto"/>
        </w:rPr>
        <w:t>EDERAL</w:t>
      </w:r>
      <w:r>
        <w:rPr>
          <w:rFonts w:ascii="Arial" w:cs="Arial" w:eastAsia="Arial" w:hAnsi="Arial"/>
          <w:sz w:val="18"/>
          <w:szCs w:val="18"/>
          <w:color w:val="auto"/>
        </w:rPr>
        <w:t xml:space="preserve"> R</w:t>
      </w:r>
      <w:r>
        <w:rPr>
          <w:rFonts w:ascii="Arial" w:cs="Arial" w:eastAsia="Arial" w:hAnsi="Arial"/>
          <w:sz w:val="14"/>
          <w:szCs w:val="14"/>
          <w:color w:val="auto"/>
        </w:rPr>
        <w:t>EALTY</w:t>
      </w:r>
      <w:r>
        <w:rPr>
          <w:rFonts w:ascii="Arial" w:cs="Arial" w:eastAsia="Arial" w:hAnsi="Arial"/>
          <w:sz w:val="18"/>
          <w:szCs w:val="18"/>
          <w:color w:val="auto"/>
        </w:rPr>
        <w:t xml:space="preserve"> I</w:t>
      </w:r>
      <w:r>
        <w:rPr>
          <w:rFonts w:ascii="Arial" w:cs="Arial" w:eastAsia="Arial" w:hAnsi="Arial"/>
          <w:sz w:val="14"/>
          <w:szCs w:val="14"/>
          <w:color w:val="auto"/>
        </w:rPr>
        <w:t>NVESTMENT</w:t>
      </w:r>
      <w:r>
        <w:rPr>
          <w:rFonts w:ascii="Arial" w:cs="Arial" w:eastAsia="Arial" w:hAnsi="Arial"/>
          <w:sz w:val="18"/>
          <w:szCs w:val="18"/>
          <w:color w:val="auto"/>
        </w:rPr>
        <w:t xml:space="preserve"> T</w:t>
      </w:r>
      <w:r>
        <w:rPr>
          <w:rFonts w:ascii="Arial" w:cs="Arial" w:eastAsia="Arial" w:hAnsi="Arial"/>
          <w:sz w:val="14"/>
          <w:szCs w:val="14"/>
          <w:color w:val="auto"/>
        </w:rPr>
        <w:t>RUST</w:t>
      </w:r>
    </w:p>
    <w:p>
      <w:pPr>
        <w:spacing w:after="0" w:line="225" w:lineRule="exact"/>
        <w:rPr>
          <w:sz w:val="20"/>
          <w:szCs w:val="20"/>
          <w:color w:val="auto"/>
        </w:rPr>
      </w:pPr>
    </w:p>
    <w:p>
      <w:pPr>
        <w:ind w:left="6860"/>
        <w:spacing w:after="0"/>
        <w:tabs>
          <w:tab w:leader="none" w:pos="7260" w:val="left"/>
          <w:tab w:leader="none" w:pos="760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6"/>
          <w:szCs w:val="16"/>
          <w:color w:val="auto"/>
        </w:rPr>
        <w:t>Larry E. Finger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80010</wp:posOffset>
            </wp:positionV>
            <wp:extent cx="269303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216" w:lineRule="exact"/>
        <w:rPr>
          <w:sz w:val="20"/>
          <w:szCs w:val="20"/>
          <w:color w:val="auto"/>
        </w:rPr>
      </w:pPr>
    </w:p>
    <w:p>
      <w:pPr>
        <w:ind w:left="7280"/>
        <w:spacing w:after="0"/>
        <w:tabs>
          <w:tab w:leader="none" w:pos="7760" w:val="left"/>
        </w:tabs>
        <w:rPr>
          <w:sz w:val="20"/>
          <w:szCs w:val="20"/>
          <w:color w:val="auto"/>
        </w:rPr>
      </w:pPr>
      <w:r>
        <w:rPr>
          <w:rFonts w:ascii="Arial" w:cs="Arial" w:eastAsia="Arial" w:hAnsi="Arial"/>
          <w:sz w:val="14"/>
          <w:szCs w:val="14"/>
          <w:color w:val="auto"/>
        </w:rPr>
        <w:t>Name:</w:t>
        <w:tab/>
        <w:t>Larry E. Finger</w:t>
      </w:r>
    </w:p>
    <w:p>
      <w:pPr>
        <w:ind w:left="7280"/>
        <w:spacing w:after="0"/>
        <w:tabs>
          <w:tab w:leader="none" w:pos="7760" w:val="left"/>
        </w:tabs>
        <w:rPr>
          <w:sz w:val="20"/>
          <w:szCs w:val="20"/>
          <w:color w:val="auto"/>
        </w:rPr>
      </w:pPr>
      <w:r>
        <w:rPr>
          <w:rFonts w:ascii="Arial" w:cs="Arial" w:eastAsia="Arial" w:hAnsi="Arial"/>
          <w:sz w:val="12"/>
          <w:szCs w:val="12"/>
          <w:color w:val="auto"/>
        </w:rPr>
        <w:t>Title:</w:t>
      </w:r>
      <w:r>
        <w:rPr>
          <w:sz w:val="20"/>
          <w:szCs w:val="20"/>
          <w:color w:val="auto"/>
        </w:rPr>
        <w:tab/>
      </w:r>
      <w:r>
        <w:rPr>
          <w:rFonts w:ascii="Arial" w:cs="Arial" w:eastAsia="Arial" w:hAnsi="Arial"/>
          <w:sz w:val="12"/>
          <w:szCs w:val="12"/>
          <w:color w:val="auto"/>
        </w:rPr>
        <w:t>Senior Vice President, Chief Financial Officer and Treasurer</w:t>
      </w:r>
    </w:p>
    <w:p>
      <w:pPr>
        <w:spacing w:after="0" w:line="1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Accepted as of the date hereof:</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ITIGROUP</w:t>
      </w:r>
      <w:r>
        <w:rPr>
          <w:rFonts w:ascii="Arial" w:cs="Arial" w:eastAsia="Arial" w:hAnsi="Arial"/>
          <w:sz w:val="18"/>
          <w:szCs w:val="18"/>
          <w:color w:val="auto"/>
        </w:rPr>
        <w:t xml:space="preserve"> G</w:t>
      </w:r>
      <w:r>
        <w:rPr>
          <w:rFonts w:ascii="Arial" w:cs="Arial" w:eastAsia="Arial" w:hAnsi="Arial"/>
          <w:sz w:val="14"/>
          <w:szCs w:val="14"/>
          <w:color w:val="auto"/>
        </w:rPr>
        <w:t>LOBAL</w:t>
      </w:r>
      <w:r>
        <w:rPr>
          <w:rFonts w:ascii="Arial" w:cs="Arial" w:eastAsia="Arial" w:hAnsi="Arial"/>
          <w:sz w:val="18"/>
          <w:szCs w:val="18"/>
          <w:color w:val="auto"/>
        </w:rPr>
        <w:t xml:space="preserve"> M</w:t>
      </w:r>
      <w:r>
        <w:rPr>
          <w:rFonts w:ascii="Arial" w:cs="Arial" w:eastAsia="Arial" w:hAnsi="Arial"/>
          <w:sz w:val="14"/>
          <w:szCs w:val="14"/>
          <w:color w:val="auto"/>
        </w:rPr>
        <w:t>ARKETS</w:t>
      </w:r>
      <w:r>
        <w:rPr>
          <w:rFonts w:ascii="Arial" w:cs="Arial" w:eastAsia="Arial" w:hAnsi="Arial"/>
          <w:sz w:val="18"/>
          <w:szCs w:val="18"/>
          <w:color w:val="auto"/>
        </w:rPr>
        <w:t xml:space="preserve"> I</w:t>
      </w:r>
      <w:r>
        <w:rPr>
          <w:rFonts w:ascii="Arial" w:cs="Arial" w:eastAsia="Arial" w:hAnsi="Arial"/>
          <w:sz w:val="14"/>
          <w:szCs w:val="14"/>
          <w:color w:val="auto"/>
        </w:rPr>
        <w:t>NC</w:t>
      </w:r>
      <w:r>
        <w:rPr>
          <w:rFonts w:ascii="Arial" w:cs="Arial" w:eastAsia="Arial" w:hAnsi="Arial"/>
          <w:sz w:val="18"/>
          <w:szCs w:val="18"/>
          <w:color w:val="auto"/>
        </w:rPr>
        <w:t>.</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ACHOVIA</w:t>
      </w:r>
      <w:r>
        <w:rPr>
          <w:rFonts w:ascii="Arial" w:cs="Arial" w:eastAsia="Arial" w:hAnsi="Arial"/>
          <w:sz w:val="18"/>
          <w:szCs w:val="18"/>
          <w:color w:val="auto"/>
        </w:rPr>
        <w:t xml:space="preserve"> C</w:t>
      </w:r>
      <w:r>
        <w:rPr>
          <w:rFonts w:ascii="Arial" w:cs="Arial" w:eastAsia="Arial" w:hAnsi="Arial"/>
          <w:sz w:val="14"/>
          <w:szCs w:val="14"/>
          <w:color w:val="auto"/>
        </w:rPr>
        <w:t>APITAL</w:t>
      </w:r>
      <w:r>
        <w:rPr>
          <w:rFonts w:ascii="Arial" w:cs="Arial" w:eastAsia="Arial" w:hAnsi="Arial"/>
          <w:sz w:val="18"/>
          <w:szCs w:val="18"/>
          <w:color w:val="auto"/>
        </w:rPr>
        <w:t xml:space="preserve"> M</w:t>
      </w:r>
      <w:r>
        <w:rPr>
          <w:rFonts w:ascii="Arial" w:cs="Arial" w:eastAsia="Arial" w:hAnsi="Arial"/>
          <w:sz w:val="14"/>
          <w:szCs w:val="14"/>
          <w:color w:val="auto"/>
        </w:rPr>
        <w:t>ARKETS</w:t>
      </w:r>
      <w:r>
        <w:rPr>
          <w:rFonts w:ascii="Arial" w:cs="Arial" w:eastAsia="Arial" w:hAnsi="Arial"/>
          <w:sz w:val="18"/>
          <w:szCs w:val="18"/>
          <w:color w:val="auto"/>
        </w:rPr>
        <w:t>, LLC</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EGG</w:t>
      </w:r>
      <w:r>
        <w:rPr>
          <w:rFonts w:ascii="Arial" w:cs="Arial" w:eastAsia="Arial" w:hAnsi="Arial"/>
          <w:sz w:val="18"/>
          <w:szCs w:val="18"/>
          <w:color w:val="auto"/>
        </w:rPr>
        <w:t xml:space="preserve"> M</w:t>
      </w:r>
      <w:r>
        <w:rPr>
          <w:rFonts w:ascii="Arial" w:cs="Arial" w:eastAsia="Arial" w:hAnsi="Arial"/>
          <w:sz w:val="14"/>
          <w:szCs w:val="14"/>
          <w:color w:val="auto"/>
        </w:rPr>
        <w:t>ASON</w:t>
      </w:r>
      <w:r>
        <w:rPr>
          <w:rFonts w:ascii="Arial" w:cs="Arial" w:eastAsia="Arial" w:hAnsi="Arial"/>
          <w:sz w:val="18"/>
          <w:szCs w:val="18"/>
          <w:color w:val="auto"/>
        </w:rPr>
        <w:t xml:space="preserve"> W</w:t>
      </w:r>
      <w:r>
        <w:rPr>
          <w:rFonts w:ascii="Arial" w:cs="Arial" w:eastAsia="Arial" w:hAnsi="Arial"/>
          <w:sz w:val="14"/>
          <w:szCs w:val="14"/>
          <w:color w:val="auto"/>
        </w:rPr>
        <w:t>OOD</w:t>
      </w:r>
      <w:r>
        <w:rPr>
          <w:rFonts w:ascii="Arial" w:cs="Arial" w:eastAsia="Arial" w:hAnsi="Arial"/>
          <w:sz w:val="18"/>
          <w:szCs w:val="18"/>
          <w:color w:val="auto"/>
        </w:rPr>
        <w:t xml:space="preserve"> W</w:t>
      </w:r>
      <w:r>
        <w:rPr>
          <w:rFonts w:ascii="Arial" w:cs="Arial" w:eastAsia="Arial" w:hAnsi="Arial"/>
          <w:sz w:val="14"/>
          <w:szCs w:val="14"/>
          <w:color w:val="auto"/>
        </w:rPr>
        <w:t>ALKER</w:t>
      </w:r>
      <w:r>
        <w:rPr>
          <w:rFonts w:ascii="Arial" w:cs="Arial" w:eastAsia="Arial" w:hAnsi="Arial"/>
          <w:sz w:val="18"/>
          <w:szCs w:val="18"/>
          <w:color w:val="auto"/>
        </w:rPr>
        <w:t>, I</w:t>
      </w:r>
      <w:r>
        <w:rPr>
          <w:rFonts w:ascii="Arial" w:cs="Arial" w:eastAsia="Arial" w:hAnsi="Arial"/>
          <w:sz w:val="14"/>
          <w:szCs w:val="14"/>
          <w:color w:val="auto"/>
        </w:rPr>
        <w:t>NCORPORATED</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ERRILL</w:t>
      </w:r>
      <w:r>
        <w:rPr>
          <w:rFonts w:ascii="Arial" w:cs="Arial" w:eastAsia="Arial" w:hAnsi="Arial"/>
          <w:sz w:val="18"/>
          <w:szCs w:val="18"/>
          <w:color w:val="auto"/>
        </w:rPr>
        <w:t xml:space="preserve"> L</w:t>
      </w:r>
      <w:r>
        <w:rPr>
          <w:rFonts w:ascii="Arial" w:cs="Arial" w:eastAsia="Arial" w:hAnsi="Arial"/>
          <w:sz w:val="14"/>
          <w:szCs w:val="14"/>
          <w:color w:val="auto"/>
        </w:rPr>
        <w:t>YNCH</w:t>
      </w:r>
      <w:r>
        <w:rPr>
          <w:rFonts w:ascii="Arial" w:cs="Arial" w:eastAsia="Arial" w:hAnsi="Arial"/>
          <w:sz w:val="18"/>
          <w:szCs w:val="18"/>
          <w:color w:val="auto"/>
        </w:rPr>
        <w:t>, P</w:t>
      </w:r>
      <w:r>
        <w:rPr>
          <w:rFonts w:ascii="Arial" w:cs="Arial" w:eastAsia="Arial" w:hAnsi="Arial"/>
          <w:sz w:val="14"/>
          <w:szCs w:val="14"/>
          <w:color w:val="auto"/>
        </w:rPr>
        <w:t>IERCE</w:t>
      </w:r>
      <w:r>
        <w:rPr>
          <w:rFonts w:ascii="Arial" w:cs="Arial" w:eastAsia="Arial" w:hAnsi="Arial"/>
          <w:sz w:val="18"/>
          <w:szCs w:val="18"/>
          <w:color w:val="auto"/>
        </w:rPr>
        <w:t>, F</w:t>
      </w:r>
      <w:r>
        <w:rPr>
          <w:rFonts w:ascii="Arial" w:cs="Arial" w:eastAsia="Arial" w:hAnsi="Arial"/>
          <w:sz w:val="14"/>
          <w:szCs w:val="14"/>
          <w:color w:val="auto"/>
        </w:rPr>
        <w:t>ENNER</w:t>
      </w:r>
      <w:r>
        <w:rPr>
          <w:rFonts w:ascii="Arial" w:cs="Arial" w:eastAsia="Arial" w:hAnsi="Arial"/>
          <w:sz w:val="18"/>
          <w:szCs w:val="18"/>
          <w:color w:val="auto"/>
        </w:rPr>
        <w:t xml:space="preserve"> &amp; S</w:t>
      </w:r>
      <w:r>
        <w:rPr>
          <w:rFonts w:ascii="Arial" w:cs="Arial" w:eastAsia="Arial" w:hAnsi="Arial"/>
          <w:sz w:val="14"/>
          <w:szCs w:val="14"/>
          <w:color w:val="auto"/>
        </w:rPr>
        <w:t>MITH</w:t>
      </w:r>
      <w:r>
        <w:rPr>
          <w:rFonts w:ascii="Arial" w:cs="Arial" w:eastAsia="Arial" w:hAnsi="Arial"/>
          <w:sz w:val="18"/>
          <w:szCs w:val="18"/>
          <w:color w:val="auto"/>
        </w:rPr>
        <w:t xml:space="preserve"> I</w:t>
      </w:r>
      <w:r>
        <w:rPr>
          <w:rFonts w:ascii="Arial" w:cs="Arial" w:eastAsia="Arial" w:hAnsi="Arial"/>
          <w:sz w:val="14"/>
          <w:szCs w:val="14"/>
          <w:color w:val="auto"/>
        </w:rPr>
        <w:t>NCORPORATED</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EAR</w:t>
      </w:r>
      <w:r>
        <w:rPr>
          <w:rFonts w:ascii="Arial" w:cs="Arial" w:eastAsia="Arial" w:hAnsi="Arial"/>
          <w:sz w:val="18"/>
          <w:szCs w:val="18"/>
          <w:color w:val="auto"/>
        </w:rPr>
        <w:t>, S</w:t>
      </w:r>
      <w:r>
        <w:rPr>
          <w:rFonts w:ascii="Arial" w:cs="Arial" w:eastAsia="Arial" w:hAnsi="Arial"/>
          <w:sz w:val="14"/>
          <w:szCs w:val="14"/>
          <w:color w:val="auto"/>
        </w:rPr>
        <w:t>TEARNS</w:t>
      </w:r>
      <w:r>
        <w:rPr>
          <w:rFonts w:ascii="Arial" w:cs="Arial" w:eastAsia="Arial" w:hAnsi="Arial"/>
          <w:sz w:val="18"/>
          <w:szCs w:val="18"/>
          <w:color w:val="auto"/>
        </w:rPr>
        <w:t xml:space="preserve"> &amp; C</w:t>
      </w:r>
      <w:r>
        <w:rPr>
          <w:rFonts w:ascii="Arial" w:cs="Arial" w:eastAsia="Arial" w:hAnsi="Arial"/>
          <w:sz w:val="14"/>
          <w:szCs w:val="14"/>
          <w:color w:val="auto"/>
        </w:rPr>
        <w:t>O</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C</w:t>
      </w:r>
      <w:r>
        <w:rPr>
          <w:rFonts w:ascii="Arial" w:cs="Arial" w:eastAsia="Arial" w:hAnsi="Arial"/>
          <w:sz w:val="18"/>
          <w:szCs w:val="18"/>
          <w:color w:val="auto"/>
        </w:rPr>
        <w:t>D</w:t>
      </w:r>
      <w:r>
        <w:rPr>
          <w:rFonts w:ascii="Arial" w:cs="Arial" w:eastAsia="Arial" w:hAnsi="Arial"/>
          <w:sz w:val="14"/>
          <w:szCs w:val="14"/>
          <w:color w:val="auto"/>
        </w:rPr>
        <w:t>ONALD</w:t>
      </w:r>
      <w:r>
        <w:rPr>
          <w:rFonts w:ascii="Arial" w:cs="Arial" w:eastAsia="Arial" w:hAnsi="Arial"/>
          <w:sz w:val="18"/>
          <w:szCs w:val="18"/>
          <w:color w:val="auto"/>
        </w:rPr>
        <w:t xml:space="preserve"> I</w:t>
      </w:r>
      <w:r>
        <w:rPr>
          <w:rFonts w:ascii="Arial" w:cs="Arial" w:eastAsia="Arial" w:hAnsi="Arial"/>
          <w:sz w:val="14"/>
          <w:szCs w:val="14"/>
          <w:color w:val="auto"/>
        </w:rPr>
        <w:t>NVESTMENTS</w:t>
      </w:r>
      <w:r>
        <w:rPr>
          <w:rFonts w:ascii="Arial" w:cs="Arial" w:eastAsia="Arial" w:hAnsi="Arial"/>
          <w:sz w:val="18"/>
          <w:szCs w:val="18"/>
          <w:color w:val="auto"/>
        </w:rPr>
        <w:t xml:space="preserve"> I</w:t>
      </w:r>
      <w:r>
        <w:rPr>
          <w:rFonts w:ascii="Arial" w:cs="Arial" w:eastAsia="Arial" w:hAnsi="Arial"/>
          <w:sz w:val="14"/>
          <w:szCs w:val="14"/>
          <w:color w:val="auto"/>
        </w:rPr>
        <w:t>NC</w:t>
      </w:r>
      <w:r>
        <w:rPr>
          <w:rFonts w:ascii="Arial" w:cs="Arial" w:eastAsia="Arial" w:hAnsi="Arial"/>
          <w:sz w:val="18"/>
          <w:szCs w:val="18"/>
          <w:color w:val="auto"/>
        </w:rPr>
        <w:t>.</w:t>
      </w:r>
    </w:p>
    <w:p>
      <w:pPr>
        <w:spacing w:after="0" w:line="15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Citigroup Global Markets Inc.</w:t>
      </w:r>
    </w:p>
    <w:p>
      <w:pPr>
        <w:spacing w:after="0" w:line="225" w:lineRule="exact"/>
        <w:rPr>
          <w:sz w:val="20"/>
          <w:szCs w:val="20"/>
          <w:color w:val="auto"/>
        </w:rPr>
      </w:pPr>
    </w:p>
    <w:p>
      <w:pPr>
        <w:spacing w:after="0"/>
        <w:tabs>
          <w:tab w:leader="none" w:pos="400" w:val="left"/>
          <w:tab w:leader="none" w:pos="74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5"/>
          <w:szCs w:val="15"/>
          <w:color w:val="auto"/>
        </w:rPr>
        <w:t>Douglas W. Sesler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80010</wp:posOffset>
            </wp:positionV>
            <wp:extent cx="269303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216" w:lineRule="exact"/>
        <w:rPr>
          <w:sz w:val="20"/>
          <w:szCs w:val="20"/>
          <w:color w:val="auto"/>
        </w:rPr>
      </w:pPr>
    </w:p>
    <w:p>
      <w:pPr>
        <w:ind w:left="420"/>
        <w:spacing w:after="0"/>
        <w:tabs>
          <w:tab w:leader="none" w:pos="900" w:val="left"/>
        </w:tabs>
        <w:rPr>
          <w:sz w:val="20"/>
          <w:szCs w:val="20"/>
          <w:color w:val="auto"/>
        </w:rPr>
      </w:pPr>
      <w:r>
        <w:rPr>
          <w:rFonts w:ascii="Arial" w:cs="Arial" w:eastAsia="Arial" w:hAnsi="Arial"/>
          <w:sz w:val="14"/>
          <w:szCs w:val="14"/>
          <w:color w:val="auto"/>
        </w:rPr>
        <w:t>Name:</w:t>
        <w:tab/>
        <w:t>Douglas W. Sesler</w:t>
      </w:r>
    </w:p>
    <w:p>
      <w:pPr>
        <w:ind w:left="420"/>
        <w:spacing w:after="0"/>
        <w:tabs>
          <w:tab w:leader="none" w:pos="900" w:val="left"/>
        </w:tabs>
        <w:rPr>
          <w:sz w:val="20"/>
          <w:szCs w:val="20"/>
          <w:color w:val="auto"/>
        </w:rPr>
      </w:pPr>
      <w:r>
        <w:rPr>
          <w:rFonts w:ascii="Arial" w:cs="Arial" w:eastAsia="Arial" w:hAnsi="Arial"/>
          <w:sz w:val="14"/>
          <w:szCs w:val="14"/>
          <w:color w:val="auto"/>
        </w:rPr>
        <w:t>Title:</w:t>
      </w:r>
      <w:r>
        <w:rPr>
          <w:sz w:val="20"/>
          <w:szCs w:val="20"/>
          <w:color w:val="auto"/>
        </w:rPr>
        <w:tab/>
      </w:r>
      <w:r>
        <w:rPr>
          <w:rFonts w:ascii="Arial" w:cs="Arial" w:eastAsia="Arial" w:hAnsi="Arial"/>
          <w:sz w:val="14"/>
          <w:szCs w:val="14"/>
          <w:color w:val="auto"/>
        </w:rPr>
        <w:t>Managing Director</w:t>
      </w:r>
    </w:p>
    <w:p>
      <w:pPr>
        <w:spacing w:after="0" w:line="12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240" w:top="280" w:right="4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4160" w:type="dxa"/>
            <w:vAlign w:val="bottom"/>
            <w:gridSpan w:val="2"/>
          </w:tcPr>
          <w:p>
            <w:pPr>
              <w:ind w:left="180"/>
              <w:spacing w:after="0"/>
              <w:rPr>
                <w:sz w:val="20"/>
                <w:szCs w:val="20"/>
                <w:color w:val="auto"/>
              </w:rPr>
            </w:pPr>
            <w:r>
              <w:rPr>
                <w:rFonts w:ascii="Arial" w:cs="Arial" w:eastAsia="Arial" w:hAnsi="Arial"/>
                <w:sz w:val="18"/>
                <w:szCs w:val="18"/>
                <w:color w:val="auto"/>
              </w:rPr>
              <w:t>SCHEDULE I</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b w:val="1"/>
                <w:bCs w:val="1"/>
                <w:color w:val="auto"/>
                <w:w w:val="88"/>
              </w:rPr>
              <w:t>Principal Amount of</w:t>
            </w:r>
          </w:p>
        </w:tc>
        <w:tc>
          <w:tcPr>
            <w:tcW w:w="0" w:type="dxa"/>
            <w:vAlign w:val="bottom"/>
          </w:tcPr>
          <w:p>
            <w:pPr>
              <w:spacing w:after="0"/>
              <w:rPr>
                <w:sz w:val="1"/>
                <w:szCs w:val="1"/>
                <w:color w:val="auto"/>
              </w:rPr>
            </w:pPr>
          </w:p>
        </w:tc>
      </w:tr>
      <w:tr>
        <w:trPr>
          <w:trHeight w:val="174"/>
        </w:trPr>
        <w:tc>
          <w:tcPr>
            <w:tcW w:w="3880" w:type="dxa"/>
            <w:vAlign w:val="bottom"/>
            <w:gridSpan w:val="3"/>
          </w:tcPr>
          <w:p>
            <w:pPr>
              <w:spacing w:after="0"/>
              <w:rPr>
                <w:sz w:val="20"/>
                <w:szCs w:val="20"/>
                <w:color w:val="auto"/>
              </w:rPr>
            </w:pPr>
            <w:r>
              <w:rPr>
                <w:rFonts w:ascii="Arial" w:cs="Arial" w:eastAsia="Arial" w:hAnsi="Arial"/>
                <w:sz w:val="14"/>
                <w:szCs w:val="14"/>
                <w:b w:val="1"/>
                <w:bCs w:val="1"/>
                <w:color w:val="auto"/>
              </w:rPr>
              <w:t>Underwriter</w:t>
            </w:r>
          </w:p>
        </w:tc>
        <w:tc>
          <w:tcPr>
            <w:tcW w:w="5260" w:type="dxa"/>
            <w:vAlign w:val="bottom"/>
            <w:gridSpan w:val="3"/>
          </w:tcPr>
          <w:p>
            <w:pPr>
              <w:ind w:left="4020"/>
              <w:spacing w:after="0"/>
              <w:rPr>
                <w:sz w:val="20"/>
                <w:szCs w:val="20"/>
                <w:color w:val="auto"/>
              </w:rPr>
            </w:pPr>
            <w:r>
              <w:rPr>
                <w:rFonts w:ascii="Arial" w:cs="Arial" w:eastAsia="Arial" w:hAnsi="Arial"/>
                <w:sz w:val="14"/>
                <w:szCs w:val="14"/>
                <w:b w:val="1"/>
                <w:bCs w:val="1"/>
                <w:color w:val="auto"/>
                <w:w w:val="83"/>
              </w:rPr>
              <w:t>Designated Securities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940" w:type="dxa"/>
            <w:vAlign w:val="bottom"/>
          </w:tcPr>
          <w:p>
            <w:pPr>
              <w:spacing w:after="0"/>
              <w:rPr>
                <w:sz w:val="8"/>
                <w:szCs w:val="8"/>
                <w:color w:val="auto"/>
              </w:rPr>
            </w:pPr>
          </w:p>
        </w:tc>
        <w:tc>
          <w:tcPr>
            <w:tcW w:w="40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0" w:type="dxa"/>
            <w:vAlign w:val="bottom"/>
          </w:tcPr>
          <w:p>
            <w:pPr>
              <w:spacing w:after="0"/>
              <w:rPr>
                <w:sz w:val="8"/>
                <w:szCs w:val="8"/>
                <w:color w:val="auto"/>
              </w:rPr>
            </w:pPr>
          </w:p>
        </w:tc>
        <w:tc>
          <w:tcPr>
            <w:tcW w:w="2940" w:type="dxa"/>
            <w:vAlign w:val="bottom"/>
          </w:tcPr>
          <w:p>
            <w:pPr>
              <w:spacing w:after="0"/>
              <w:rPr>
                <w:sz w:val="8"/>
                <w:szCs w:val="8"/>
                <w:color w:val="auto"/>
              </w:rPr>
            </w:pPr>
          </w:p>
        </w:tc>
        <w:tc>
          <w:tcPr>
            <w:tcW w:w="4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Citigroup Global Markets Inc.</w:t>
            </w:r>
          </w:p>
        </w:tc>
        <w:tc>
          <w:tcPr>
            <w:tcW w:w="4160" w:type="dxa"/>
            <w:vAlign w:val="bottom"/>
            <w:gridSpan w:val="2"/>
            <w:shd w:val="clear" w:color="auto" w:fill="CCEEFF"/>
          </w:tcPr>
          <w:p>
            <w:pPr>
              <w:ind w:left="40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Wachovia Capital Markets, LLC</w:t>
            </w:r>
          </w:p>
        </w:tc>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18,750,000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Legg Mason Wood Walker, Incorporated</w:t>
            </w:r>
          </w:p>
        </w:tc>
        <w:tc>
          <w:tcPr>
            <w:tcW w:w="4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w w:val="95"/>
              </w:rPr>
              <w:t>Merrill Lynch, Pierce, Fenner &amp; Smith Incorporated</w:t>
            </w:r>
          </w:p>
        </w:tc>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9,375,000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Bear, Stearns &amp; Co. Inc.</w:t>
            </w:r>
          </w:p>
        </w:tc>
        <w:tc>
          <w:tcPr>
            <w:tcW w:w="4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3,750,000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McDonald Investments Inc.</w:t>
            </w:r>
          </w:p>
        </w:tc>
        <w:tc>
          <w:tcPr>
            <w:tcW w:w="4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3,750,000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940" w:type="dxa"/>
            <w:vAlign w:val="bottom"/>
          </w:tcPr>
          <w:p>
            <w:pPr>
              <w:spacing w:after="0"/>
              <w:rPr>
                <w:sz w:val="8"/>
                <w:szCs w:val="8"/>
                <w:color w:val="auto"/>
              </w:rPr>
            </w:pPr>
          </w:p>
        </w:tc>
        <w:tc>
          <w:tcPr>
            <w:tcW w:w="40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940" w:type="dxa"/>
            <w:vAlign w:val="bottom"/>
          </w:tcPr>
          <w:p>
            <w:pPr>
              <w:spacing w:after="0"/>
              <w:rPr>
                <w:sz w:val="8"/>
                <w:szCs w:val="8"/>
                <w:color w:val="auto"/>
              </w:rPr>
            </w:pPr>
          </w:p>
        </w:tc>
        <w:tc>
          <w:tcPr>
            <w:tcW w:w="4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4160" w:type="dxa"/>
            <w:vAlign w:val="bottom"/>
            <w:gridSpan w:val="2"/>
            <w:shd w:val="clear" w:color="auto" w:fill="CCEEFF"/>
          </w:tcPr>
          <w:p>
            <w:pPr>
              <w:ind w:left="40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75,000,000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40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5024755</wp:posOffset>
            </wp:positionH>
            <wp:positionV relativeFrom="paragraph">
              <wp:posOffset>-27305</wp:posOffset>
            </wp:positionV>
            <wp:extent cx="78422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84225" cy="29845"/>
                    </a:xfrm>
                    <a:prstGeom prst="rect">
                      <a:avLst/>
                    </a:prstGeom>
                    <a:noFill/>
                  </pic:spPr>
                </pic:pic>
              </a:graphicData>
            </a:graphic>
          </wp:anchor>
        </w:drawing>
      </w:r>
    </w:p>
    <w:p>
      <w:pPr>
        <w:sectPr>
          <w:pgSz w:w="11900" w:h="16838" w:orient="portrait"/>
          <w:cols w:equalWidth="0" w:num="1">
            <w:col w:w="9140"/>
          </w:cols>
          <w:pgMar w:left="1380" w:top="280" w:right="1379" w:bottom="1440" w:gutter="0" w:footer="0" w:header="0"/>
        </w:sectPr>
      </w:pPr>
    </w:p>
    <w:bookmarkStart w:id="38" w:name="page39"/>
    <w:bookmarkEnd w:id="38"/>
    <w:p>
      <w:pPr>
        <w:jc w:val="center"/>
        <w:ind w:right="-4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II</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Title of Designated Securities: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4.50% Notes due 2011</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Aggregate principal amount: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$75,000,000</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to Public:</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99.698% of the principal amount of the Designated Securities, plus accrued interest from January 26, 2004</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Price by Underwriters: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99.073% of the principal amount of the Designated Securities, plus accrued interest from January 26, 2004</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Specified funds for payment of purchase price: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Wire transfer of immediately available funds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Indenture:</w:t>
      </w:r>
    </w:p>
    <w:p>
      <w:pPr>
        <w:spacing w:after="0" w:line="83"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Indenture dated as of September 1, 1998, between the Company and Wachovia Bank, National Association (formerly, First Union National Bank), as Trustee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Maturity:</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February 15, 2011</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4.50%</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Payment Dates: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February 15 and August 15, commencing August 15, 2004</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Provisions:</w:t>
      </w:r>
    </w:p>
    <w:p>
      <w:pPr>
        <w:spacing w:after="0" w:line="83" w:lineRule="exact"/>
        <w:rPr>
          <w:sz w:val="20"/>
          <w:szCs w:val="20"/>
          <w:color w:val="auto"/>
        </w:rPr>
      </w:pPr>
    </w:p>
    <w:p>
      <w:pPr>
        <w:ind w:left="920"/>
        <w:spacing w:after="0"/>
        <w:rPr>
          <w:sz w:val="20"/>
          <w:szCs w:val="20"/>
          <w:color w:val="auto"/>
        </w:rPr>
      </w:pPr>
      <w:r>
        <w:rPr>
          <w:rFonts w:ascii="Arial" w:cs="Arial" w:eastAsia="Arial" w:hAnsi="Arial"/>
          <w:sz w:val="15"/>
          <w:szCs w:val="15"/>
          <w:color w:val="auto"/>
        </w:rPr>
        <w:t>The Designated Securities may be redeemed at any time, in whole or in part, at a redemption price as described in the Prospectus Supplement</w:t>
      </w:r>
    </w:p>
    <w:p>
      <w:pPr>
        <w:sectPr>
          <w:pgSz w:w="11900" w:h="16838" w:orient="portrait"/>
          <w:cols w:equalWidth="0" w:num="1">
            <w:col w:w="10940"/>
          </w:cols>
          <w:pgMar w:left="240" w:top="280" w:right="71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Sinking Fund Provisions: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 provisions:</w:t>
      </w:r>
    </w:p>
    <w:p>
      <w:pPr>
        <w:spacing w:after="0" w:line="83" w:lineRule="exact"/>
        <w:rPr>
          <w:sz w:val="20"/>
          <w:szCs w:val="20"/>
          <w:color w:val="auto"/>
        </w:rPr>
      </w:pPr>
    </w:p>
    <w:p>
      <w:pPr>
        <w:ind w:right="3300" w:firstLine="456"/>
        <w:spacing w:after="0" w:line="375" w:lineRule="auto"/>
        <w:rPr>
          <w:sz w:val="20"/>
          <w:szCs w:val="20"/>
          <w:color w:val="auto"/>
        </w:rPr>
      </w:pPr>
      <w:r>
        <w:rPr>
          <w:rFonts w:ascii="Arial" w:cs="Arial" w:eastAsia="Arial" w:hAnsi="Arial"/>
          <w:sz w:val="18"/>
          <w:szCs w:val="18"/>
          <w:color w:val="auto"/>
        </w:rPr>
        <w:t xml:space="preserve">The defeasance and covenant defeasance provisions of the Indenture apply to the Designated Securities </w:t>
      </w:r>
      <w:r>
        <w:rPr>
          <w:rFonts w:ascii="Arial" w:cs="Arial" w:eastAsia="Arial" w:hAnsi="Arial"/>
          <w:sz w:val="18"/>
          <w:szCs w:val="18"/>
          <w:b w:val="1"/>
          <w:bCs w:val="1"/>
          <w:color w:val="auto"/>
        </w:rPr>
        <w:t>Time of Delivery:</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January 26, 2004</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Closing Location: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Sidley Austin Brown &amp; Wood LLP</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787 Seventh Avenue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10019</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Names and addresses of Representative(s):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Designated Representative(s):</w:t>
      </w:r>
    </w:p>
    <w:p>
      <w:pPr>
        <w:spacing w:after="0" w:line="77" w:lineRule="exact"/>
        <w:rPr>
          <w:sz w:val="20"/>
          <w:szCs w:val="20"/>
          <w:color w:val="auto"/>
        </w:rPr>
      </w:pPr>
    </w:p>
    <w:p>
      <w:pPr>
        <w:ind w:left="920"/>
        <w:spacing w:after="0" w:line="268" w:lineRule="auto"/>
        <w:rPr>
          <w:sz w:val="20"/>
          <w:szCs w:val="20"/>
          <w:color w:val="auto"/>
        </w:rPr>
      </w:pPr>
      <w:r>
        <w:rPr>
          <w:rFonts w:ascii="Arial" w:cs="Arial" w:eastAsia="Arial" w:hAnsi="Arial"/>
          <w:sz w:val="18"/>
          <w:szCs w:val="18"/>
          <w:color w:val="auto"/>
        </w:rPr>
        <w:t>Citigroup Global Markets Inc., on behalf of itself and Wachovia Capital Markets, LLC Legg Mason Wood Walker, Incorporated, Merrill Lynch, Pierce, Fenner &amp; Smith Incorporated, Bear, Stearns &amp; Co. Inc. and McDonald Investments Inc.</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Address for Notices, etc.:</w:t>
      </w:r>
    </w:p>
    <w:p>
      <w:pPr>
        <w:spacing w:after="0" w:line="7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 Citigroup Global Markets Inc.</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New York, New York 10013</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Attn: Doug Sesler</w:t>
      </w:r>
    </w:p>
    <w:p>
      <w:pPr>
        <w:spacing w:after="0" w:line="151"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240" w:top="274" w:right="6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4.1</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[Face of Security]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FEDERAL REALTY INVESTMENT TRUST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4.50% Note due 2011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680" w:type="dxa"/>
            <w:vAlign w:val="bottom"/>
          </w:tcPr>
          <w:p>
            <w:pPr>
              <w:spacing w:after="0"/>
              <w:rPr>
                <w:sz w:val="20"/>
                <w:szCs w:val="20"/>
                <w:color w:val="auto"/>
              </w:rPr>
            </w:pPr>
            <w:r>
              <w:rPr>
                <w:rFonts w:ascii="Arial" w:cs="Arial" w:eastAsia="Arial" w:hAnsi="Arial"/>
                <w:sz w:val="18"/>
                <w:szCs w:val="18"/>
                <w:color w:val="auto"/>
              </w:rPr>
              <w:t>CUSIP No.</w:t>
            </w:r>
          </w:p>
        </w:tc>
        <w:tc>
          <w:tcPr>
            <w:tcW w:w="5740" w:type="dxa"/>
            <w:vAlign w:val="bottom"/>
          </w:tcPr>
          <w:p>
            <w:pPr>
              <w:jc w:val="right"/>
              <w:spacing w:after="0"/>
              <w:rPr>
                <w:sz w:val="20"/>
                <w:szCs w:val="20"/>
                <w:color w:val="auto"/>
              </w:rPr>
            </w:pPr>
            <w:r>
              <w:rPr>
                <w:rFonts w:ascii="Arial" w:cs="Arial" w:eastAsia="Arial" w:hAnsi="Arial"/>
                <w:sz w:val="18"/>
                <w:szCs w:val="18"/>
                <w:color w:val="auto"/>
              </w:rPr>
              <w:t>$75,000,000</w:t>
            </w:r>
          </w:p>
        </w:tc>
      </w:tr>
    </w:tbl>
    <w:p>
      <w:pPr>
        <w:spacing w:after="0" w:line="136" w:lineRule="exact"/>
        <w:rPr>
          <w:sz w:val="20"/>
          <w:szCs w:val="20"/>
          <w:color w:val="auto"/>
        </w:rPr>
      </w:pPr>
    </w:p>
    <w:p>
      <w:pPr>
        <w:ind w:right="400"/>
        <w:spacing w:after="0" w:line="255" w:lineRule="auto"/>
        <w:rPr>
          <w:sz w:val="20"/>
          <w:szCs w:val="20"/>
          <w:color w:val="auto"/>
        </w:rPr>
      </w:pPr>
      <w:r>
        <w:rPr>
          <w:rFonts w:ascii="Arial" w:cs="Arial" w:eastAsia="Arial" w:hAnsi="Arial"/>
          <w:sz w:val="18"/>
          <w:szCs w:val="18"/>
          <w:b w:val="1"/>
          <w:bCs w:val="1"/>
          <w:color w:val="auto"/>
        </w:rPr>
        <w:t>UNLESS THIS NOTE IS PRESENTED BY AN AUTHORIZED REPRESENTATIVE OF THE DEPOSITORY TRUST COMPANY (55 WATER STREET, NEW YORK, NEW YORK) TO THE ISSUER OR ITS AGENT FOR REGISTRATION OF TRANSFER, EXCHANGE OR PAYMENT, AND SUCH NOTE ISSUED IS REGISTERED IN THE NAME OF CEDE &amp; CO., OR SUCH OTHER NAME AS REQUESTED BY AN AUTHORIZED REPRESENTATIVE OF THE DEPOSITORY, ANY TRANSFER, PLEDGE OR OTHER USE HEREOF FOR VALUE OR OTHERWISE BY OR TO ANY PERSON IS WRONGFUL, SINCE THE REGISTERED OWNER HEREOF, CEDE &amp; CO., HAS AN INTEREST HEREIN.</w:t>
      </w:r>
    </w:p>
    <w:p>
      <w:pPr>
        <w:spacing w:after="0" w:line="45"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UNLESS AND UNTIL THIS NOTE IS EXCHANGED IN WHOLE OR IN PART FOR NOTES IN CERTIFICATED FORM, THIS NOTE MAY NOT BE TRANSFERRED EXCEPT AS A WHOLE BY THE DEPOSITORY TO A NOMINEE THEREOF OR BY A NOMINEE THEREOF TO THE DEPOSITORY OR ANOTHER NOMINEE OF THE DEPOSITORY OR BY THE DEPOSITORY OR ANY SUCH NOMINEE TO A SUCCESSOR OF THE DEPOSITORY OR A NOMINEE OF SUCH SUCCESSOR.</w:t>
      </w:r>
    </w:p>
    <w:p>
      <w:pPr>
        <w:spacing w:after="0" w:line="42" w:lineRule="exact"/>
        <w:rPr>
          <w:sz w:val="20"/>
          <w:szCs w:val="20"/>
          <w:color w:val="auto"/>
        </w:rPr>
      </w:pPr>
    </w:p>
    <w:p>
      <w:pPr>
        <w:ind w:right="960"/>
        <w:spacing w:after="0" w:line="275" w:lineRule="auto"/>
        <w:rPr>
          <w:sz w:val="20"/>
          <w:szCs w:val="20"/>
          <w:color w:val="auto"/>
        </w:rPr>
      </w:pPr>
      <w:r>
        <w:rPr>
          <w:rFonts w:ascii="Arial" w:cs="Arial" w:eastAsia="Arial" w:hAnsi="Arial"/>
          <w:sz w:val="18"/>
          <w:szCs w:val="18"/>
          <w:b w:val="1"/>
          <w:bCs w:val="1"/>
          <w:color w:val="auto"/>
        </w:rPr>
        <w:t>THIS NOTE WILL BE ISSUED AND MAY BE TRANSFERRED ONLY IN MINIMUM DENOMINATIONS OF $1,000 AND INTEGRAL MULTIPLES OF $1,000 IN EXCESS THEREOF.</w:t>
      </w:r>
    </w:p>
    <w:p>
      <w:pPr>
        <w:spacing w:after="0" w:line="31" w:lineRule="exact"/>
        <w:rPr>
          <w:sz w:val="20"/>
          <w:szCs w:val="20"/>
          <w:color w:val="auto"/>
        </w:rPr>
      </w:pPr>
    </w:p>
    <w:p>
      <w:pPr>
        <w:ind w:right="240" w:firstLine="456"/>
        <w:spacing w:after="0" w:line="283" w:lineRule="auto"/>
        <w:rPr>
          <w:sz w:val="20"/>
          <w:szCs w:val="20"/>
          <w:color w:val="auto"/>
        </w:rPr>
      </w:pPr>
      <w:r>
        <w:rPr>
          <w:rFonts w:ascii="Arial" w:cs="Arial" w:eastAsia="Arial" w:hAnsi="Arial"/>
          <w:sz w:val="16"/>
          <w:szCs w:val="16"/>
          <w:color w:val="auto"/>
        </w:rPr>
        <w:t>FEDERAL REALTY INVESTMENT TRUST, a Maryland real estate investment trust (herein referred to as the “Company,” which term includes any successor corporation under the Indenture referred to on the reverse hereof), for value received, hereby promises to pay to Cede &amp; Co. or registered assigns the principal sum of Seventy-Five Million Dollars on February 15, 2011 (the “Stated Maturity Date”) or the date fixed for earlier redemption (the “Redemption Date,” and together with the Stated Maturity Date with respect to principal repayable on such date, the “Maturity Date”), and to pay interest thereon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6877685</wp:posOffset>
            </wp:positionH>
            <wp:positionV relativeFrom="paragraph">
              <wp:posOffset>-22225</wp:posOffset>
            </wp:positionV>
            <wp:extent cx="33464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0"/>
        </w:trPr>
        <w:tc>
          <w:tcPr>
            <w:tcW w:w="8220" w:type="dxa"/>
            <w:vAlign w:val="bottom"/>
            <w:gridSpan w:val="3"/>
          </w:tcPr>
          <w:p>
            <w:pPr>
              <w:spacing w:after="0" w:line="181" w:lineRule="exact"/>
              <w:rPr>
                <w:sz w:val="20"/>
                <w:szCs w:val="20"/>
                <w:color w:val="auto"/>
              </w:rPr>
            </w:pPr>
            <w:r>
              <w:rPr>
                <w:rFonts w:ascii="Arial" w:cs="Arial" w:eastAsia="Arial" w:hAnsi="Arial"/>
                <w:sz w:val="18"/>
                <w:szCs w:val="18"/>
                <w:color w:val="auto"/>
                <w:w w:val="88"/>
              </w:rPr>
              <w:t>or from the most recent interest payment date to which interest has been paid or duly provided for, semi-annually on</w:t>
            </w:r>
          </w:p>
        </w:tc>
        <w:tc>
          <w:tcPr>
            <w:tcW w:w="520" w:type="dxa"/>
            <w:vAlign w:val="bottom"/>
            <w:tcBorders>
              <w:bottom w:val="single" w:sz="8" w:color="auto"/>
            </w:tcBorders>
          </w:tcPr>
          <w:p>
            <w:pPr>
              <w:spacing w:after="0"/>
              <w:rPr>
                <w:sz w:val="15"/>
                <w:szCs w:val="15"/>
                <w:color w:val="auto"/>
              </w:rPr>
            </w:pPr>
          </w:p>
        </w:tc>
        <w:tc>
          <w:tcPr>
            <w:tcW w:w="340" w:type="dxa"/>
            <w:vAlign w:val="bottom"/>
          </w:tcPr>
          <w:p>
            <w:pPr>
              <w:ind w:left="40"/>
              <w:spacing w:after="0" w:line="181" w:lineRule="exact"/>
              <w:rPr>
                <w:sz w:val="20"/>
                <w:szCs w:val="20"/>
                <w:color w:val="auto"/>
              </w:rPr>
            </w:pPr>
            <w:r>
              <w:rPr>
                <w:rFonts w:ascii="Arial" w:cs="Arial" w:eastAsia="Arial" w:hAnsi="Arial"/>
                <w:sz w:val="18"/>
                <w:szCs w:val="18"/>
                <w:color w:val="auto"/>
                <w:w w:val="93"/>
              </w:rPr>
              <w:t>and</w:t>
            </w:r>
          </w:p>
        </w:tc>
        <w:tc>
          <w:tcPr>
            <w:tcW w:w="540" w:type="dxa"/>
            <w:vAlign w:val="bottom"/>
            <w:tcBorders>
              <w:bottom w:val="single" w:sz="8" w:color="auto"/>
            </w:tcBorders>
          </w:tcPr>
          <w:p>
            <w:pPr>
              <w:spacing w:after="0"/>
              <w:rPr>
                <w:sz w:val="15"/>
                <w:szCs w:val="15"/>
                <w:color w:val="auto"/>
              </w:rPr>
            </w:pPr>
          </w:p>
        </w:tc>
        <w:tc>
          <w:tcPr>
            <w:tcW w:w="1560" w:type="dxa"/>
            <w:vAlign w:val="bottom"/>
          </w:tcPr>
          <w:p>
            <w:pPr>
              <w:ind w:left="40"/>
              <w:spacing w:after="0" w:line="181" w:lineRule="exact"/>
              <w:rPr>
                <w:sz w:val="20"/>
                <w:szCs w:val="20"/>
                <w:color w:val="auto"/>
              </w:rPr>
            </w:pPr>
            <w:r>
              <w:rPr>
                <w:rFonts w:ascii="Arial" w:cs="Arial" w:eastAsia="Arial" w:hAnsi="Arial"/>
                <w:sz w:val="18"/>
                <w:szCs w:val="18"/>
                <w:color w:val="auto"/>
                <w:w w:val="84"/>
              </w:rPr>
              <w:t>in each year (each, an</w:t>
            </w:r>
          </w:p>
        </w:tc>
      </w:tr>
      <w:tr>
        <w:trPr>
          <w:trHeight w:val="196"/>
        </w:trPr>
        <w:tc>
          <w:tcPr>
            <w:tcW w:w="2820" w:type="dxa"/>
            <w:vAlign w:val="bottom"/>
          </w:tcPr>
          <w:p>
            <w:pPr>
              <w:spacing w:after="0" w:line="196" w:lineRule="exact"/>
              <w:rPr>
                <w:sz w:val="20"/>
                <w:szCs w:val="20"/>
                <w:color w:val="auto"/>
              </w:rPr>
            </w:pPr>
            <w:r>
              <w:rPr>
                <w:rFonts w:ascii="Arial" w:cs="Arial" w:eastAsia="Arial" w:hAnsi="Arial"/>
                <w:sz w:val="18"/>
                <w:szCs w:val="18"/>
                <w:color w:val="auto"/>
                <w:w w:val="90"/>
              </w:rPr>
              <w:t>“Interest Payment Date”), commencing</w:t>
            </w:r>
          </w:p>
        </w:tc>
        <w:tc>
          <w:tcPr>
            <w:tcW w:w="520" w:type="dxa"/>
            <w:vAlign w:val="bottom"/>
            <w:tcBorders>
              <w:bottom w:val="single" w:sz="8" w:color="auto"/>
            </w:tcBorders>
          </w:tcPr>
          <w:p>
            <w:pPr>
              <w:spacing w:after="0"/>
              <w:rPr>
                <w:sz w:val="17"/>
                <w:szCs w:val="17"/>
                <w:color w:val="auto"/>
              </w:rPr>
            </w:pPr>
          </w:p>
        </w:tc>
        <w:tc>
          <w:tcPr>
            <w:tcW w:w="7840" w:type="dxa"/>
            <w:vAlign w:val="bottom"/>
            <w:gridSpan w:val="5"/>
          </w:tcPr>
          <w:p>
            <w:pPr>
              <w:spacing w:after="0" w:line="196" w:lineRule="exact"/>
              <w:rPr>
                <w:sz w:val="20"/>
                <w:szCs w:val="20"/>
                <w:color w:val="auto"/>
              </w:rPr>
            </w:pPr>
            <w:r>
              <w:rPr>
                <w:rFonts w:ascii="Arial" w:cs="Arial" w:eastAsia="Arial" w:hAnsi="Arial"/>
                <w:sz w:val="18"/>
                <w:szCs w:val="18"/>
                <w:color w:val="auto"/>
                <w:w w:val="89"/>
              </w:rPr>
              <w:t>, at the rate of 4.50% per annum, until the principal hereof is paid or duly provided for. The interest so payable,</w:t>
            </w:r>
          </w:p>
        </w:tc>
      </w:tr>
    </w:tbl>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and punctually paid or duly provided for, on any Interest Payment Date will, as provided in such Indenture, be paid to the Holder in whose name this Note (or one</w:t>
      </w:r>
    </w:p>
    <w:p>
      <w:pPr>
        <w:spacing w:after="0" w:line="38" w:lineRule="exact"/>
        <w:rPr>
          <w:sz w:val="20"/>
          <w:szCs w:val="20"/>
          <w:color w:val="auto"/>
        </w:rPr>
      </w:pPr>
    </w:p>
    <w:p>
      <w:pPr>
        <w:spacing w:after="0"/>
        <w:tabs>
          <w:tab w:leader="none" w:pos="9680" w:val="left"/>
          <w:tab w:leader="none" w:pos="10440" w:val="left"/>
        </w:tabs>
        <w:rPr>
          <w:sz w:val="20"/>
          <w:szCs w:val="20"/>
          <w:color w:val="auto"/>
        </w:rPr>
      </w:pPr>
      <w:r>
        <w:rPr>
          <w:rFonts w:ascii="Arial" w:cs="Arial" w:eastAsia="Arial" w:hAnsi="Arial"/>
          <w:sz w:val="16"/>
          <w:szCs w:val="16"/>
          <w:color w:val="auto"/>
        </w:rPr>
        <w:t>or more Predecessor Securities) is registered at the close of business on the Regular Record Date for such interest, which shall be</w:t>
      </w:r>
      <w:r>
        <w:rPr>
          <w:sz w:val="20"/>
          <w:szCs w:val="20"/>
          <w:color w:val="auto"/>
        </w:rPr>
        <w:tab/>
      </w:r>
      <w:r>
        <w:rPr>
          <w:rFonts w:ascii="Arial" w:cs="Arial" w:eastAsia="Arial" w:hAnsi="Arial"/>
          <w:sz w:val="18"/>
          <w:szCs w:val="18"/>
          <w:color w:val="auto"/>
        </w:rPr>
        <w:t>or</w:t>
      </w:r>
      <w:r>
        <w:rPr>
          <w:sz w:val="20"/>
          <w:szCs w:val="20"/>
          <w:color w:val="auto"/>
        </w:rPr>
        <w:tab/>
      </w:r>
      <w:r>
        <w:rPr>
          <w:rFonts w:ascii="Arial" w:cs="Arial" w:eastAsia="Arial" w:hAnsi="Arial"/>
          <w:sz w:val="15"/>
          <w:szCs w:val="15"/>
          <w:color w:val="auto"/>
        </w:rPr>
        <w:t>(whether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-17780</wp:posOffset>
            </wp:positionV>
            <wp:extent cx="81724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17245" cy="8890"/>
                    </a:xfrm>
                    <a:prstGeom prst="rect">
                      <a:avLst/>
                    </a:prstGeom>
                    <a:noFill/>
                  </pic:spPr>
                </pic:pic>
              </a:graphicData>
            </a:graphic>
          </wp:anchor>
        </w:drawing>
      </w:r>
    </w:p>
    <w:p>
      <w:pPr>
        <w:ind w:right="140"/>
        <w:spacing w:after="0" w:line="255" w:lineRule="auto"/>
        <w:rPr>
          <w:sz w:val="20"/>
          <w:szCs w:val="20"/>
          <w:color w:val="auto"/>
        </w:rPr>
      </w:pPr>
      <w:r>
        <w:rPr>
          <w:rFonts w:ascii="Arial" w:cs="Arial" w:eastAsia="Arial" w:hAnsi="Arial"/>
          <w:sz w:val="18"/>
          <w:szCs w:val="18"/>
          <w:color w:val="auto"/>
        </w:rPr>
        <w:t>not a Business Day), as the case may be, next preceding such Interest Payment Date at the office or agency of the Company maintained for such purpose; provided, however, that such interest may be paid, at the Company’s option, by mailing a check to such Holder at its registered address or by transfer of funds to an account</w:t>
      </w:r>
    </w:p>
    <w:p>
      <w:pPr>
        <w:sectPr>
          <w:pgSz w:w="11900" w:h="16838" w:orient="portrait"/>
          <w:cols w:equalWidth="0" w:num="1">
            <w:col w:w="11420"/>
          </w:cols>
          <w:pgMar w:left="240" w:top="125" w:right="239" w:bottom="1440" w:gutter="0" w:footer="0" w:header="0"/>
        </w:sectPr>
      </w:pPr>
    </w:p>
    <w:bookmarkStart w:id="41" w:name="page42"/>
    <w:bookmarkEnd w:id="41"/>
    <w:p>
      <w:pPr>
        <w:ind w:right="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maintained by such Holder within the United States. Any such interest not so punctually paid or duly provided for shall forthwith cease to be payable to the Holder on such Regular Record Date, and may be paid to the Holder in whose name this Note (or one or more Predecessor Securities) is registered at the close of business on a Special Record Date for the payment of such Defaulted Interest to be fixed by the Trustee referred to on the reverse hereof, notice whereof shall be given to Holders of Notes of this series not less than 10 days prior to such Special Record Date, or may be paid at any time in any other lawful manner not inconsistent with the requirements of any securities exchange on which the Notes of this series may be listed, and upon such notice as may be required by such exchange, all as more fully provided in the Indenture. Interest will be computed on the basis of a 360-day year of twelve 30-day months.</w:t>
      </w:r>
    </w:p>
    <w:p>
      <w:pPr>
        <w:spacing w:after="0" w:line="10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principal of this Note payable on the Stated Maturity Date or the principal of, premium, if any, and, if the Redemption Date is not an Interest Payment Date, interest on this Note payable on the Redemption Date will be paid against presentation of this Note at the office or agency of the Company maintained for that purpose in the Borough of Manhattan, The City of New York, in such coin or currency of the United States of America as at the time of payment is legal tender for the payment of public and private debts.</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Interest payable on this Note on any Interest Payment Date and on the Maturity Date, as the case may be, will include interest accrued from and including</w:t>
      </w:r>
    </w:p>
    <w:p>
      <w:pPr>
        <w:spacing w:after="0" w:line="38" w:lineRule="exact"/>
        <w:rPr>
          <w:sz w:val="20"/>
          <w:szCs w:val="20"/>
          <w:color w:val="auto"/>
        </w:rPr>
      </w:pPr>
    </w:p>
    <w:p>
      <w:pPr>
        <w:ind w:right="160"/>
        <w:spacing w:after="0" w:line="288" w:lineRule="auto"/>
        <w:rPr>
          <w:sz w:val="20"/>
          <w:szCs w:val="20"/>
          <w:color w:val="auto"/>
        </w:rPr>
      </w:pPr>
      <w:r>
        <w:rPr>
          <w:rFonts w:ascii="Arial" w:cs="Arial" w:eastAsia="Arial" w:hAnsi="Arial"/>
          <w:sz w:val="16"/>
          <w:szCs w:val="16"/>
          <w:color w:val="auto"/>
        </w:rPr>
        <w:t>the next preceding Interest Payment Date in respect of which interest has been paid or duly provided for (or from and including , if no interest has been paid on this Note) to but excluding such Interest Payment Date or the Maturity Date, as the case may be. If any Interest Payment Date or the Maturity Date falls on a day that is not a Business Day, as defined below, principal, premium, if any, and/or interest payable with respect to such Interest Payment Date or Maturity Date, as the case may be, will be paid on the next succeeding Business Day with the same force and effect as if it were paid on the date such payment was due, and no interest shall accrue on the amount so payable for the period from and after such Interest Payment Date or Maturity Date, as the case may be. “Business Day” means any day, other than a Saturday or Sunday, on which banks in the City of New York and the City of Charlotte, State of North Carolina, are not required or authorized by law or executive order to close.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5713730</wp:posOffset>
            </wp:positionH>
            <wp:positionV relativeFrom="paragraph">
              <wp:posOffset>-868045</wp:posOffset>
            </wp:positionV>
            <wp:extent cx="33464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8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All payments of principal, premium, if any, and interest in respect of this Note will be made by the Company in immediately available funds.</w:t>
      </w:r>
    </w:p>
    <w:p>
      <w:pPr>
        <w:spacing w:after="0" w:line="18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Reference is hereby made to the further provisions of this Note set forth on the reverse hereof, which further provisions shall for all purposes have the same effect as if set forth at this place.</w:t>
      </w:r>
    </w:p>
    <w:p>
      <w:pPr>
        <w:spacing w:after="0" w:line="118"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Unless the Certificate of Authentication hereon has been executed by the Trustee by manual signature of one of its authorized signatories, this Note shall not be entitled to any benefit under the Indenture, or be valid or obligatory for any purpose.</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This space intentionally left blank]</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42" w:name="page43"/>
    <w:bookmarkEnd w:id="42"/>
    <w:p>
      <w:pPr>
        <w:ind w:left="46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Company has caused this instrument to be duly executed.</w:t>
      </w:r>
    </w:p>
    <w:p>
      <w:pPr>
        <w:spacing w:after="0" w:line="19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371475</wp:posOffset>
            </wp:positionV>
            <wp:extent cx="289877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TRUSTEE’S CERTIFICATE OF AUTHENTICATION</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This is the Note of the series designated therein referred to in the within-mentioned Indenture.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color w:val="auto"/>
        </w:rPr>
        <w:t>FEDERAL REALTY INVESTMENT TRUST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537210</wp:posOffset>
            </wp:positionH>
            <wp:positionV relativeFrom="paragraph">
              <wp:posOffset>80010</wp:posOffset>
            </wp:positionV>
            <wp:extent cx="235839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35839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537210</wp:posOffset>
            </wp:positionH>
            <wp:positionV relativeFrom="paragraph">
              <wp:posOffset>80010</wp:posOffset>
            </wp:positionV>
            <wp:extent cx="235839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3583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899"/>
        <w:spacing w:after="0" w:line="332" w:lineRule="auto"/>
        <w:rPr>
          <w:sz w:val="20"/>
          <w:szCs w:val="20"/>
          <w:color w:val="auto"/>
        </w:rPr>
      </w:pPr>
      <w:r>
        <w:rPr>
          <w:rFonts w:ascii="Arial" w:cs="Arial" w:eastAsia="Arial" w:hAnsi="Arial"/>
          <w:sz w:val="16"/>
          <w:szCs w:val="16"/>
          <w:color w:val="auto"/>
        </w:rPr>
        <w:t>WACHOVIA BANK, NATIONAL ASSOCIATION, as Trustee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80010</wp:posOffset>
            </wp:positionV>
            <wp:extent cx="269303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216" w:lineRule="exact"/>
        <w:rPr>
          <w:sz w:val="20"/>
          <w:szCs w:val="20"/>
          <w:color w:val="auto"/>
        </w:rPr>
      </w:pPr>
    </w:p>
    <w:p>
      <w:pPr>
        <w:jc w:val="right"/>
        <w:ind w:right="79"/>
        <w:spacing w:after="0"/>
        <w:rPr>
          <w:sz w:val="20"/>
          <w:szCs w:val="20"/>
          <w:color w:val="auto"/>
        </w:rPr>
      </w:pPr>
      <w:r>
        <w:rPr>
          <w:rFonts w:ascii="Arial" w:cs="Arial" w:eastAsia="Arial" w:hAnsi="Arial"/>
          <w:sz w:val="14"/>
          <w:szCs w:val="14"/>
          <w:color w:val="auto"/>
        </w:rPr>
        <w:t>Authorized Signatory</w:t>
      </w:r>
    </w:p>
    <w:p>
      <w:pPr>
        <w:sectPr>
          <w:pgSz w:w="11900" w:h="16838" w:orient="portrait"/>
          <w:cols w:equalWidth="0" w:num="2">
            <w:col w:w="6720" w:space="140"/>
            <w:col w:w="3359"/>
          </w:cols>
          <w:pgMar w:left="240" w:top="280" w:right="1440" w:bottom="1440" w:gutter="0" w:footer="0" w:header="0"/>
        </w:sectPr>
      </w:pPr>
    </w:p>
    <w:bookmarkStart w:id="43" w:name="page44"/>
    <w:bookmarkEnd w:id="43"/>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[Reverse of Security]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FEDERAL REALTY INVESTMENT TRUST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4.50% Note due 2011</w:t>
      </w:r>
    </w:p>
    <w:p>
      <w:pPr>
        <w:spacing w:after="0" w:line="158" w:lineRule="exact"/>
        <w:rPr>
          <w:sz w:val="20"/>
          <w:szCs w:val="20"/>
          <w:color w:val="auto"/>
        </w:rPr>
      </w:pPr>
    </w:p>
    <w:p>
      <w:pPr>
        <w:ind w:firstLine="456"/>
        <w:spacing w:after="0" w:line="307" w:lineRule="auto"/>
        <w:rPr>
          <w:sz w:val="20"/>
          <w:szCs w:val="20"/>
          <w:color w:val="auto"/>
        </w:rPr>
      </w:pPr>
      <w:r>
        <w:rPr>
          <w:rFonts w:ascii="Arial" w:cs="Arial" w:eastAsia="Arial" w:hAnsi="Arial"/>
          <w:sz w:val="15"/>
          <w:szCs w:val="15"/>
          <w:color w:val="auto"/>
        </w:rPr>
        <w:t>This Note is one of a duly authorized issue of securities of the Company (herein called the “Securities”), issued and to be issued in one or more series under an Indenture, dated as of September 1, 1998 (herein called the “Indenture”) between the Company and Wachovia Bank, National Association, as Trustee (herein called the “Trustee”, which term includes any successor trustee under the Indenture with respect to the series of which this Note is a part), to which Indenture and all indentures supplemental thereto reference is hereby made for a statement of the respective rights, limitations of rights, duties and immunities thereunder of the Company, the Trustee and the Holders of the Securities, and of the terms upon which the Securities are, and are to be, authenticated and delivered. This Note is one of the duly authorized series of Securities designated as “4.50% Notes due 2011” (collectively, the “Notes”), and the aggregate principal amount of the Notes to be issued under such series is initially limited to $75,000,000 (except for Notes authenticated and delivered upon transfer of, or in exchange for, or in lieu of other Notes). The Company may, without the consent of the Holders of any Securities, create and issue additional notes in the future having the same terms other than the date of original issuance, the issue price and the date on which interest begins to accrue so as to form a single series with the Notes. The Notes are the unsecured and unsubordinated obligations of the Company and rank equally will all existing and future unsecured and unsubordinated indebtedness of the Company. All terms used in this Note which are defined in the Indenture shall have the meanings assigned to them in the Indenture.</w:t>
      </w:r>
    </w:p>
    <w:p>
      <w:pPr>
        <w:spacing w:after="0" w:line="98"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If an Event of Default, as defined in the Indenture, shall occur and be continuing, the principal of the Securities of this series may be declared due and payable in the manner and with the effect provided in the Indenture.</w:t>
      </w:r>
    </w:p>
    <w:p>
      <w:pPr>
        <w:spacing w:after="0" w:line="118"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The Notes are subject to redemption at any time, in whole or in part, at the election of the Company, at a redemption price equal to the greater of (1) 100% of the principal amount of the Notes being redeemed, and (2) as determined by the Quotation Agent (as defined below), the sum of the present values of the remaining scheduled payments of principal and interest thereon (not including any portion of such payments of interest accrued as of the Redemption Date) discounted to the Redemption Date on a semi-annual basis (assuming a 360-day year consisting of twelve 30-day months) at the Adjusted Treasury Rate (as defined below) plus 15 basis points plus, in each case, accrued interest thereon to the Redemption Date; provided, however, that installments of interest on this Note whose Stated Maturity Date is on or prior to such Redemption Date will be payable to the Holder of this Note, or one or more Predecessor Securities, of record at the close of business on the relevant Record Dates referred to on the face hereof, all as provided in the Indenture.</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used herein:</w:t>
      </w:r>
    </w:p>
    <w:p>
      <w:pPr>
        <w:spacing w:after="0" w:line="77" w:lineRule="exact"/>
        <w:rPr>
          <w:sz w:val="20"/>
          <w:szCs w:val="20"/>
          <w:color w:val="auto"/>
        </w:rPr>
      </w:pPr>
    </w:p>
    <w:p>
      <w:pPr>
        <w:ind w:left="460" w:right="10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Adjusted Treasury Rate</w:t>
      </w:r>
      <w:r>
        <w:rPr>
          <w:rFonts w:ascii="Arial" w:cs="Arial" w:eastAsia="Arial" w:hAnsi="Arial"/>
          <w:sz w:val="18"/>
          <w:szCs w:val="18"/>
          <w:color w:val="auto"/>
        </w:rPr>
        <w:t>” means, with respect to any Redemption Date, the rate per year equal to the semi-annual equivalent yield to maturity of the Comparable</w:t>
      </w:r>
    </w:p>
    <w:p>
      <w:pPr>
        <w:sectPr>
          <w:pgSz w:w="11900" w:h="16838" w:orient="portrait"/>
          <w:cols w:equalWidth="0" w:num="1">
            <w:col w:w="11420"/>
          </w:cols>
          <w:pgMar w:left="240" w:top="280" w:right="239" w:bottom="1440" w:gutter="0" w:footer="0" w:header="0"/>
        </w:sectPr>
      </w:pPr>
    </w:p>
    <w:bookmarkStart w:id="44" w:name="page45"/>
    <w:bookmarkEnd w:id="44"/>
    <w:p>
      <w:pPr>
        <w:ind w:left="460" w:right="1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Treasury Issue, assuming a price for the Comparable Treasury Issue (expressed as a percentage of its principal amount) equal to the Comparable Treasury Price for such Redemption Date.</w:t>
      </w:r>
    </w:p>
    <w:p>
      <w:pPr>
        <w:spacing w:after="0" w:line="37" w:lineRule="exact"/>
        <w:rPr>
          <w:sz w:val="20"/>
          <w:szCs w:val="20"/>
          <w:color w:val="auto"/>
        </w:rPr>
      </w:pPr>
    </w:p>
    <w:p>
      <w:pPr>
        <w:ind w:left="460" w:right="180" w:firstLine="438"/>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Comparable Treasury Issue</w:t>
      </w:r>
      <w:r>
        <w:rPr>
          <w:rFonts w:ascii="Arial" w:cs="Arial" w:eastAsia="Arial" w:hAnsi="Arial"/>
          <w:sz w:val="16"/>
          <w:szCs w:val="16"/>
          <w:color w:val="auto"/>
        </w:rPr>
        <w:t>” means the United States Treasury security selected by the Quotation Agent as having a maturity comparable to the remaining term of the notes to be redeemed that would be utilized, at the time of selection and in accordance with customary financial practice, in pricing new issues of corporate debt securities of comparable maturity to the remaining term of such notes.</w:t>
      </w:r>
    </w:p>
    <w:p>
      <w:pPr>
        <w:spacing w:after="0" w:line="12" w:lineRule="exact"/>
        <w:rPr>
          <w:sz w:val="20"/>
          <w:szCs w:val="20"/>
          <w:color w:val="auto"/>
        </w:rPr>
      </w:pPr>
    </w:p>
    <w:p>
      <w:pPr>
        <w:jc w:val="both"/>
        <w:ind w:left="460" w:right="240" w:firstLine="438"/>
        <w:spacing w:after="0" w:line="259" w:lineRule="auto"/>
        <w:rPr>
          <w:sz w:val="20"/>
          <w:szCs w:val="20"/>
          <w:color w:val="auto"/>
        </w:rPr>
      </w:pPr>
      <w:r>
        <w:rPr>
          <w:rFonts w:ascii="Arial" w:cs="Arial" w:eastAsia="Arial" w:hAnsi="Arial"/>
          <w:sz w:val="18"/>
          <w:szCs w:val="18"/>
          <w:i w:val="1"/>
          <w:iCs w:val="1"/>
          <w:color w:val="auto"/>
        </w:rPr>
        <w:t>“Comparable Treasury Price</w:t>
      </w:r>
      <w:r>
        <w:rPr>
          <w:rFonts w:ascii="Arial" w:cs="Arial" w:eastAsia="Arial" w:hAnsi="Arial"/>
          <w:sz w:val="18"/>
          <w:szCs w:val="18"/>
          <w:color w:val="auto"/>
        </w:rPr>
        <w:t>” means, with respect to any Redemption Date, (1) the average of the Reference Treasury Dealer Quotations for such</w:t>
      </w:r>
      <w:r>
        <w:rPr>
          <w:rFonts w:ascii="Arial" w:cs="Arial" w:eastAsia="Arial" w:hAnsi="Arial"/>
          <w:sz w:val="18"/>
          <w:szCs w:val="18"/>
          <w:i w:val="1"/>
          <w:iCs w:val="1"/>
          <w:color w:val="auto"/>
        </w:rPr>
        <w:t xml:space="preserve"> </w:t>
      </w:r>
      <w:r>
        <w:rPr>
          <w:rFonts w:ascii="Arial" w:cs="Arial" w:eastAsia="Arial" w:hAnsi="Arial"/>
          <w:sz w:val="18"/>
          <w:szCs w:val="18"/>
          <w:color w:val="auto"/>
        </w:rPr>
        <w:t>Redemption Date, after excluding the highest and lowest such Reference Treasury Dealer Quotations, or (2) if the Trustee obtains fewer than three such Reference Treasury Dealer quotations, the average of all such Quotations.</w:t>
      </w:r>
    </w:p>
    <w:p>
      <w:pPr>
        <w:spacing w:after="0" w:line="4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Quotation Agent</w:t>
      </w:r>
      <w:r>
        <w:rPr>
          <w:rFonts w:ascii="Arial" w:cs="Arial" w:eastAsia="Arial" w:hAnsi="Arial"/>
          <w:sz w:val="18"/>
          <w:szCs w:val="18"/>
          <w:color w:val="auto"/>
        </w:rPr>
        <w:t>” means the Reference Treasury Dealer appointed by the Company.</w:t>
      </w:r>
    </w:p>
    <w:p>
      <w:pPr>
        <w:spacing w:after="0" w:line="77" w:lineRule="exact"/>
        <w:rPr>
          <w:sz w:val="20"/>
          <w:szCs w:val="20"/>
          <w:color w:val="auto"/>
        </w:rPr>
      </w:pPr>
    </w:p>
    <w:p>
      <w:pPr>
        <w:ind w:left="460" w:right="160" w:firstLine="438"/>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Reference Treasury Dealer</w:t>
      </w:r>
      <w:r>
        <w:rPr>
          <w:rFonts w:ascii="Arial" w:cs="Arial" w:eastAsia="Arial" w:hAnsi="Arial"/>
          <w:sz w:val="16"/>
          <w:szCs w:val="16"/>
          <w:color w:val="auto"/>
        </w:rPr>
        <w:t>” means (1) each of Citigroup Global Markets Inc., Merrill Lynch, Pierce, Fenner &amp; Smith Incorporated and one other primary U.S. Government securities dealer in New York City selected by Wachovia Capital Markets, LLC, and their respective successors; provided, however, that if any of the foregoing cease to be a primary U.S. Government securities dealer (a “Primary Treasury Dealer”), the Company will substitute therefor another Primary Treasury Dealer; and (2) any other Primary Treasury Dealer selected by the Company.</w:t>
      </w:r>
    </w:p>
    <w:p>
      <w:pPr>
        <w:spacing w:after="0" w:line="18" w:lineRule="exact"/>
        <w:rPr>
          <w:sz w:val="20"/>
          <w:szCs w:val="20"/>
          <w:color w:val="auto"/>
        </w:rPr>
      </w:pPr>
    </w:p>
    <w:p>
      <w:pPr>
        <w:ind w:left="460" w:right="40" w:firstLine="43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Reference Treasury Dealer Quotations</w:t>
      </w:r>
      <w:r>
        <w:rPr>
          <w:rFonts w:ascii="Arial" w:cs="Arial" w:eastAsia="Arial" w:hAnsi="Arial"/>
          <w:sz w:val="16"/>
          <w:szCs w:val="16"/>
          <w:color w:val="auto"/>
        </w:rPr>
        <w:t>” means, with respect to each Reference Treasury Dealer and any Redemption Date, the average, as determined by the Company, of the bid and asked prices for the Comparable Treasury Issue (expressed in each case as a percentage of its principal amount) quoted in writing to the Trustee by such Reference Treasury Dealer at 5:00 p.m. New York City time, on the third Business Day preceding such Redemption Date, together in the case of any such redemption with accrued interest to the Redemption Date; provided, however, that installments of interest on this Note whose Stated Maturity Date is on or prior to such Redemption Date will be payable to the Holder of this Note, or one or more Predecessor Securities, of record at the close of business on the relevant Record Dates referred to on the face hereof, all as provided in the Indenture.</w:t>
      </w:r>
    </w:p>
    <w:p>
      <w:pPr>
        <w:spacing w:after="0" w:line="10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Notice of redemption will be given by mail to Holders of Securities, not less than 30 nor more than 60 days prior to the Redemption Date, all as provided in the Indenture.</w:t>
      </w:r>
    </w:p>
    <w:p>
      <w:pPr>
        <w:spacing w:after="0" w:line="118"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In the event of redemption of this Note in part only, a new Note or Notes for the unredeemed portion hereof shall be issued in the name of the Holder hereof upon the cancellation hereof.</w:t>
      </w:r>
    </w:p>
    <w:p>
      <w:pPr>
        <w:spacing w:after="0" w:line="118"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The Indenture permits, with certain exceptions as therein provided, the amendment thereof and the modification of the rights and obligations of the Company and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45" w:name="page46"/>
    <w:bookmarkEnd w:id="45"/>
    <w:p>
      <w:pPr>
        <w:ind w:right="2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rights of the Holders of the Securities under the Indenture at any time by the Company and the Trustee with the consent of the Holders of not less than a majority of the aggregate principal amount of all Securities issued under the Indenture at the time Outstanding and affected thereby. The Indenture also contains provisions permitting the Holders of not less than a majority of the aggregate principal amount of the Outstanding Securities, on behalf of the Holders of all such Securities, to waive compliance by the Company with certain provisions of the Indenture. Furthermore, provisions in the Indenture permit the Holders of not less than a majority of the aggregate principal amount, in certain instances, of the Outstanding Securities of any series to waive, on behalf of all of the Holders of Securities of such series, certain past defaults under the Indenture and their consequences. Any such consent or waiver by the Holder of this Note shall be conclusive and binding upon such Holder and upon all future Holders of this Note and other Notes issued upon the registration of transfer hereof or in exchange herefor or in lieu hereof, whether or not notation of such consent or waiver is made upon this Note.</w:t>
      </w:r>
    </w:p>
    <w:p>
      <w:pPr>
        <w:spacing w:after="0" w:line="10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No reference herein to the Indenture and no provision of this Note or of the Indenture shall alter or impair the obligation of the Company, which is absolute and unconditional, to pay the principal of (and premium, if any) and interest on this Note at the times, places and rate, and in the coin or currency, herein prescribed.</w:t>
      </w:r>
    </w:p>
    <w:p>
      <w:pPr>
        <w:spacing w:after="0" w:line="12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Company will not, and will not permit any Subsidiary to, incur any Debt (as defined below) if, immediately after giving effect to the incurrence of such Debt and the application of the proceeds thereof, the aggregate principal amount of all outstanding Debt of the Company and its Subsidiaries on a consolidated basis determined in accordance with generally accepted accounting principles is greater than 60% of the sum of (without duplication) (i) Total Assets as of the end of the calendar quarter covered in the Company’s Annual Report on Form 10-K or Quarterly Report on Form 10-Q, as the case may be, most recently filed with the Securities and Exchange Commission (or, if such filing is not permitted under the Securities Exchange Act of 1934, with the Trustee) prior to the incurrence of such additional Debt and (ii) the purchase price of any real estate assets or mortgages receivable acquired, and the amount of any securities offering proceeds received (to the extent such proceeds were not used to acquire real estate assets or mortgages receivable or used to reduce Debt), by the Company or any Subsidiary since the end of such calendar quarter, including those proceeds obtained in connection with the incurrence of such additional Debt.</w:t>
      </w:r>
    </w:p>
    <w:p>
      <w:pPr>
        <w:spacing w:after="0" w:line="10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addition to the foregoing limitation on the incurrence of Debt, the Company will not, and will not permit any Subsidiary to, incur any Debt secured by any mortgage, lien, charge, pledge, encumbrance or security interest of any kind upon any of the property of the Company or any Subsidiary if, immediately after giving effect to the incurrence of such Debt and the application of the proceeds thereof, the aggregate principal amount of all outstanding Debt of the Company and its Subsidiaries on a consolidated basis which is secured by any mortgage, lien, charge, pledge, encumbrance or security interest on property of the Company or any Subsidiary is greater than 40% of the sum of (without duplication) (1) Total Assets as of the end of the calendar quarter covered in the Company’s Annual Report on Form 10-K or Quarterly Report on Form 10-Q, as the case may be, most recently filed with the Securities and Exchange Commission (or, if such filing is not permitted under the Securities Exchange Act of 1934, with the Trustee) prior to the incurrence of such additional Debt and (2) the purchase price of any real estate assets or mortgages receivable acquired, and the amount of any securities offering</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46" w:name="page47"/>
    <w:bookmarkEnd w:id="46"/>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proceeds received (to the extent such proceeds were not used to acquire real estate assets or mortgages receivable or used to reduce Debt), by the Company or any Subsidiary since the end of such calendar quarter, including those proceeds obtained in connection with the occurrence of such additional Debt; provided, however, that for purposes of this limitation, the amount of obligations under capital leases shown as a liability on the Company’s consolidated balance sheet shall be deducted from Debt and Total Assets.</w:t>
      </w:r>
    </w:p>
    <w:p>
      <w:pPr>
        <w:spacing w:after="0" w:line="13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Furthermore, the Company will not, and will not permit any Subsidiary to, incur any Debt if the ratio of Consolidated Income Available for Debt Service (as defined below) to the Annual Debt Service Charge (as defined below) for the four consecutive fiscal quarters most recently ended prior to the date on which such additional Debt is to be incurred shall have been less than 1.5 to 1, on an unaudited pro forma basis after giving effect thereto and to the application of the proceeds therefrom, and calculated on the assumption that (i) such Debt and any other Debt incurred by the Company and its Subsidiaries since the first day of such four-quarter period and the application of the proceeds therefrom, including to refinance other Debt, had occurred at the beginning of such period; (ii) the repayment or retirement of any other Debt by the Company and its Subsidiaries since the first day of such four-quarter period had been incurred, repaid or retired at the beginning of such period (except that, in making such computation, the amount of Debt under any revolving credit facility shall be computed based upon the average daily balance of such Debt during such period); (iii) in the case of Acquired Debt or Debt incurred in connection with any acquisition since the first day of such four-quarter period, the related acquisition had occurred as of the first day of such period with the appropriate adjustments with respect to such acquisition being included in such unaudited pro forma calculation; and (iv) in the case of any acquisition or disposition by the Company or its Subsidiaries of any asset or group of assets since the first day of such four-quarter period, whether by merger, stock purchase or sale, or asset purchase or sale, such acquisition or disposition or any related repayment of Debt had occurred as of the first day of such period with the appropriate adjustments with respect to such acquisition or disposition being included in such unaudited pro forma calculation.</w:t>
      </w:r>
    </w:p>
    <w:p>
      <w:pPr>
        <w:spacing w:after="0" w:line="10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Furthermore, the Company and each of its Subsidiaries taken as a whole, will, at all times maintain an Unencumbered Total Asset Value (as defined below) in an amount not less than 150% of the aggregate outstanding principal amount of the unsecured Debt of the Company and each of its Subsidiaries, taken as a whole.</w:t>
      </w:r>
    </w:p>
    <w:p>
      <w:pPr>
        <w:spacing w:after="0" w:line="12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As used herein,</w:t>
      </w:r>
    </w:p>
    <w:p>
      <w:pPr>
        <w:spacing w:after="0" w:line="77" w:lineRule="exact"/>
        <w:rPr>
          <w:sz w:val="20"/>
          <w:szCs w:val="20"/>
          <w:color w:val="auto"/>
        </w:rPr>
      </w:pPr>
    </w:p>
    <w:p>
      <w:pPr>
        <w:ind w:left="460" w:right="40" w:firstLine="438"/>
        <w:spacing w:after="0" w:line="256" w:lineRule="auto"/>
        <w:rPr>
          <w:sz w:val="20"/>
          <w:szCs w:val="20"/>
          <w:color w:val="auto"/>
        </w:rPr>
      </w:pPr>
      <w:r>
        <w:rPr>
          <w:rFonts w:ascii="Arial" w:cs="Arial" w:eastAsia="Arial" w:hAnsi="Arial"/>
          <w:sz w:val="18"/>
          <w:szCs w:val="18"/>
          <w:color w:val="auto"/>
        </w:rPr>
        <w:t>“Acquired Debt” means Debt of a Person (i) existing at the time such Person becomes a Subsidiary or (ii) assumed in connection with the acquisition of assets from such Person, in each case, other than Debt incurred in connection with, or in contemplation of, such Person becoming a Subsidiary or such acquisition. Acquired Debt shall be deemed to be incurred on the date of the related acquisition of assets from any Person or the date the acquired Person becomes a Subsidiary.</w:t>
      </w:r>
    </w:p>
    <w:p>
      <w:pPr>
        <w:spacing w:after="0" w:line="49" w:lineRule="exact"/>
        <w:rPr>
          <w:sz w:val="20"/>
          <w:szCs w:val="20"/>
          <w:color w:val="auto"/>
        </w:rPr>
      </w:pPr>
    </w:p>
    <w:p>
      <w:pPr>
        <w:ind w:left="460" w:right="60" w:firstLine="438"/>
        <w:spacing w:after="0" w:line="268" w:lineRule="auto"/>
        <w:rPr>
          <w:sz w:val="20"/>
          <w:szCs w:val="20"/>
          <w:color w:val="auto"/>
        </w:rPr>
      </w:pPr>
      <w:r>
        <w:rPr>
          <w:rFonts w:ascii="Arial" w:cs="Arial" w:eastAsia="Arial" w:hAnsi="Arial"/>
          <w:sz w:val="18"/>
          <w:szCs w:val="18"/>
          <w:color w:val="auto"/>
        </w:rPr>
        <w:t>“Annual Debt Service Charge” as of any date means the maximum amount which is payable in any period for interest on, and original issue discount of, Debt of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Company and its Subsidiaries and the amount of dividends which are payable in respect of any Disqualified Stock (as defined below).</w:t>
      </w:r>
    </w:p>
    <w:p>
      <w:pPr>
        <w:spacing w:after="0" w:line="77" w:lineRule="exact"/>
        <w:rPr>
          <w:sz w:val="20"/>
          <w:szCs w:val="20"/>
          <w:color w:val="auto"/>
        </w:rPr>
      </w:pPr>
    </w:p>
    <w:p>
      <w:pPr>
        <w:jc w:val="both"/>
        <w:ind w:right="160" w:firstLine="438"/>
        <w:spacing w:after="0" w:line="259" w:lineRule="auto"/>
        <w:rPr>
          <w:sz w:val="20"/>
          <w:szCs w:val="20"/>
          <w:color w:val="auto"/>
        </w:rPr>
      </w:pPr>
      <w:r>
        <w:rPr>
          <w:rFonts w:ascii="Arial" w:cs="Arial" w:eastAsia="Arial" w:hAnsi="Arial"/>
          <w:sz w:val="18"/>
          <w:szCs w:val="18"/>
          <w:color w:val="auto"/>
        </w:rPr>
        <w:t>“Capital Stock” means, with respect to any Person, any capital stock (including preferred stock), shares, interests, participations or other ownership interests (however designated) of such Person and any rights (other than debt securities convertible into or exchangeable for corporate stock), warrants or options to purchase any thereof.</w:t>
      </w:r>
    </w:p>
    <w:p>
      <w:pPr>
        <w:spacing w:after="0" w:line="46" w:lineRule="exact"/>
        <w:rPr>
          <w:sz w:val="20"/>
          <w:szCs w:val="20"/>
          <w:color w:val="auto"/>
        </w:rPr>
      </w:pPr>
    </w:p>
    <w:p>
      <w:pPr>
        <w:ind w:right="700" w:firstLine="438"/>
        <w:spacing w:after="0" w:line="325" w:lineRule="auto"/>
        <w:rPr>
          <w:sz w:val="20"/>
          <w:szCs w:val="20"/>
          <w:color w:val="auto"/>
        </w:rPr>
      </w:pPr>
      <w:r>
        <w:rPr>
          <w:rFonts w:ascii="Arial" w:cs="Arial" w:eastAsia="Arial" w:hAnsi="Arial"/>
          <w:sz w:val="16"/>
          <w:szCs w:val="16"/>
          <w:color w:val="auto"/>
        </w:rPr>
        <w:t>“Consolidated Income Available for Debt Service” for any period means Funds from Operations (as defined below) of the Company and its Subsidiaries plus amounts which have been deducted for interest on Debt of the Company and its Subsidiaries.</w:t>
      </w:r>
    </w:p>
    <w:p>
      <w:pPr>
        <w:spacing w:after="0" w:line="1" w:lineRule="exact"/>
        <w:rPr>
          <w:sz w:val="20"/>
          <w:szCs w:val="20"/>
          <w:color w:val="auto"/>
        </w:rPr>
      </w:pPr>
    </w:p>
    <w:p>
      <w:pPr>
        <w:ind w:right="60" w:firstLine="438"/>
        <w:spacing w:after="0" w:line="302" w:lineRule="auto"/>
        <w:rPr>
          <w:sz w:val="20"/>
          <w:szCs w:val="20"/>
          <w:color w:val="auto"/>
        </w:rPr>
      </w:pPr>
      <w:r>
        <w:rPr>
          <w:rFonts w:ascii="Arial" w:cs="Arial" w:eastAsia="Arial" w:hAnsi="Arial"/>
          <w:sz w:val="15"/>
          <w:szCs w:val="15"/>
          <w:color w:val="auto"/>
        </w:rPr>
        <w:t>“Debt” means any indebtedness of the Company, or any Subsidiary, whether or not contingent, in respect of (without duplication) (i) borrowed money evidenced by bonds, notes, debentures or similar instruments, (ii) indebtedness secured by any mortgage, pledge, lien, charge, encumbrance or any security interest existing on property owned by the Company or any Subsidiary, (iii) the reimbursement obligations, contingent or otherwise, in connection with any letters of credit actually issued or amounts representing the balance deferred and unpaid of the purchase price of any property or services, except any such balance that constitutes an accrued expense or trade payable, or all conditional sale obligations or obligations under any title retention agreement,</w:t>
      </w:r>
    </w:p>
    <w:p>
      <w:pPr>
        <w:spacing w:after="0" w:line="2" w:lineRule="exact"/>
        <w:rPr>
          <w:sz w:val="20"/>
          <w:szCs w:val="20"/>
          <w:color w:val="auto"/>
        </w:rPr>
      </w:pPr>
    </w:p>
    <w:p>
      <w:pPr>
        <w:ind w:firstLine="4"/>
        <w:spacing w:after="0" w:line="286" w:lineRule="auto"/>
        <w:tabs>
          <w:tab w:leader="none" w:pos="297"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principal amount of all obligations of the Company or any Subsidiary with respect to redemption, repayment or other repurchase of any Disqualified Stock or (v) any lease of property by the Company or any Subsidiary as lessee which is reflected on the Company’s consolidated balance sheet as a capitalized lease in accordance with generally accepted accounting principles to the extent, in the case of items of indebtedness under (i) through (iii) above, that any such items (other than letters of credit) would appear as a liability on the Company’s consolidated balance sheet in accordance with generally accepted accounting principles, and also includes, to the extent not otherwise included, any obligation of the Company or any Subsidiary to be liable for, or to pay, as obligor, guarantor or otherwise (other than for purposes of collection in the ordinary course of business or for the purposes of guaranteeing the payment of all amounts due and owing pursuant to leases to which the Company is a party and has assigned its interest, provided that such assignee of the Company is not in default of any amounts due and owing under such leases), Debt of another Person (other than the Company or any Subsidiary) (it being understood that Debt shall be deemed to be incurred by the Company or any Subsidiary whenever the Company or such Subsidiary shall create, assume, guarantee or otherwise become liable in respect thereof).</w:t>
      </w:r>
    </w:p>
    <w:p>
      <w:pPr>
        <w:spacing w:after="0" w:line="30" w:lineRule="exact"/>
        <w:rPr>
          <w:sz w:val="20"/>
          <w:szCs w:val="20"/>
          <w:color w:val="auto"/>
        </w:rPr>
      </w:pPr>
    </w:p>
    <w:p>
      <w:pPr>
        <w:ind w:right="80" w:firstLine="438"/>
        <w:spacing w:after="0" w:line="256" w:lineRule="auto"/>
        <w:rPr>
          <w:sz w:val="20"/>
          <w:szCs w:val="20"/>
          <w:color w:val="auto"/>
        </w:rPr>
      </w:pPr>
      <w:r>
        <w:rPr>
          <w:rFonts w:ascii="Arial" w:cs="Arial" w:eastAsia="Arial" w:hAnsi="Arial"/>
          <w:sz w:val="18"/>
          <w:szCs w:val="18"/>
          <w:color w:val="auto"/>
        </w:rPr>
        <w:t>“Disqualified Stock” means, with respect to any Person, any Capital Stock of such Person which by the terms of such Capital Stock (or by the terms of any security into which it is convertible or for which it is exchangeable or exercisable), upon the happening of any event or otherwise (i) matures or is mandatorily redeemable, pursuant to a sinking fund obligation or otherwise, (ii) is convertible into or exchangeable or exercisable for Debt or Disqualified Stock or (iii) is redeemable at the option of the</w:t>
      </w:r>
    </w:p>
    <w:p>
      <w:pPr>
        <w:spacing w:after="0" w:line="13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0"/>
          </w:cols>
          <w:pgMar w:left="700" w:top="280" w:right="259" w:bottom="1440" w:gutter="0" w:footer="0" w:header="0"/>
        </w:sectPr>
      </w:pPr>
    </w:p>
    <w:bookmarkStart w:id="48" w:name="page49"/>
    <w:bookmarkEnd w:id="48"/>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holder thereof, in whole or in part, in each case on or prior to the Stated Maturity of the Notes.</w:t>
      </w:r>
    </w:p>
    <w:p>
      <w:pPr>
        <w:spacing w:after="0" w:line="77" w:lineRule="exact"/>
        <w:rPr>
          <w:sz w:val="20"/>
          <w:szCs w:val="20"/>
          <w:color w:val="auto"/>
        </w:rPr>
      </w:pPr>
    </w:p>
    <w:p>
      <w:pPr>
        <w:ind w:left="460" w:right="80" w:firstLine="438"/>
        <w:spacing w:after="0" w:line="268" w:lineRule="auto"/>
        <w:rPr>
          <w:sz w:val="20"/>
          <w:szCs w:val="20"/>
          <w:color w:val="auto"/>
        </w:rPr>
      </w:pPr>
      <w:r>
        <w:rPr>
          <w:rFonts w:ascii="Arial" w:cs="Arial" w:eastAsia="Arial" w:hAnsi="Arial"/>
          <w:sz w:val="18"/>
          <w:szCs w:val="18"/>
          <w:color w:val="auto"/>
        </w:rPr>
        <w:t>“Funds from Operations” for any period means income available to common shareholders before depreciation and amortization of real estate assets and before extraordinary items less gain on sale of real estate.</w:t>
      </w:r>
    </w:p>
    <w:p>
      <w:pPr>
        <w:spacing w:after="0" w:line="37" w:lineRule="exact"/>
        <w:rPr>
          <w:sz w:val="20"/>
          <w:szCs w:val="20"/>
          <w:color w:val="auto"/>
        </w:rPr>
      </w:pPr>
    </w:p>
    <w:p>
      <w:pPr>
        <w:ind w:left="460" w:right="140" w:firstLine="438"/>
        <w:spacing w:after="0" w:line="325" w:lineRule="auto"/>
        <w:rPr>
          <w:sz w:val="20"/>
          <w:szCs w:val="20"/>
          <w:color w:val="auto"/>
        </w:rPr>
      </w:pPr>
      <w:r>
        <w:rPr>
          <w:rFonts w:ascii="Arial" w:cs="Arial" w:eastAsia="Arial" w:hAnsi="Arial"/>
          <w:sz w:val="16"/>
          <w:szCs w:val="16"/>
          <w:color w:val="auto"/>
        </w:rPr>
        <w:t>“Total Assets” as of any date means the sum of (i) the Company’s and its Subsidiaries’ Undepreciated Real Estate Assets and (ii) all other assets of the Company and its Subsidiaries determined in accordance with generally accepted accounting principles (but excluding goodwill).</w:t>
      </w:r>
    </w:p>
    <w:p>
      <w:pPr>
        <w:spacing w:after="0" w:line="1" w:lineRule="exact"/>
        <w:rPr>
          <w:sz w:val="20"/>
          <w:szCs w:val="20"/>
          <w:color w:val="auto"/>
        </w:rPr>
      </w:pPr>
    </w:p>
    <w:p>
      <w:pPr>
        <w:ind w:left="460" w:right="20" w:firstLine="438"/>
        <w:spacing w:after="0" w:line="259" w:lineRule="auto"/>
        <w:rPr>
          <w:sz w:val="20"/>
          <w:szCs w:val="20"/>
          <w:color w:val="auto"/>
        </w:rPr>
      </w:pPr>
      <w:r>
        <w:rPr>
          <w:rFonts w:ascii="Arial" w:cs="Arial" w:eastAsia="Arial" w:hAnsi="Arial"/>
          <w:sz w:val="18"/>
          <w:szCs w:val="18"/>
          <w:color w:val="auto"/>
        </w:rPr>
        <w:t>“Undepreciated Real Estate Assets” as of any date means the cost (original cost plus capital improvements) of real estate assets of the Company and its Subsidiaries on such date, before depreciation and amortization determined on a consolidated basis in accordance with generally accepted accounting principles.</w:t>
      </w:r>
    </w:p>
    <w:p>
      <w:pPr>
        <w:spacing w:after="0" w:line="46" w:lineRule="exact"/>
        <w:rPr>
          <w:sz w:val="20"/>
          <w:szCs w:val="20"/>
          <w:color w:val="auto"/>
        </w:rPr>
      </w:pPr>
    </w:p>
    <w:p>
      <w:pPr>
        <w:ind w:left="460" w:right="160" w:firstLine="438"/>
        <w:spacing w:after="0" w:line="298" w:lineRule="auto"/>
        <w:rPr>
          <w:sz w:val="20"/>
          <w:szCs w:val="20"/>
          <w:color w:val="auto"/>
        </w:rPr>
      </w:pPr>
      <w:r>
        <w:rPr>
          <w:rFonts w:ascii="Arial" w:cs="Arial" w:eastAsia="Arial" w:hAnsi="Arial"/>
          <w:sz w:val="16"/>
          <w:szCs w:val="16"/>
          <w:color w:val="auto"/>
        </w:rPr>
        <w:t>“Unencumbered Total Asset Value” as of any date means the sum of (i) those Undepreciated Real Estate Assets not encumbered by any mortgage, lien, charge, pledge or security interest and (ii) all other assets of the Company and each of its Subsidiaries on a consolidated basis determined in accordance with generally accepted accounting principles (but excluding intangibles and accounts receivable), in each case which are unencumbered by any mortgage, lien, charge, pledge or security interest.</w:t>
      </w:r>
    </w:p>
    <w:p>
      <w:pPr>
        <w:spacing w:after="0" w:line="99"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As provided in the Indenture and subject to certain limitations therein and herein set forth, the transfer of this Note is registrable in the Security Register of the Company upon surrender of this Note for registration of transfer at the office or agency of the Company in any place where the principal of (and premium, if any) and interest on this Note are payable, duly endorsed by, or accompanied by a written instrument of transfer in form satisfactory to the Company and the Security Registrar duly executed by, the Holder hereof or by his attorney duly authorized in writing, and thereupon one or more new Notes, of authorized denominations and for the same aggregate principal amount, will be issued to the designated transferee or transferees.</w:t>
      </w:r>
    </w:p>
    <w:p>
      <w:pPr>
        <w:spacing w:after="0" w:line="102" w:lineRule="exact"/>
        <w:rPr>
          <w:sz w:val="20"/>
          <w:szCs w:val="20"/>
          <w:color w:val="auto"/>
        </w:rPr>
      </w:pPr>
    </w:p>
    <w:p>
      <w:pPr>
        <w:ind w:right="60" w:firstLine="456"/>
        <w:spacing w:after="0" w:line="370" w:lineRule="auto"/>
        <w:rPr>
          <w:sz w:val="20"/>
          <w:szCs w:val="20"/>
          <w:color w:val="auto"/>
        </w:rPr>
      </w:pPr>
      <w:r>
        <w:rPr>
          <w:rFonts w:ascii="Arial" w:cs="Arial" w:eastAsia="Arial" w:hAnsi="Arial"/>
          <w:sz w:val="15"/>
          <w:szCs w:val="15"/>
          <w:color w:val="auto"/>
        </w:rPr>
        <w:t>As provided in the Indenture and subject to certain limitations therein and herein set forth, this Note is exchangeable for a like aggregate principal amount of Notes of different authorized denominations but otherwise having the same terms and conditions, as requested by the Holder hereof surrendering the same.</w:t>
      </w:r>
    </w:p>
    <w:p>
      <w:pPr>
        <w:spacing w:after="0" w:line="4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Securities of this series are issuable only in registered form without coupons in denominations of $1,000 and any integral multiple thereof.</w:t>
      </w:r>
    </w:p>
    <w:p>
      <w:pPr>
        <w:spacing w:after="0" w:line="18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No service charge shall be made for any such registration of transfer or exchange, but the Company may require payment of a sum sufficient to cover any tax or other governmental charge payable in connection therewith.</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0"/>
          </w:cols>
          <w:pgMar w:left="240" w:top="280" w:right="319" w:bottom="1440" w:gutter="0" w:footer="0" w:header="0"/>
        </w:sectPr>
      </w:pPr>
    </w:p>
    <w:bookmarkStart w:id="49" w:name="page50"/>
    <w:bookmarkEnd w:id="49"/>
    <w:p>
      <w:pPr>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Prior to due presentment of this Note for registration of transfer, the Company, the Trustee and any agent of the Company or the Trustee may treat the Person in whose name this Note is registered as the owner hereof for all purposes, whether or not this Note be overdue, and neither the Company, the Trustee nor any such agent shall be affected by notice to the contrary.</w:t>
      </w:r>
    </w:p>
    <w:p>
      <w:pPr>
        <w:spacing w:after="0" w:line="12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Indenture and the Notes shall be governed by and construed in accordance with the laws of the State of New York applicable to agreements made and to be performed entirely in such State.</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20"/>
          </w:cols>
          <w:pgMar w:left="240" w:top="280"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5.1</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January 26, 2004</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Federal Realty Investment Trust</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Rockville, Maryland 20852</w:t>
      </w:r>
    </w:p>
    <w:p>
      <w:pPr>
        <w:spacing w:after="0" w:line="14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6"/>
          <w:szCs w:val="16"/>
          <w:b w:val="1"/>
          <w:bCs w:val="1"/>
          <w:color w:val="auto"/>
        </w:rPr>
        <w:t>Federal Realty Investment Trust</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Registration Statement on Form S-3</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Underwritten Public Offering of $75,000,000 4.50% Notes due 2011</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acted as counsel to Federal Realty Investment Trust, a Maryland real estate investment trust (the “</w:t>
      </w:r>
      <w:r>
        <w:rPr>
          <w:rFonts w:ascii="Arial" w:cs="Arial" w:eastAsia="Arial" w:hAnsi="Arial"/>
          <w:sz w:val="16"/>
          <w:szCs w:val="16"/>
          <w:b w:val="1"/>
          <w:bCs w:val="1"/>
          <w:color w:val="auto"/>
        </w:rPr>
        <w:t>Company</w:t>
      </w:r>
      <w:r>
        <w:rPr>
          <w:rFonts w:ascii="Arial" w:cs="Arial" w:eastAsia="Arial" w:hAnsi="Arial"/>
          <w:sz w:val="16"/>
          <w:szCs w:val="16"/>
          <w:color w:val="auto"/>
        </w:rPr>
        <w:t>”), in connection with the filing with</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the Securities and Exchange Commission under the Securities Act of 1933, as amended, of a prospectus supplement dated January 21, 2004 (the “</w:t>
      </w:r>
      <w:r>
        <w:rPr>
          <w:rFonts w:ascii="Arial" w:cs="Arial" w:eastAsia="Arial" w:hAnsi="Arial"/>
          <w:sz w:val="16"/>
          <w:szCs w:val="16"/>
          <w:b w:val="1"/>
          <w:bCs w:val="1"/>
          <w:color w:val="auto"/>
        </w:rPr>
        <w:t>Prospectus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Supplement</w:t>
      </w:r>
      <w:r>
        <w:rPr>
          <w:rFonts w:ascii="Arial" w:cs="Arial" w:eastAsia="Arial" w:hAnsi="Arial"/>
          <w:sz w:val="16"/>
          <w:szCs w:val="16"/>
          <w:color w:val="auto"/>
        </w:rPr>
        <w:t>”) to the prospectus dated May 9, 2003 (the “Prospectus”) contained in the registration statement on Form S-3 (File No. 333-100819) (the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Registration Statement</w:t>
      </w:r>
      <w:r>
        <w:rPr>
          <w:rFonts w:ascii="Arial" w:cs="Arial" w:eastAsia="Arial" w:hAnsi="Arial"/>
          <w:sz w:val="15"/>
          <w:szCs w:val="15"/>
          <w:color w:val="auto"/>
        </w:rPr>
        <w:t>”), which was declared effective on November 6, 2002. The Prospectus and the Prospectus Supplement are together referred to herein as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the “Prospectus.” The Prospectus related to the issuance and sale by the Company of $75,000,000 aggregate principal amount of its 4.50% Notes due 2011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Notes</w:t>
      </w:r>
      <w:r>
        <w:rPr>
          <w:rFonts w:ascii="Arial" w:cs="Arial" w:eastAsia="Arial" w:hAnsi="Arial"/>
          <w:sz w:val="16"/>
          <w:szCs w:val="16"/>
          <w:color w:val="auto"/>
        </w:rPr>
        <w:t>”), pursuant to the Underwriting Agreement dated January 21, 2004 between the Company and the Underwriters (as defined below) (the “</w:t>
      </w:r>
      <w:r>
        <w:rPr>
          <w:rFonts w:ascii="Arial" w:cs="Arial" w:eastAsia="Arial" w:hAnsi="Arial"/>
          <w:sz w:val="16"/>
          <w:szCs w:val="16"/>
          <w:b w:val="1"/>
          <w:bCs w:val="1"/>
          <w:color w:val="auto"/>
        </w:rPr>
        <w:t>Underwriting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Agreement</w:t>
      </w:r>
      <w:r>
        <w:rPr>
          <w:rFonts w:ascii="Arial" w:cs="Arial" w:eastAsia="Arial" w:hAnsi="Arial"/>
          <w:sz w:val="16"/>
          <w:szCs w:val="16"/>
          <w:color w:val="auto"/>
        </w:rPr>
        <w:t>”) and the related Pricing Agreement dated January 21, 2004 between the Company and the Underwriters (the “</w:t>
      </w:r>
      <w:r>
        <w:rPr>
          <w:rFonts w:ascii="Arial" w:cs="Arial" w:eastAsia="Arial" w:hAnsi="Arial"/>
          <w:sz w:val="16"/>
          <w:szCs w:val="16"/>
          <w:b w:val="1"/>
          <w:bCs w:val="1"/>
          <w:color w:val="auto"/>
        </w:rPr>
        <w:t>Pricing Agreement</w:t>
      </w:r>
      <w:r>
        <w:rPr>
          <w:rFonts w:ascii="Arial" w:cs="Arial" w:eastAsia="Arial" w:hAnsi="Arial"/>
          <w:sz w:val="16"/>
          <w:szCs w:val="16"/>
          <w:color w:val="auto"/>
        </w:rPr>
        <w:t>”), to the firms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named in Schedule I to the Pricing Agreement (the “</w:t>
      </w:r>
      <w:r>
        <w:rPr>
          <w:rFonts w:ascii="Arial" w:cs="Arial" w:eastAsia="Arial" w:hAnsi="Arial"/>
          <w:sz w:val="16"/>
          <w:szCs w:val="16"/>
          <w:b w:val="1"/>
          <w:bCs w:val="1"/>
          <w:color w:val="auto"/>
        </w:rPr>
        <w:t>Underwriters</w:t>
      </w:r>
      <w:r>
        <w:rPr>
          <w:rFonts w:ascii="Arial" w:cs="Arial" w:eastAsia="Arial" w:hAnsi="Arial"/>
          <w:sz w:val="16"/>
          <w:szCs w:val="16"/>
          <w:color w:val="auto"/>
        </w:rPr>
        <w:t>”). The Notes will be offered and sold pursuant to an Indenture (the “</w:t>
      </w:r>
      <w:r>
        <w:rPr>
          <w:rFonts w:ascii="Arial" w:cs="Arial" w:eastAsia="Arial" w:hAnsi="Arial"/>
          <w:sz w:val="16"/>
          <w:szCs w:val="16"/>
          <w:b w:val="1"/>
          <w:bCs w:val="1"/>
          <w:color w:val="auto"/>
        </w:rPr>
        <w:t>Indenture</w:t>
      </w:r>
      <w:r>
        <w:rPr>
          <w:rFonts w:ascii="Arial" w:cs="Arial" w:eastAsia="Arial" w:hAnsi="Arial"/>
          <w:sz w:val="16"/>
          <w:szCs w:val="16"/>
          <w:color w:val="auto"/>
        </w:rPr>
        <w:t>”) dated as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September 1, 1998 between the Company and Wachovia Bank National Association, formerly known as First Union National Bank (the “</w:t>
      </w:r>
      <w:r>
        <w:rPr>
          <w:rFonts w:ascii="Arial" w:cs="Arial" w:eastAsia="Arial" w:hAnsi="Arial"/>
          <w:sz w:val="16"/>
          <w:szCs w:val="16"/>
          <w:b w:val="1"/>
          <w:bCs w:val="1"/>
          <w:color w:val="auto"/>
        </w:rPr>
        <w:t>Trustee</w:t>
      </w:r>
      <w:r>
        <w:rPr>
          <w:rFonts w:ascii="Arial" w:cs="Arial" w:eastAsia="Arial" w:hAnsi="Arial"/>
          <w:sz w:val="16"/>
          <w:szCs w:val="16"/>
          <w:color w:val="auto"/>
        </w:rPr>
        <w:t>”).</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rendering our opinion, we have examined the following:</w:t>
      </w:r>
    </w:p>
    <w:p>
      <w:pPr>
        <w:spacing w:after="0" w:line="77" w:lineRule="exact"/>
        <w:rPr>
          <w:sz w:val="20"/>
          <w:szCs w:val="20"/>
          <w:color w:val="auto"/>
        </w:rPr>
      </w:pPr>
    </w:p>
    <w:p>
      <w:pPr>
        <w:ind w:left="1140" w:hanging="565"/>
        <w:spacing w:after="0"/>
        <w:tabs>
          <w:tab w:leader="none" w:pos="11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Registration Statement;</w:t>
      </w:r>
    </w:p>
    <w:p>
      <w:pPr>
        <w:spacing w:after="0" w:line="76" w:lineRule="exact"/>
        <w:rPr>
          <w:rFonts w:ascii="Arial" w:cs="Arial" w:eastAsia="Arial" w:hAnsi="Arial"/>
          <w:sz w:val="18"/>
          <w:szCs w:val="18"/>
          <w:color w:val="auto"/>
        </w:rPr>
      </w:pPr>
    </w:p>
    <w:p>
      <w:pPr>
        <w:ind w:left="1140" w:hanging="565"/>
        <w:spacing w:after="0"/>
        <w:tabs>
          <w:tab w:leader="none" w:pos="11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Prospectus;</w:t>
      </w:r>
    </w:p>
    <w:p>
      <w:pPr>
        <w:spacing w:after="0" w:line="76" w:lineRule="exact"/>
        <w:rPr>
          <w:rFonts w:ascii="Arial" w:cs="Arial" w:eastAsia="Arial" w:hAnsi="Arial"/>
          <w:sz w:val="18"/>
          <w:szCs w:val="18"/>
          <w:color w:val="auto"/>
        </w:rPr>
      </w:pPr>
    </w:p>
    <w:p>
      <w:pPr>
        <w:ind w:left="1140" w:hanging="565"/>
        <w:spacing w:after="0"/>
        <w:tabs>
          <w:tab w:leader="none" w:pos="11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Indenture;</w:t>
      </w:r>
    </w:p>
    <w:p>
      <w:pPr>
        <w:spacing w:after="0" w:line="76" w:lineRule="exact"/>
        <w:rPr>
          <w:rFonts w:ascii="Arial" w:cs="Arial" w:eastAsia="Arial" w:hAnsi="Arial"/>
          <w:sz w:val="18"/>
          <w:szCs w:val="18"/>
          <w:color w:val="auto"/>
        </w:rPr>
      </w:pPr>
    </w:p>
    <w:p>
      <w:pPr>
        <w:ind w:left="1140" w:hanging="565"/>
        <w:spacing w:after="0"/>
        <w:tabs>
          <w:tab w:leader="none" w:pos="11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Declaration of Trust of the Company, as certified by the Maryland State Department of Assessments and Taxation on January 22, 2004;</w:t>
      </w:r>
    </w:p>
    <w:p>
      <w:pPr>
        <w:sectPr>
          <w:pgSz w:w="11900" w:h="16838" w:orient="portrait"/>
          <w:cols w:equalWidth="0" w:num="1">
            <w:col w:w="11420"/>
          </w:cols>
          <w:pgMar w:left="240" w:top="125" w:right="239" w:bottom="1440" w:gutter="0" w:footer="0" w:header="0"/>
        </w:sectPr>
      </w:pPr>
    </w:p>
    <w:bookmarkStart w:id="51" w:name="page52"/>
    <w:bookmarkEnd w:id="51"/>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January 26, 2004</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Page 2</w:t>
      </w:r>
    </w:p>
    <w:p>
      <w:pPr>
        <w:spacing w:after="0" w:line="151" w:lineRule="exact"/>
        <w:rPr>
          <w:sz w:val="20"/>
          <w:szCs w:val="20"/>
          <w:color w:val="auto"/>
        </w:rPr>
      </w:pPr>
    </w:p>
    <w:p>
      <w:pPr>
        <w:ind w:left="1140" w:hanging="565"/>
        <w:spacing w:after="0"/>
        <w:tabs>
          <w:tab w:leader="none" w:pos="11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Bylaws, as amended, of the Company, as certified by the Secretary of the Company on January 26, 2004;</w:t>
      </w:r>
    </w:p>
    <w:p>
      <w:pPr>
        <w:spacing w:after="0" w:line="76" w:lineRule="exact"/>
        <w:rPr>
          <w:rFonts w:ascii="Arial" w:cs="Arial" w:eastAsia="Arial" w:hAnsi="Arial"/>
          <w:sz w:val="18"/>
          <w:szCs w:val="18"/>
          <w:color w:val="auto"/>
        </w:rPr>
      </w:pPr>
    </w:p>
    <w:p>
      <w:pPr>
        <w:ind w:left="1140" w:right="580" w:hanging="565"/>
        <w:spacing w:after="0" w:line="268" w:lineRule="auto"/>
        <w:tabs>
          <w:tab w:leader="none" w:pos="11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resolutions of the Board of Trustees of the Company adopted at a special meeting of the Board held on September 2, 1998, approving the Indenture, as certified by the Secretary of the Company on January 26, 2004;</w:t>
      </w:r>
    </w:p>
    <w:p>
      <w:pPr>
        <w:spacing w:after="0" w:line="37" w:lineRule="exact"/>
        <w:rPr>
          <w:rFonts w:ascii="Arial" w:cs="Arial" w:eastAsia="Arial" w:hAnsi="Arial"/>
          <w:sz w:val="18"/>
          <w:szCs w:val="18"/>
          <w:color w:val="auto"/>
        </w:rPr>
      </w:pPr>
    </w:p>
    <w:p>
      <w:pPr>
        <w:ind w:left="1140" w:right="680" w:hanging="565"/>
        <w:spacing w:after="0" w:line="268" w:lineRule="auto"/>
        <w:tabs>
          <w:tab w:leader="none" w:pos="11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resolutions of the Board of Trustees of the Company adopted at a special meeting of the Board held on October 29, 2002, approving the Registration Statement, as certified by the Secretary of the Company on January 26, 2004;</w:t>
      </w:r>
    </w:p>
    <w:p>
      <w:pPr>
        <w:spacing w:after="0" w:line="37" w:lineRule="exact"/>
        <w:rPr>
          <w:rFonts w:ascii="Arial" w:cs="Arial" w:eastAsia="Arial" w:hAnsi="Arial"/>
          <w:sz w:val="18"/>
          <w:szCs w:val="18"/>
          <w:color w:val="auto"/>
        </w:rPr>
      </w:pPr>
    </w:p>
    <w:p>
      <w:pPr>
        <w:ind w:left="1140" w:right="100" w:hanging="565"/>
        <w:spacing w:after="0" w:line="268" w:lineRule="auto"/>
        <w:tabs>
          <w:tab w:leader="none" w:pos="11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resolutions of the Board of Trustees of the Company adopted at a special meeting of the Board held on January 21, 2004, approving the offering of the Notes, as certified by the Secretary of the Company on January 26, 2004;</w:t>
      </w:r>
    </w:p>
    <w:p>
      <w:pPr>
        <w:spacing w:after="0" w:line="37" w:lineRule="exact"/>
        <w:rPr>
          <w:rFonts w:ascii="Arial" w:cs="Arial" w:eastAsia="Arial" w:hAnsi="Arial"/>
          <w:sz w:val="18"/>
          <w:szCs w:val="18"/>
          <w:color w:val="auto"/>
        </w:rPr>
      </w:pPr>
    </w:p>
    <w:p>
      <w:pPr>
        <w:ind w:left="1140" w:right="300" w:hanging="565"/>
        <w:spacing w:after="0" w:line="268" w:lineRule="auto"/>
        <w:tabs>
          <w:tab w:leader="none" w:pos="11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resolutions of the Pricing Committee of the Board of Trustees of the Company adopted at a meeting of the Pricing Committee on January 21, 2004, as certified by the Secretary of the Company on January 26, 2004;</w:t>
      </w:r>
    </w:p>
    <w:p>
      <w:pPr>
        <w:spacing w:after="0" w:line="37" w:lineRule="exact"/>
        <w:rPr>
          <w:rFonts w:ascii="Arial" w:cs="Arial" w:eastAsia="Arial" w:hAnsi="Arial"/>
          <w:sz w:val="18"/>
          <w:szCs w:val="18"/>
          <w:color w:val="auto"/>
        </w:rPr>
      </w:pPr>
    </w:p>
    <w:p>
      <w:pPr>
        <w:ind w:left="1140" w:hanging="565"/>
        <w:spacing w:after="0"/>
        <w:tabs>
          <w:tab w:leader="none" w:pos="11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certificate of an officer of the Company dated as of the date hereof; and</w:t>
      </w:r>
    </w:p>
    <w:p>
      <w:pPr>
        <w:spacing w:after="0" w:line="76" w:lineRule="exact"/>
        <w:rPr>
          <w:rFonts w:ascii="Arial" w:cs="Arial" w:eastAsia="Arial" w:hAnsi="Arial"/>
          <w:sz w:val="18"/>
          <w:szCs w:val="18"/>
          <w:color w:val="auto"/>
        </w:rPr>
      </w:pPr>
    </w:p>
    <w:p>
      <w:pPr>
        <w:ind w:left="1140" w:right="160" w:hanging="565"/>
        <w:spacing w:after="0" w:line="268" w:lineRule="auto"/>
        <w:tabs>
          <w:tab w:leader="none" w:pos="11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such other documents, corporate records, certificates of public officials and other instruments as we have deemed necessary for the purposes of rendering this opinion.</w:t>
      </w:r>
    </w:p>
    <w:p>
      <w:pPr>
        <w:spacing w:after="0" w:line="11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documents referred to in clauses (vi) through (ix) are collectively referred to as the “</w:t>
      </w:r>
      <w:r>
        <w:rPr>
          <w:rFonts w:ascii="Arial" w:cs="Arial" w:eastAsia="Arial" w:hAnsi="Arial"/>
          <w:sz w:val="16"/>
          <w:szCs w:val="16"/>
          <w:b w:val="1"/>
          <w:bCs w:val="1"/>
          <w:color w:val="auto"/>
        </w:rPr>
        <w:t>Resolutions</w:t>
      </w:r>
      <w:r>
        <w:rPr>
          <w:rFonts w:ascii="Arial" w:cs="Arial" w:eastAsia="Arial" w:hAnsi="Arial"/>
          <w:sz w:val="16"/>
          <w:szCs w:val="16"/>
          <w:color w:val="auto"/>
        </w:rPr>
        <w:t>.” In our examination of the aforesaid documents, we have assumed the legal capacity of all natural persons, the genuineness of all signatures, the completeness and authenticity of all documents submitted to us as originals, and the conformity to original documents of all documents submitted to us as certified, telecopied, photostatic or reproduced copies. In connection with the opinions expressed below, we have assumed that, at and prior to the time of the sale and delivery of any Notes pursuant to the Registration Statement, (i) the Resolutions have not been amended, modified or rescinded, (ii) no stop order suspending the effectiveness of the Registration Statement has been issued and no proceedings with respect thereto have been commenced or threatened, and (iii) there has not occurred any change in law materially adversely affecting the power of the Company to offer and sell the Notes or the validity of the Notes.</w:t>
      </w:r>
    </w:p>
    <w:p>
      <w:pPr>
        <w:sectPr>
          <w:pgSz w:w="11900" w:h="16838" w:orient="portrait"/>
          <w:cols w:equalWidth="0" w:num="1">
            <w:col w:w="11360"/>
          </w:cols>
          <w:pgMar w:left="240" w:top="280" w:right="299" w:bottom="1440" w:gutter="0" w:footer="0" w:header="0"/>
        </w:sectPr>
      </w:pPr>
    </w:p>
    <w:bookmarkStart w:id="52" w:name="page53"/>
    <w:bookmarkEnd w:id="52"/>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January 26, 2004</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Page 3</w:t>
      </w:r>
    </w:p>
    <w:p>
      <w:pPr>
        <w:spacing w:after="0" w:line="15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have also assumed that the offering, sale and delivery of the Notes, and compliance by the Company with the rights, powers, privileges and preferences and other terms of the Notes will not at the time of such offering, sale and delivery violate or conflict with (i) the Declaration of Trust, as then amended, restated and supplemented, and Bylaws, as then amended, restated and supplemented, of the Company, (ii) any provision of any license, indenture, instrument, mortgage, contract, document or agreement to which the Company is then a party or by which the Company is then bound, or (iii) any law or regulation or any decree, judgment or order then applicable to the Company.</w:t>
      </w:r>
    </w:p>
    <w:p>
      <w:pPr>
        <w:spacing w:after="0" w:line="129"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Based upon the foregoing and subject to the limitations and qualifications hereinafter set forth, we are of the opinion that the Notes will constitute legally valid and binding obligations of the Company, enforceable against the Company in accordance with their terms when duly executed and delivered by the Company against payment therefor and countersigned or authenticated by the Trustee in accordance with the Indenture and delivered to and paid for by the purchasers of the Notes in the manner contemplated by the Underwriting Agreement.</w:t>
      </w:r>
    </w:p>
    <w:p>
      <w:pPr>
        <w:spacing w:after="0" w:line="130"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The opinion above with respect to the enforceability of obligations may be limited by bankruptcy, insolvency, reorganization, moratorium or other laws affecting creditors’ rights (including, without limitation, the effect of statutory and other law regarding fraudulent conveyances, fraudulent transfers and preferential transfers) and by the exercise of judicial discretion and the application of principles of equity, including, without limitation, requirements of good faith, fair dealing, conscionability and materiality (regardless of whether the Notes are considered in a proceeding in equity or at law). Such opinions shall be understood to mean only that if there is a default in performance of an obligation, (i) if a failure to pay or other damage can be shown and (ii) if the defaulting party can be brought into a court which will hear the case and apply the governing law, then, subject to the availability of defenses and to the exceptions set forth in the previous sentence, the court will provide a money damage (or perhaps injunctive or specific performance) remedy.</w:t>
      </w:r>
    </w:p>
    <w:p>
      <w:pPr>
        <w:spacing w:after="0" w:line="10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This opinion is limited to the laws of the United States, Title 8 of the Corporations and Associations Article of the Annotated Code of Maryland and New York contract law (but not including any statutes, ordinances, administrative decisions, rules or regulations of any political subdivision of the State of New York), in each case excluding choice of law provisions thereof. We render no opinions with respect to the law of any other jurisdiction. Our opinion is rendered only with respect to the laws and the rules, regulations and orders thereunder that are currently in effect. We assume no obligation to advise you of any changes in the foregoing subsequent to the delivery of this opinion.</w:t>
      </w:r>
    </w:p>
    <w:p>
      <w:pPr>
        <w:sectPr>
          <w:pgSz w:w="11900" w:h="16838" w:orient="portrait"/>
          <w:cols w:equalWidth="0" w:num="1">
            <w:col w:w="11420"/>
          </w:cols>
          <w:pgMar w:left="240" w:top="280" w:right="239" w:bottom="1440" w:gutter="0" w:footer="0" w:header="0"/>
        </w:sectPr>
      </w:pPr>
    </w:p>
    <w:bookmarkStart w:id="53" w:name="page54"/>
    <w:bookmarkEnd w:id="53"/>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January 26, 2004</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Page 4</w:t>
      </w:r>
    </w:p>
    <w:p>
      <w:pPr>
        <w:spacing w:after="0" w:line="15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This opinion has been prepared solely for your use in connection with the filing of the Prospectus to the Registration Statement, and should not be quoted in whole or in part or otherwise be referred to, nor otherwise be filed with or furnished to, any governmental agency or other person or entity, without our express prior written consent.</w:t>
      </w:r>
    </w:p>
    <w:p>
      <w:pPr>
        <w:spacing w:after="0" w:line="127"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We hereby consent to the filing of this opinion as an exhibit to the Registration Statement and to the use of our name in the Prospectus under the caption “Legal Matters.” The giving of this consent, however, does not constitute an admission that we are “experts” within the meaning of Section 11 of the Securities Act of 1933, as amended (the “Act”), or within the category of persons whose consent is required by Section 7 of the Act.</w:t>
      </w:r>
    </w:p>
    <w:p>
      <w:pPr>
        <w:spacing w:after="0" w:line="9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tabs>
          <w:tab w:leader="none" w:pos="7180" w:val="left"/>
        </w:tabs>
        <w:rPr>
          <w:sz w:val="20"/>
          <w:szCs w:val="20"/>
          <w:color w:val="auto"/>
        </w:rPr>
      </w:pPr>
      <w:r>
        <w:rPr>
          <w:rFonts w:ascii="Arial" w:cs="Arial" w:eastAsia="Arial" w:hAnsi="Arial"/>
          <w:sz w:val="18"/>
          <w:szCs w:val="18"/>
          <w:color w:val="auto"/>
        </w:rPr>
        <w:t>/s/</w:t>
        <w:tab/>
        <w:t>SHAW PITTMAN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SHAW PITTMAN LLP</w:t>
      </w:r>
    </w:p>
    <w:p>
      <w:pPr>
        <w:sectPr>
          <w:pgSz w:w="11900" w:h="16838" w:orient="portrait"/>
          <w:cols w:equalWidth="0" w:num="1">
            <w:col w:w="11200"/>
          </w:cols>
          <w:pgMar w:left="240" w:top="280" w:right="45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8.1</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January 26, 2004</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Federal Realty Investment Trust</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Rockville, Maryland 20852</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Ladies and Gentlemen:</w:t>
      </w:r>
    </w:p>
    <w:p>
      <w:pPr>
        <w:spacing w:after="0" w:line="158"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You have requested certain opinions regarding the application of U.S. federal income tax laws to Federal Realty Investment Trust, a Maryland real estate investment trust (the “Company”), in connection with the issuance and sale of $75,000,000 aggregate principal amount of its 4.50% Notes due 2011 (the “Notes”), pursuant to a registration statement on Form S-3 (File No. 333-100819) (the “Registration Statement,” which term includes all documents incorporated and deemed to be incorporated by reference therein) and a Prospectus Supplement dated January 21, 2004 and a related Prospectus dated May 9, 2003 (collectively, the “Prospectus,” which term includes all documents incorporated and deemed to be incorporated by reference therein), filed with the Securities and Exchange Commission (the “Commission”).</w:t>
      </w:r>
    </w:p>
    <w:p>
      <w:pPr>
        <w:spacing w:after="0" w:line="131"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In rendering the following opinions, we have examined such statutes, regulations, records, certificates and other documents as we have considered necessary or appropriate as a basis for such opinions, including the following: (1) the Registration Statement, (2) the Declaration of Trust of the Company, as amended, restated or supplemented (the “Declaration of Trust”) and the Amended and Restated Bylaws of the Company, (3) certain written representations of the Company contained in a letter to us dated as of the date hereof, a copy of which is attached as Schedule 1 hereto, (4) copies of the representative leases entered into by the Company as of the date hereof, and (5) such other documents or information as we have deemed necessary to render the opinions set forth in this letter. In our review, we have assumed, with your consent, that all of the representations and statements set forth in such documents as to factual matters (but not legal conclusions) are true and correct, and all of the obligations imposed by any such documents on the parties thereto, including obligations imposed under the Declaration of Trust, have been or will be performed or satisfied in accordance with their terms. We also have assumed the genuineness of all signatures, the proper execution of all documents, the authenticity of all documents submitted to us as originals, the conformity to originals of documents submitted to us as copies, and the authenticity of the originals from which any copies were made.</w:t>
      </w:r>
    </w:p>
    <w:p>
      <w:pPr>
        <w:sectPr>
          <w:pgSz w:w="11900" w:h="16838" w:orient="portrait"/>
          <w:cols w:equalWidth="0" w:num="1">
            <w:col w:w="11420"/>
          </w:cols>
          <w:pgMar w:left="240" w:top="125" w:right="239" w:bottom="1440" w:gutter="0" w:footer="0" w:header="0"/>
        </w:sectPr>
      </w:pPr>
    </w:p>
    <w:bookmarkStart w:id="55" w:name="page56"/>
    <w:bookmarkEnd w:id="55"/>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January 26, 2004</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Page 2</w:t>
      </w:r>
    </w:p>
    <w:p>
      <w:pPr>
        <w:spacing w:after="0" w:line="151" w:lineRule="exact"/>
        <w:rPr>
          <w:sz w:val="20"/>
          <w:szCs w:val="20"/>
          <w:color w:val="auto"/>
        </w:rPr>
      </w:pPr>
    </w:p>
    <w:p>
      <w:pPr>
        <w:ind w:right="20" w:firstLine="456"/>
        <w:spacing w:after="0" w:line="312" w:lineRule="auto"/>
        <w:rPr>
          <w:sz w:val="20"/>
          <w:szCs w:val="20"/>
          <w:color w:val="auto"/>
        </w:rPr>
      </w:pPr>
      <w:r>
        <w:rPr>
          <w:rFonts w:ascii="Arial" w:cs="Arial" w:eastAsia="Arial" w:hAnsi="Arial"/>
          <w:sz w:val="15"/>
          <w:szCs w:val="15"/>
          <w:color w:val="auto"/>
        </w:rPr>
        <w:t>Unless facts material to the opinions expressed herein are specifically stated to have been independently established or verified by us, we have relied as to such facts solely upon the representations made by the Company. To the extent that the representations of the Company are with respect to matters set forth in the Internal Revenue Code of 1986, as amended (the “Code”) or the regulations promulgated thereunder (the “Treasury Regulations”), we have reviewed with the individuals making such representations the relevant provisions of the Code, the applicable Treasury Regulations and published administrative interpretations thereof. We assume that each representation made by the Company is and will be true, correct and complete, and that all representations that speak in the future, or to the intention, or to the best of belief and knowledge of any person(s) or party(ies) are and will be true, correct and complete as if made without such qualification. Nothing has come to our attention which would cause us to believe that any of such representations are untrue, incorrect or incomplete.</w:t>
      </w:r>
    </w:p>
    <w:p>
      <w:pPr>
        <w:spacing w:after="0" w:line="92" w:lineRule="exact"/>
        <w:rPr>
          <w:sz w:val="20"/>
          <w:szCs w:val="20"/>
          <w:color w:val="auto"/>
        </w:rPr>
      </w:pPr>
    </w:p>
    <w:p>
      <w:pPr>
        <w:ind w:right="40" w:firstLine="456"/>
        <w:spacing w:after="0" w:line="307" w:lineRule="auto"/>
        <w:rPr>
          <w:sz w:val="20"/>
          <w:szCs w:val="20"/>
          <w:color w:val="auto"/>
        </w:rPr>
      </w:pPr>
      <w:r>
        <w:rPr>
          <w:rFonts w:ascii="Arial" w:cs="Arial" w:eastAsia="Arial" w:hAnsi="Arial"/>
          <w:sz w:val="15"/>
          <w:szCs w:val="15"/>
          <w:color w:val="auto"/>
        </w:rPr>
        <w:t>Based upon and subject to the foregoing and to the qualifications below, we are of the opinion that (i) the Company qualified as a real estate investment trust, or REIT, under the Code for each of its taxable years ending before January 1, 2004, (ii) the Company is organized in conformity with the requirements for qualification as a REIT under the Code, and its current method of operation and ownership will enable it to meet the requirements for qualification as a REIT for the current (2004) taxable year and for future taxable years, and (iii) the discussions in (w) the Prospectus under the caption “Risk Factors,” specifically the discussion of the Company’s status as a REIT, (x) the Prospectus under the caption “Federal Income Tax Consequences,” and (y) the Company’s Current Report on Form 8-K filed with the Commission on March 25, 2003 under the captions “Risk Factors—Failure to qualify as a REIT for federal income tax purposes would cause us to be taxed as a corporation, which would substantially reduce funds available for payment of distributions,” “Risk Factors—We may be required to incur additional debt to qualify as a REIT” and “Risk Factors—To maintain our status as a REIT, we limit the amount of shares any one shareholder can own” which discussions are part of, or incorporated by reference into, the Prospectus, insofar as they purport to describe or summarize certain provisions of the agreements, statutes or regulations referred to therein, are accurate descriptions or summaries in all material respects, and the discussion thereunder expresses the opinion of Shaw Pittman LLP insofar as it relates to matters of United States federal income tax law and legal conclusions with regard to those matters.</w:t>
      </w:r>
    </w:p>
    <w:p>
      <w:pPr>
        <w:spacing w:after="0" w:line="9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opinions set forth in this letter are based on existing law as contained in the Code, Treasury Regulations (including any Temporary and Proposed Regulations), and interpretations of the foregoing by the Internal Revenue Service (“IRS”) and by the courts in effect (or, in case of certain Proposed Regulations, proposed) as of the date</w:t>
      </w:r>
    </w:p>
    <w:p>
      <w:pPr>
        <w:sectPr>
          <w:pgSz w:w="11900" w:h="16838" w:orient="portrait"/>
          <w:cols w:equalWidth="0" w:num="1">
            <w:col w:w="11380"/>
          </w:cols>
          <w:pgMar w:left="240" w:top="280" w:right="279" w:bottom="1440" w:gutter="0" w:footer="0" w:header="0"/>
        </w:sectPr>
      </w:pPr>
    </w:p>
    <w:bookmarkStart w:id="56" w:name="page57"/>
    <w:bookmarkEnd w:id="56"/>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January 26, 2004</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Page 3</w:t>
      </w:r>
    </w:p>
    <w:p>
      <w:pPr>
        <w:spacing w:after="0" w:line="15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hereof, all of which are subject to change, both retroactively or prospectively, and to possibly different interpretations. Moreover, the Company’s ability to achieve and maintain qualification as a REIT depends upon its ability to achieve and maintain certain diversity of stock ownership requirements and, through actual annual operating results, certain requirements under the Code regarding its income, assets and distribution levels. No assurance can be given as to whether, for any given taxable year, the actual ownership of the Company’s stock and its actual operating results and distributions satisfy the tests necessary to achieve and maintain its status as a REIT.</w:t>
      </w:r>
    </w:p>
    <w:p>
      <w:pPr>
        <w:spacing w:after="0" w:line="129"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foregoing opinions are limited to the specific matters covered thereby and should not be interpreted to imply the undersigned has offered its opinion on any other matter. We assume no obligation to update the opinions set forth in this letter after the date hereof.</w:t>
      </w:r>
    </w:p>
    <w:p>
      <w:pPr>
        <w:spacing w:after="0" w:line="11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hereby consent to the filing of this opinion as an exhibit to the Registration Statement. The giving of this consent, however, does not constitute an admission that we are “experts” within the meaning of Section 11 of the Securities Act of 1933 (the “Act”), as amended, or within the category of persons whose consent is required by Section 7 of the Act.</w:t>
      </w:r>
    </w:p>
    <w:p>
      <w:pPr>
        <w:spacing w:after="0" w:line="12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SHAW PITTMAN LLP</w:t>
      </w:r>
    </w:p>
    <w:p>
      <w:pPr>
        <w:spacing w:after="0" w:line="225" w:lineRule="exact"/>
        <w:rPr>
          <w:sz w:val="20"/>
          <w:szCs w:val="20"/>
          <w:color w:val="auto"/>
        </w:rPr>
      </w:pPr>
    </w:p>
    <w:p>
      <w:pPr>
        <w:ind w:left="6860"/>
        <w:spacing w:after="0"/>
        <w:tabs>
          <w:tab w:leader="none" w:pos="7260" w:val="left"/>
          <w:tab w:leader="none" w:pos="760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6"/>
          <w:szCs w:val="16"/>
          <w:color w:val="auto"/>
        </w:rPr>
        <w:t>Charles B. Temkin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80010</wp:posOffset>
            </wp:positionV>
            <wp:extent cx="269303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216" w:lineRule="exact"/>
        <w:rPr>
          <w:sz w:val="20"/>
          <w:szCs w:val="20"/>
          <w:color w:val="auto"/>
        </w:rPr>
      </w:pPr>
    </w:p>
    <w:p>
      <w:pPr>
        <w:ind w:left="7280"/>
        <w:spacing w:after="0"/>
        <w:rPr>
          <w:sz w:val="20"/>
          <w:szCs w:val="20"/>
          <w:color w:val="auto"/>
        </w:rPr>
      </w:pPr>
      <w:r>
        <w:rPr>
          <w:rFonts w:ascii="Arial" w:cs="Arial" w:eastAsia="Arial" w:hAnsi="Arial"/>
          <w:sz w:val="14"/>
          <w:szCs w:val="14"/>
          <w:color w:val="auto"/>
        </w:rPr>
        <w:t>Charles B. Temkin, P.C.</w:t>
      </w:r>
    </w:p>
    <w:p>
      <w:pPr>
        <w:sectPr>
          <w:pgSz w:w="11900" w:h="16838" w:orient="portrait"/>
          <w:cols w:equalWidth="0" w:num="1">
            <w:col w:w="11400"/>
          </w:cols>
          <w:pgMar w:left="240" w:top="280" w:right="259" w:bottom="1440" w:gutter="0" w:footer="0" w:header="0"/>
        </w:sectPr>
      </w:pPr>
    </w:p>
    <w:bookmarkStart w:id="57" w:name="page58"/>
    <w:bookmarkEnd w:id="57"/>
    <w:p>
      <w:pPr>
        <w:ind w:left="10520"/>
        <w:spacing w:after="0"/>
        <w:rPr>
          <w:sz w:val="20"/>
          <w:szCs w:val="20"/>
          <w:color w:val="auto"/>
        </w:rPr>
      </w:pPr>
      <w:r>
        <w:rPr>
          <w:rFonts w:ascii="Arial" w:cs="Arial" w:eastAsia="Arial" w:hAnsi="Arial"/>
          <w:sz w:val="16"/>
          <w:szCs w:val="16"/>
          <w:b w:val="1"/>
          <w:bCs w:val="1"/>
          <w:color w:val="auto"/>
        </w:rPr>
        <w:t>Exhibit 12.1</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Ratios of Earnings to Fixed Charges and of Ratios of Earnings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Combined Fixed Charges and Preferred Share Dividends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960" w:type="dxa"/>
            <w:vAlign w:val="bottom"/>
            <w:gridSpan w:val="3"/>
          </w:tcPr>
          <w:p>
            <w:pPr>
              <w:jc w:val="right"/>
              <w:ind w:right="135"/>
              <w:spacing w:after="0"/>
              <w:rPr>
                <w:sz w:val="20"/>
                <w:szCs w:val="20"/>
                <w:color w:val="auto"/>
              </w:rPr>
            </w:pPr>
            <w:r>
              <w:rPr>
                <w:rFonts w:ascii="Arial" w:cs="Arial" w:eastAsia="Arial" w:hAnsi="Arial"/>
                <w:sz w:val="14"/>
                <w:szCs w:val="14"/>
                <w:b w:val="1"/>
                <w:bCs w:val="1"/>
                <w:color w:val="auto"/>
                <w:w w:val="95"/>
              </w:rPr>
              <w:t>For the nine months ended</w:t>
            </w: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80" w:type="dxa"/>
            <w:vAlign w:val="bottom"/>
            <w:gridSpan w:val="5"/>
          </w:tcPr>
          <w:p>
            <w:pPr>
              <w:ind w:left="640"/>
              <w:spacing w:after="0"/>
              <w:rPr>
                <w:sz w:val="20"/>
                <w:szCs w:val="20"/>
                <w:color w:val="auto"/>
              </w:rPr>
            </w:pPr>
            <w:r>
              <w:rPr>
                <w:rFonts w:ascii="Arial" w:cs="Arial" w:eastAsia="Arial" w:hAnsi="Arial"/>
                <w:sz w:val="14"/>
                <w:szCs w:val="14"/>
                <w:b w:val="1"/>
                <w:bCs w:val="1"/>
                <w:color w:val="auto"/>
                <w:w w:val="86"/>
              </w:rPr>
              <w:t>For the fiscal year ended</w:t>
            </w: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gridSpan w:val="2"/>
          </w:tcPr>
          <w:p>
            <w:pPr>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w w:val="83"/>
              </w:rPr>
              <w:t>September 30,</w:t>
            </w: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jc w:val="right"/>
              <w:ind w:right="196"/>
              <w:spacing w:after="0"/>
              <w:rPr>
                <w:sz w:val="20"/>
                <w:szCs w:val="20"/>
                <w:color w:val="auto"/>
              </w:rPr>
            </w:pPr>
            <w:r>
              <w:rPr>
                <w:rFonts w:ascii="Arial" w:cs="Arial" w:eastAsia="Arial" w:hAnsi="Arial"/>
                <w:sz w:val="14"/>
                <w:szCs w:val="14"/>
                <w:b w:val="1"/>
                <w:bCs w:val="1"/>
                <w:color w:val="auto"/>
              </w:rPr>
              <w:t>2003</w:t>
            </w:r>
          </w:p>
        </w:tc>
        <w:tc>
          <w:tcPr>
            <w:tcW w:w="320" w:type="dxa"/>
            <w:vAlign w:val="bottom"/>
          </w:tcPr>
          <w:p>
            <w:pPr>
              <w:spacing w:after="0"/>
              <w:rPr>
                <w:sz w:val="15"/>
                <w:szCs w:val="15"/>
                <w:color w:val="auto"/>
              </w:rPr>
            </w:pPr>
          </w:p>
        </w:tc>
        <w:tc>
          <w:tcPr>
            <w:tcW w:w="820" w:type="dxa"/>
            <w:vAlign w:val="bottom"/>
          </w:tcPr>
          <w:p>
            <w:pPr>
              <w:jc w:val="right"/>
              <w:ind w:right="195"/>
              <w:spacing w:after="0"/>
              <w:rPr>
                <w:sz w:val="20"/>
                <w:szCs w:val="20"/>
                <w:color w:val="auto"/>
              </w:rPr>
            </w:pPr>
            <w:r>
              <w:rPr>
                <w:rFonts w:ascii="Arial" w:cs="Arial" w:eastAsia="Arial" w:hAnsi="Arial"/>
                <w:sz w:val="14"/>
                <w:szCs w:val="14"/>
                <w:b w:val="1"/>
                <w:bCs w:val="1"/>
                <w:color w:val="auto"/>
              </w:rPr>
              <w:t>2002</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2002</w:t>
            </w:r>
          </w:p>
        </w:tc>
        <w:tc>
          <w:tcPr>
            <w:tcW w:w="1000" w:type="dxa"/>
            <w:vAlign w:val="bottom"/>
            <w:gridSpan w:val="2"/>
          </w:tcPr>
          <w:p>
            <w:pPr>
              <w:jc w:val="right"/>
              <w:ind w:right="122"/>
              <w:spacing w:after="0"/>
              <w:rPr>
                <w:sz w:val="20"/>
                <w:szCs w:val="20"/>
                <w:color w:val="auto"/>
              </w:rPr>
            </w:pPr>
            <w:r>
              <w:rPr>
                <w:rFonts w:ascii="Arial" w:cs="Arial" w:eastAsia="Arial" w:hAnsi="Arial"/>
                <w:sz w:val="14"/>
                <w:szCs w:val="14"/>
                <w:b w:val="1"/>
                <w:bCs w:val="1"/>
                <w:color w:val="auto"/>
              </w:rPr>
              <w:t>2001</w:t>
            </w:r>
          </w:p>
        </w:tc>
        <w:tc>
          <w:tcPr>
            <w:tcW w:w="320" w:type="dxa"/>
            <w:vAlign w:val="bottom"/>
          </w:tcPr>
          <w:p>
            <w:pPr>
              <w:spacing w:after="0"/>
              <w:rPr>
                <w:sz w:val="15"/>
                <w:szCs w:val="15"/>
                <w:color w:val="auto"/>
              </w:rPr>
            </w:pPr>
          </w:p>
        </w:tc>
        <w:tc>
          <w:tcPr>
            <w:tcW w:w="680" w:type="dxa"/>
            <w:vAlign w:val="bottom"/>
          </w:tcPr>
          <w:p>
            <w:pPr>
              <w:jc w:val="right"/>
              <w:ind w:right="114"/>
              <w:spacing w:after="0"/>
              <w:rPr>
                <w:sz w:val="20"/>
                <w:szCs w:val="20"/>
                <w:color w:val="auto"/>
              </w:rPr>
            </w:pPr>
            <w:r>
              <w:rPr>
                <w:rFonts w:ascii="Arial" w:cs="Arial" w:eastAsia="Arial" w:hAnsi="Arial"/>
                <w:sz w:val="14"/>
                <w:szCs w:val="14"/>
                <w:b w:val="1"/>
                <w:bCs w:val="1"/>
                <w:color w:val="auto"/>
              </w:rPr>
              <w:t>2000</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ind w:right="114"/>
              <w:spacing w:after="0"/>
              <w:rPr>
                <w:sz w:val="20"/>
                <w:szCs w:val="20"/>
                <w:color w:val="auto"/>
              </w:rPr>
            </w:pPr>
            <w:r>
              <w:rPr>
                <w:rFonts w:ascii="Arial" w:cs="Arial" w:eastAsia="Arial" w:hAnsi="Arial"/>
                <w:sz w:val="14"/>
                <w:szCs w:val="14"/>
                <w:b w:val="1"/>
                <w:bCs w:val="1"/>
                <w:color w:val="auto"/>
              </w:rPr>
              <w:t>1999</w:t>
            </w:r>
          </w:p>
        </w:tc>
        <w:tc>
          <w:tcPr>
            <w:tcW w:w="320" w:type="dxa"/>
            <w:vAlign w:val="bottom"/>
          </w:tcPr>
          <w:p>
            <w:pPr>
              <w:spacing w:after="0"/>
              <w:rPr>
                <w:sz w:val="15"/>
                <w:szCs w:val="15"/>
                <w:color w:val="auto"/>
              </w:rPr>
            </w:pPr>
          </w:p>
        </w:tc>
        <w:tc>
          <w:tcPr>
            <w:tcW w:w="680" w:type="dxa"/>
            <w:vAlign w:val="bottom"/>
          </w:tcPr>
          <w:p>
            <w:pPr>
              <w:jc w:val="right"/>
              <w:ind w:right="114"/>
              <w:spacing w:after="0"/>
              <w:rPr>
                <w:sz w:val="20"/>
                <w:szCs w:val="20"/>
                <w:color w:val="auto"/>
              </w:rPr>
            </w:pPr>
            <w:r>
              <w:rPr>
                <w:rFonts w:ascii="Arial" w:cs="Arial" w:eastAsia="Arial" w:hAnsi="Arial"/>
                <w:sz w:val="14"/>
                <w:szCs w:val="14"/>
                <w:b w:val="1"/>
                <w:bCs w:val="1"/>
                <w:color w:val="auto"/>
              </w:rPr>
              <w:t>1998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gain on sale of real estate</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51,374</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43,054</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45,833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59,571</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56,842</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55,493</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44,960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Add:</w:t>
            </w: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Portion of rents representing interest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1,476</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1,477</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40" w:type="dxa"/>
            <w:vAlign w:val="bottom"/>
            <w:gridSpan w:val="2"/>
          </w:tcPr>
          <w:p>
            <w:pPr>
              <w:ind w:left="420"/>
              <w:spacing w:after="0"/>
              <w:rPr>
                <w:sz w:val="20"/>
                <w:szCs w:val="20"/>
                <w:color w:val="auto"/>
              </w:rPr>
            </w:pPr>
            <w:r>
              <w:rPr>
                <w:rFonts w:ascii="Arial" w:cs="Arial" w:eastAsia="Arial" w:hAnsi="Arial"/>
                <w:sz w:val="18"/>
                <w:szCs w:val="18"/>
                <w:color w:val="auto"/>
                <w:w w:val="99"/>
              </w:rPr>
              <w:t>Interest on indebtedness, including amortization of</w:t>
            </w: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40" w:type="dxa"/>
            <w:vAlign w:val="bottom"/>
            <w:gridSpan w:val="2"/>
          </w:tcPr>
          <w:p>
            <w:pPr>
              <w:ind w:left="640"/>
              <w:spacing w:after="0"/>
              <w:rPr>
                <w:sz w:val="20"/>
                <w:szCs w:val="20"/>
                <w:color w:val="auto"/>
              </w:rPr>
            </w:pPr>
            <w:r>
              <w:rPr>
                <w:rFonts w:ascii="Arial" w:cs="Arial" w:eastAsia="Arial" w:hAnsi="Arial"/>
                <w:sz w:val="18"/>
                <w:szCs w:val="18"/>
                <w:color w:val="auto"/>
              </w:rPr>
              <w:t>debt costs</w:t>
            </w:r>
          </w:p>
        </w:tc>
        <w:tc>
          <w:tcPr>
            <w:tcW w:w="820" w:type="dxa"/>
            <w:vAlign w:val="bottom"/>
          </w:tcPr>
          <w:p>
            <w:pPr>
              <w:jc w:val="right"/>
              <w:spacing w:after="0"/>
              <w:rPr>
                <w:sz w:val="20"/>
                <w:szCs w:val="20"/>
                <w:color w:val="auto"/>
              </w:rPr>
            </w:pPr>
            <w:r>
              <w:rPr>
                <w:rFonts w:ascii="Arial" w:cs="Arial" w:eastAsia="Arial" w:hAnsi="Arial"/>
                <w:sz w:val="18"/>
                <w:szCs w:val="18"/>
                <w:color w:val="auto"/>
              </w:rPr>
              <w:t>54,550</w:t>
            </w: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45,313</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65,058</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69,313</w:t>
            </w: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66,418</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61,492</w:t>
            </w:r>
          </w:p>
        </w:tc>
        <w:tc>
          <w:tcPr>
            <w:tcW w:w="32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55,125</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420" w:type="dxa"/>
            <w:vAlign w:val="bottom"/>
          </w:tcPr>
          <w:p>
            <w:pPr>
              <w:spacing w:after="0"/>
              <w:rPr>
                <w:sz w:val="9"/>
                <w:szCs w:val="9"/>
                <w:color w:val="auto"/>
              </w:rPr>
            </w:pPr>
          </w:p>
        </w:tc>
        <w:tc>
          <w:tcPr>
            <w:tcW w:w="2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as adjusted</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107,098</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89,484</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112,367</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130,361</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124,669</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118,604</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101,071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4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420" w:type="dxa"/>
            <w:vAlign w:val="bottom"/>
          </w:tcPr>
          <w:p>
            <w:pPr>
              <w:spacing w:after="0"/>
              <w:rPr>
                <w:sz w:val="9"/>
                <w:szCs w:val="9"/>
                <w:color w:val="auto"/>
              </w:rPr>
            </w:pPr>
          </w:p>
        </w:tc>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 charges</w:t>
            </w: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ind w:left="420"/>
              <w:spacing w:after="0"/>
              <w:rPr>
                <w:sz w:val="20"/>
                <w:szCs w:val="20"/>
                <w:color w:val="auto"/>
              </w:rPr>
            </w:pPr>
            <w:r>
              <w:rPr>
                <w:rFonts w:ascii="Arial" w:cs="Arial" w:eastAsia="Arial" w:hAnsi="Arial"/>
                <w:sz w:val="18"/>
                <w:szCs w:val="18"/>
                <w:color w:val="auto"/>
              </w:rPr>
              <w:t>Portion of rents representing interest</w:t>
            </w:r>
          </w:p>
        </w:tc>
        <w:tc>
          <w:tcPr>
            <w:tcW w:w="820" w:type="dxa"/>
            <w:vAlign w:val="bottom"/>
          </w:tcPr>
          <w:p>
            <w:pPr>
              <w:jc w:val="right"/>
              <w:spacing w:after="0"/>
              <w:rPr>
                <w:sz w:val="20"/>
                <w:szCs w:val="20"/>
                <w:color w:val="auto"/>
              </w:rPr>
            </w:pPr>
            <w:r>
              <w:rPr>
                <w:rFonts w:ascii="Arial" w:cs="Arial" w:eastAsia="Arial" w:hAnsi="Arial"/>
                <w:sz w:val="18"/>
                <w:szCs w:val="18"/>
                <w:color w:val="auto"/>
              </w:rPr>
              <w:t>1,174</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1,117</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1,476</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1,477</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1,409</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1,619</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Interest on indebtedness, including amortization of</w:t>
            </w: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debt costs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54,550</w:t>
            </w: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45,313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65,054</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69,313</w:t>
            </w: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66,418</w:t>
            </w: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61,492</w:t>
            </w: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ind w:left="420"/>
              <w:spacing w:after="0"/>
              <w:rPr>
                <w:sz w:val="20"/>
                <w:szCs w:val="20"/>
                <w:color w:val="auto"/>
              </w:rPr>
            </w:pPr>
            <w:r>
              <w:rPr>
                <w:rFonts w:ascii="Arial" w:cs="Arial" w:eastAsia="Arial" w:hAnsi="Arial"/>
                <w:sz w:val="18"/>
                <w:szCs w:val="18"/>
                <w:color w:val="auto"/>
              </w:rPr>
              <w:t>Interest on discontinued operations</w:t>
            </w:r>
          </w:p>
        </w:tc>
        <w:tc>
          <w:tcPr>
            <w:tcW w:w="11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18"/>
                <w:szCs w:val="18"/>
                <w:color w:val="auto"/>
              </w:rPr>
            </w:pPr>
          </w:p>
        </w:tc>
        <w:tc>
          <w:tcPr>
            <w:tcW w:w="10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80" w:type="dxa"/>
            <w:vAlign w:val="bottom"/>
            <w:gridSpan w:val="3"/>
          </w:tcPr>
          <w:p>
            <w:pPr>
              <w:ind w:left="42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Capitalized interest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11,832</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19,412</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23,579</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17,803</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13,249</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6,867</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20" w:type="dxa"/>
            <w:vAlign w:val="bottom"/>
          </w:tcPr>
          <w:p>
            <w:pPr>
              <w:spacing w:after="0"/>
              <w:rPr>
                <w:sz w:val="9"/>
                <w:szCs w:val="9"/>
                <w:color w:val="auto"/>
              </w:rPr>
            </w:pPr>
          </w:p>
        </w:tc>
        <w:tc>
          <w:tcPr>
            <w:tcW w:w="2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Fixed charges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67,556</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65,842</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90,113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88,593</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81,076</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69,978</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61,189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Plus preferred dividend</w:t>
            </w:r>
          </w:p>
        </w:tc>
        <w:tc>
          <w:tcPr>
            <w:tcW w:w="820" w:type="dxa"/>
            <w:vAlign w:val="bottom"/>
          </w:tcPr>
          <w:p>
            <w:pPr>
              <w:jc w:val="right"/>
              <w:spacing w:after="0"/>
              <w:rPr>
                <w:sz w:val="20"/>
                <w:szCs w:val="20"/>
                <w:color w:val="auto"/>
              </w:rPr>
            </w:pPr>
            <w:r>
              <w:rPr>
                <w:rFonts w:ascii="Arial" w:cs="Arial" w:eastAsia="Arial" w:hAnsi="Arial"/>
                <w:sz w:val="18"/>
                <w:szCs w:val="18"/>
                <w:color w:val="auto"/>
              </w:rPr>
              <w:t>12,215</w:t>
            </w: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14,568</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19,425</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9,034</w:t>
            </w: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7,950</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7,950</w:t>
            </w: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7,950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Fixed charges and preferred dividends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79,771</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80,410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109,538</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97,627</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89,026</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77,928</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69,139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4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420" w:type="dxa"/>
            <w:vAlign w:val="bottom"/>
          </w:tcPr>
          <w:p>
            <w:pPr>
              <w:spacing w:after="0"/>
              <w:rPr>
                <w:sz w:val="9"/>
                <w:szCs w:val="9"/>
                <w:color w:val="auto"/>
              </w:rPr>
            </w:pPr>
          </w:p>
        </w:tc>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4460" w:type="dxa"/>
            <w:vAlign w:val="bottom"/>
            <w:gridSpan w:val="3"/>
          </w:tcPr>
          <w:p>
            <w:pPr>
              <w:spacing w:after="0"/>
              <w:rPr>
                <w:sz w:val="20"/>
                <w:szCs w:val="20"/>
                <w:color w:val="auto"/>
              </w:rPr>
            </w:pPr>
            <w:r>
              <w:rPr>
                <w:rFonts w:ascii="Arial" w:cs="Arial" w:eastAsia="Arial" w:hAnsi="Arial"/>
                <w:sz w:val="18"/>
                <w:szCs w:val="18"/>
                <w:color w:val="auto"/>
                <w:w w:val="97"/>
              </w:rPr>
              <w:t>Ratio of earning to combined fixed charges and preferred</w:t>
            </w: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40" w:type="dxa"/>
            <w:vAlign w:val="bottom"/>
            <w:gridSpan w:val="2"/>
          </w:tcPr>
          <w:p>
            <w:pPr>
              <w:ind w:left="200"/>
              <w:spacing w:after="0"/>
              <w:rPr>
                <w:sz w:val="20"/>
                <w:szCs w:val="20"/>
                <w:color w:val="auto"/>
              </w:rPr>
            </w:pPr>
            <w:r>
              <w:rPr>
                <w:rFonts w:ascii="Arial" w:cs="Arial" w:eastAsia="Arial" w:hAnsi="Arial"/>
                <w:sz w:val="18"/>
                <w:szCs w:val="18"/>
                <w:color w:val="auto"/>
              </w:rPr>
              <w:t>dividend</w:t>
            </w:r>
          </w:p>
        </w:tc>
        <w:tc>
          <w:tcPr>
            <w:tcW w:w="820" w:type="dxa"/>
            <w:vAlign w:val="bottom"/>
          </w:tcPr>
          <w:p>
            <w:pPr>
              <w:jc w:val="right"/>
              <w:spacing w:after="0"/>
              <w:rPr>
                <w:sz w:val="20"/>
                <w:szCs w:val="20"/>
                <w:color w:val="auto"/>
              </w:rPr>
            </w:pPr>
            <w:r>
              <w:rPr>
                <w:rFonts w:ascii="Arial" w:cs="Arial" w:eastAsia="Arial" w:hAnsi="Arial"/>
                <w:sz w:val="18"/>
                <w:szCs w:val="18"/>
                <w:color w:val="auto"/>
              </w:rPr>
              <w:t>1.3</w:t>
            </w: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w:t>
            </w:r>
          </w:p>
        </w:tc>
        <w:tc>
          <w:tcPr>
            <w:tcW w:w="32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3338830</wp:posOffset>
            </wp:positionH>
            <wp:positionV relativeFrom="paragraph">
              <wp:posOffset>-2264410</wp:posOffset>
            </wp:positionV>
            <wp:extent cx="127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2824480</wp:posOffset>
            </wp:positionH>
            <wp:positionV relativeFrom="paragraph">
              <wp:posOffset>-2264410</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-2264410</wp:posOffset>
            </wp:positionV>
            <wp:extent cx="1270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3553460</wp:posOffset>
            </wp:positionH>
            <wp:positionV relativeFrom="paragraph">
              <wp:posOffset>-2264410</wp:posOffset>
            </wp:positionV>
            <wp:extent cx="1270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-2264410</wp:posOffset>
            </wp:positionV>
            <wp:extent cx="1270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-2264410</wp:posOffset>
            </wp:positionV>
            <wp:extent cx="1270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-2264410</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-2264410</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-2264410</wp:posOffset>
            </wp:positionV>
            <wp:extent cx="1270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-2264410</wp:posOffset>
            </wp:positionV>
            <wp:extent cx="1270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-2264410</wp:posOffset>
            </wp:positionV>
            <wp:extent cx="1270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-2264410</wp:posOffset>
            </wp:positionV>
            <wp:extent cx="1270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-2264410</wp:posOffset>
            </wp:positionV>
            <wp:extent cx="1270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-2264410</wp:posOffset>
            </wp:positionV>
            <wp:extent cx="1270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3338830</wp:posOffset>
            </wp:positionH>
            <wp:positionV relativeFrom="paragraph">
              <wp:posOffset>-574675</wp:posOffset>
            </wp:positionV>
            <wp:extent cx="1270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2824480</wp:posOffset>
            </wp:positionH>
            <wp:positionV relativeFrom="paragraph">
              <wp:posOffset>-574675</wp:posOffset>
            </wp:positionV>
            <wp:extent cx="1270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-574675</wp:posOffset>
            </wp:positionV>
            <wp:extent cx="1270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3553460</wp:posOffset>
            </wp:positionH>
            <wp:positionV relativeFrom="paragraph">
              <wp:posOffset>-574675</wp:posOffset>
            </wp:positionV>
            <wp:extent cx="1270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-574675</wp:posOffset>
            </wp:positionV>
            <wp:extent cx="1270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-574675</wp:posOffset>
            </wp:positionV>
            <wp:extent cx="1270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-574675</wp:posOffset>
            </wp:positionV>
            <wp:extent cx="1270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-574675</wp:posOffset>
            </wp:positionV>
            <wp:extent cx="1270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-574675</wp:posOffset>
            </wp:positionV>
            <wp:extent cx="1270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-574675</wp:posOffset>
            </wp:positionV>
            <wp:extent cx="1270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-574675</wp:posOffset>
            </wp:positionV>
            <wp:extent cx="1270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-574675</wp:posOffset>
            </wp:positionV>
            <wp:extent cx="1270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-574675</wp:posOffset>
            </wp:positionV>
            <wp:extent cx="1270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-574675</wp:posOffset>
            </wp:positionV>
            <wp:extent cx="1270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1."/>
      <w:numFmt w:val="decimal"/>
      <w:start w:val="1"/>
    </w:lvl>
  </w:abstractNum>
  <w:abstractNum w:abstractNumId="1">
    <w:nsid w:val="4E6AFB66"/>
    <w:multiLevelType w:val="hybridMultilevel"/>
    <w:lvl w:ilvl="0">
      <w:lvlJc w:val="left"/>
      <w:lvlText w:val="%1."/>
      <w:numFmt w:val="decimal"/>
      <w:start w:val="2"/>
    </w:lvl>
    <w:lvl w:ilvl="1">
      <w:lvlJc w:val="left"/>
      <w:lvlText w:val="(%2)"/>
      <w:numFmt w:val="lowerLetter"/>
      <w:start w:val="1"/>
    </w:lvl>
  </w:abstractNum>
  <w:abstractNum w:abstractNumId="2">
    <w:nsid w:val="25E45D32"/>
    <w:multiLevelType w:val="hybridMultilevel"/>
    <w:lvl w:ilvl="0">
      <w:lvlJc w:val="left"/>
      <w:lvlText w:val="(%1)"/>
      <w:numFmt w:val="lowerLetter"/>
      <w:start w:val="2"/>
    </w:lvl>
  </w:abstractNum>
  <w:abstractNum w:abstractNumId="3">
    <w:nsid w:val="519B500D"/>
    <w:multiLevelType w:val="hybridMultilevel"/>
    <w:lvl w:ilvl="0">
      <w:lvlJc w:val="left"/>
      <w:lvlText w:val="(%1)"/>
      <w:numFmt w:val="lowerLetter"/>
      <w:start w:val="3"/>
    </w:lvl>
  </w:abstractNum>
  <w:abstractNum w:abstractNumId="4">
    <w:nsid w:val="431BD7B7"/>
    <w:multiLevelType w:val="hybridMultilevel"/>
    <w:lvl w:ilvl="0">
      <w:lvlJc w:val="left"/>
      <w:lvlText w:val="(%1)"/>
      <w:numFmt w:val="lowerLetter"/>
      <w:start w:val="5"/>
    </w:lvl>
  </w:abstractNum>
  <w:abstractNum w:abstractNumId="5">
    <w:nsid w:val="3F2DBA31"/>
    <w:multiLevelType w:val="hybridMultilevel"/>
    <w:lvl w:ilvl="0">
      <w:lvlJc w:val="left"/>
      <w:lvlText w:val="(%1)"/>
      <w:numFmt w:val="lowerLetter"/>
      <w:start w:val="8"/>
    </w:lvl>
  </w:abstractNum>
  <w:abstractNum w:abstractNumId="6">
    <w:nsid w:val="7C83E458"/>
    <w:multiLevelType w:val="hybridMultilevel"/>
    <w:lvl w:ilvl="0">
      <w:lvlJc w:val="left"/>
      <w:lvlText w:val="(%1)"/>
      <w:numFmt w:val="lowerLetter"/>
      <w:start w:val="11"/>
    </w:lvl>
  </w:abstractNum>
  <w:abstractNum w:abstractNumId="7">
    <w:nsid w:val="257130A3"/>
    <w:multiLevelType w:val="hybridMultilevel"/>
    <w:lvl w:ilvl="0">
      <w:lvlJc w:val="left"/>
      <w:lvlText w:val="%1"/>
      <w:numFmt w:val="decimal"/>
      <w:start w:val="1"/>
    </w:lvl>
    <w:lvl w:ilvl="1">
      <w:lvlJc w:val="left"/>
      <w:lvlText w:val="(%2)"/>
      <w:numFmt w:val="lowerLetter"/>
      <w:start w:val="18"/>
    </w:lvl>
  </w:abstractNum>
  <w:abstractNum w:abstractNumId="8">
    <w:nsid w:val="62BBD95A"/>
    <w:multiLevelType w:val="hybridMultilevel"/>
    <w:lvl w:ilvl="0">
      <w:lvlJc w:val="left"/>
      <w:lvlText w:val="%1."/>
      <w:numFmt w:val="decimal"/>
      <w:start w:val="3"/>
    </w:lvl>
    <w:lvl w:ilvl="1">
      <w:lvlJc w:val="left"/>
      <w:lvlText w:val="(%2)"/>
      <w:numFmt w:val="lowerLetter"/>
      <w:start w:val="1"/>
    </w:lvl>
  </w:abstractNum>
  <w:abstractNum w:abstractNumId="9">
    <w:nsid w:val="436C6125"/>
    <w:multiLevelType w:val="hybridMultilevel"/>
    <w:lvl w:ilvl="0">
      <w:lvlJc w:val="left"/>
      <w:lvlText w:val="(%1)"/>
      <w:numFmt w:val="lowerLetter"/>
      <w:start w:val="3"/>
    </w:lvl>
  </w:abstractNum>
  <w:abstractNum w:abstractNumId="10">
    <w:nsid w:val="628C895D"/>
    <w:multiLevelType w:val="hybridMultilevel"/>
    <w:lvl w:ilvl="0">
      <w:lvlJc w:val="left"/>
      <w:lvlText w:val="%1."/>
      <w:numFmt w:val="decimal"/>
      <w:start w:val="6"/>
    </w:lvl>
  </w:abstractNum>
  <w:abstractNum w:abstractNumId="11">
    <w:nsid w:val="333AB105"/>
    <w:multiLevelType w:val="hybridMultilevel"/>
    <w:lvl w:ilvl="0">
      <w:lvlJc w:val="left"/>
      <w:lvlText w:val="(%1)"/>
      <w:numFmt w:val="lowerLetter"/>
      <w:start w:val="1"/>
    </w:lvl>
  </w:abstractNum>
  <w:abstractNum w:abstractNumId="12">
    <w:nsid w:val="721DA317"/>
    <w:multiLevelType w:val="hybridMultilevel"/>
    <w:lvl w:ilvl="0">
      <w:lvlJc w:val="left"/>
      <w:lvlText w:val="(%1)"/>
      <w:numFmt w:val="lowerLetter"/>
      <w:start w:val="3"/>
    </w:lvl>
  </w:abstractNum>
  <w:abstractNum w:abstractNumId="13">
    <w:nsid w:val="2443A858"/>
    <w:multiLevelType w:val="hybridMultilevel"/>
    <w:lvl w:ilvl="0">
      <w:lvlJc w:val="left"/>
      <w:lvlText w:val="(%1)"/>
      <w:numFmt w:val="lowerLetter"/>
      <w:start w:val="7"/>
    </w:lvl>
  </w:abstractNum>
  <w:abstractNum w:abstractNumId="14">
    <w:nsid w:val="2D1D5AE9"/>
    <w:multiLevelType w:val="hybridMultilevel"/>
    <w:lvl w:ilvl="0">
      <w:lvlJc w:val="left"/>
      <w:lvlText w:val="(%1)"/>
      <w:numFmt w:val="lowerLetter"/>
      <w:start w:val="11"/>
    </w:lvl>
  </w:abstractNum>
  <w:abstractNum w:abstractNumId="15">
    <w:nsid w:val="6763845E"/>
    <w:multiLevelType w:val="hybridMultilevel"/>
    <w:lvl w:ilvl="0">
      <w:lvlJc w:val="left"/>
      <w:lvlText w:val="%1."/>
      <w:numFmt w:val="decimal"/>
      <w:start w:val="8"/>
    </w:lvl>
  </w:abstractNum>
  <w:abstractNum w:abstractNumId="16">
    <w:nsid w:val="75A2A8D4"/>
    <w:multiLevelType w:val="hybridMultilevel"/>
    <w:lvl w:ilvl="0">
      <w:lvlJc w:val="left"/>
      <w:lvlText w:val="(%1)"/>
      <w:numFmt w:val="lowerLetter"/>
      <w:start w:val="2"/>
    </w:lvl>
  </w:abstractNum>
  <w:abstractNum w:abstractNumId="17">
    <w:nsid w:val="8EDBDAB"/>
    <w:multiLevelType w:val="hybridMultilevel"/>
    <w:lvl w:ilvl="0">
      <w:lvlJc w:val="left"/>
      <w:lvlText w:val="%1"/>
      <w:numFmt w:val="lowerLetter"/>
      <w:start w:val="1"/>
    </w:lvl>
    <w:lvl w:ilvl="1">
      <w:lvlJc w:val="left"/>
      <w:lvlText w:val="(%2)"/>
      <w:numFmt w:val="lowerLetter"/>
      <w:start w:val="4"/>
    </w:lvl>
  </w:abstractNum>
  <w:abstractNum w:abstractNumId="18">
    <w:nsid w:val="79838CB2"/>
    <w:multiLevelType w:val="hybridMultilevel"/>
    <w:lvl w:ilvl="0">
      <w:lvlJc w:val="left"/>
      <w:lvlText w:val="(%1)"/>
      <w:numFmt w:val="lowerLetter"/>
      <w:start w:val="2"/>
    </w:lvl>
    <w:lvl w:ilvl="1">
      <w:lvlJc w:val="left"/>
      <w:lvlText w:val="%2"/>
      <w:numFmt w:val="lowerLetter"/>
      <w:start w:val="1"/>
    </w:lvl>
  </w:abstractNum>
  <w:abstractNum w:abstractNumId="19">
    <w:nsid w:val="4353D0CD"/>
    <w:multiLevelType w:val="hybridMultilevel"/>
    <w:lvl w:ilvl="0">
      <w:lvlJc w:val="left"/>
      <w:lvlText w:val="(%1)"/>
      <w:numFmt w:val="lowerLetter"/>
      <w:start w:val="5"/>
    </w:lvl>
  </w:abstractNum>
  <w:abstractNum w:abstractNumId="20">
    <w:nsid w:val="B03E0C6"/>
    <w:multiLevelType w:val="hybridMultilevel"/>
    <w:lvl w:ilvl="0">
      <w:lvlJc w:val="left"/>
      <w:lvlText w:val="%1."/>
      <w:numFmt w:val="decimal"/>
      <w:start w:val="9"/>
    </w:lvl>
  </w:abstractNum>
  <w:abstractNum w:abstractNumId="21">
    <w:nsid w:val="189A769B"/>
    <w:multiLevelType w:val="hybridMultilevel"/>
    <w:lvl w:ilvl="0">
      <w:lvlJc w:val="left"/>
      <w:lvlText w:val="%1"/>
      <w:numFmt w:val="decimal"/>
      <w:start w:val="1"/>
    </w:lvl>
    <w:lvl w:ilvl="1">
      <w:lvlJc w:val="left"/>
      <w:lvlText w:val="(%2)"/>
      <w:numFmt w:val="lowerLetter"/>
      <w:start w:val="2"/>
    </w:lvl>
  </w:abstractNum>
  <w:abstractNum w:abstractNumId="22">
    <w:nsid w:val="54E49EB4"/>
    <w:multiLevelType w:val="hybridMultilevel"/>
    <w:lvl w:ilvl="0">
      <w:lvlJc w:val="left"/>
      <w:lvlText w:val="%1."/>
      <w:numFmt w:val="decimal"/>
      <w:start w:val="10"/>
    </w:lvl>
    <w:lvl w:ilvl="1">
      <w:lvlJc w:val="left"/>
      <w:lvlText w:val="%2"/>
      <w:numFmt w:val="lowerLetter"/>
      <w:start w:val="1"/>
    </w:lvl>
  </w:abstractNum>
  <w:abstractNum w:abstractNumId="23">
    <w:nsid w:val="71F32454"/>
    <w:multiLevelType w:val="hybridMultilevel"/>
    <w:lvl w:ilvl="0">
      <w:lvlJc w:val="left"/>
      <w:lvlText w:val="%1."/>
      <w:numFmt w:val="decimal"/>
      <w:start w:val="11"/>
    </w:lvl>
  </w:abstractNum>
  <w:abstractNum w:abstractNumId="24">
    <w:nsid w:val="2CA88611"/>
    <w:multiLevelType w:val="hybridMultilevel"/>
    <w:lvl w:ilvl="0">
      <w:lvlJc w:val="left"/>
      <w:lvlText w:val="%1."/>
      <w:numFmt w:val="decimal"/>
      <w:start w:val="13"/>
    </w:lvl>
  </w:abstractNum>
  <w:abstractNum w:abstractNumId="25">
    <w:nsid w:val="836C40E"/>
    <w:multiLevelType w:val="hybridMultilevel"/>
    <w:lvl w:ilvl="0">
      <w:lvlJc w:val="left"/>
      <w:lvlText w:val="%1."/>
      <w:numFmt w:val="decimal"/>
      <w:start w:val="14"/>
    </w:lvl>
  </w:abstractNum>
  <w:abstractNum w:abstractNumId="26">
    <w:nsid w:val="2901D82"/>
    <w:multiLevelType w:val="hybridMultilevel"/>
    <w:lvl w:ilvl="0">
      <w:lvlJc w:val="left"/>
      <w:lvlText w:val="*"/>
      <w:numFmt w:val="bullet"/>
      <w:start w:val="1"/>
    </w:lvl>
  </w:abstractNum>
  <w:abstractNum w:abstractNumId="27">
    <w:nsid w:val="3A95F874"/>
    <w:multiLevelType w:val="hybridMultilevel"/>
    <w:lvl w:ilvl="0">
      <w:lvlJc w:val="left"/>
      <w:lvlText w:val="%1."/>
      <w:numFmt w:val="decimal"/>
      <w:start w:val="1"/>
    </w:lvl>
  </w:abstractNum>
  <w:abstractNum w:abstractNumId="28">
    <w:nsid w:val="8138641"/>
    <w:multiLevelType w:val="hybridMultilevel"/>
    <w:lvl w:ilvl="0">
      <w:lvlJc w:val="left"/>
      <w:lvlText w:val="(%1)"/>
      <w:numFmt w:val="lowerRoman"/>
      <w:start w:val="4"/>
    </w:lvl>
  </w:abstractNum>
  <w:abstractNum w:abstractNumId="29">
    <w:nsid w:val="1E7FF521"/>
    <w:multiLevelType w:val="hybridMultilevel"/>
    <w:lvl w:ilvl="0">
      <w:lvlJc w:val="left"/>
      <w:lvlText w:val="(%1)"/>
      <w:numFmt w:val="lowerRoman"/>
      <w:start w:val="1"/>
    </w:lvl>
  </w:abstractNum>
  <w:abstractNum w:abstractNumId="30">
    <w:nsid w:val="7C3DBD3D"/>
    <w:multiLevelType w:val="hybridMultilevel"/>
    <w:lvl w:ilvl="0">
      <w:lvlJc w:val="left"/>
      <w:lvlText w:val="(%1)"/>
      <w:numFmt w:val="lowerRoman"/>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2019-12-13T01:01:23Z</dcterms:created>
  <dcterms:modified xsi:type="dcterms:W3CDTF">2019-12-13T01:01:23Z</dcterms:modified>
</cp:coreProperties>
</file>