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1999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313747206</w:t>
            </w: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1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139"/>
          </w:cols>
          <w:pgMar w:left="32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right="801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3" w:lineRule="exact"/>
        <w:rPr>
          <w:rFonts w:ascii="Courier New" w:cs="Courier New" w:eastAsia="Courier New" w:hAnsi="Courier New"/>
          <w:sz w:val="18"/>
          <w:szCs w:val="18"/>
          <w:color w:val="auto"/>
        </w:rPr>
      </w:pPr>
    </w:p>
    <w:p>
      <w:pPr>
        <w:ind w:right="781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557,652</w:t>
      </w:r>
    </w:p>
    <w:p>
      <w:pPr>
        <w:spacing w:after="0" w:line="13" w:lineRule="exact"/>
        <w:rPr>
          <w:rFonts w:ascii="Courier New" w:cs="Courier New" w:eastAsia="Courier New" w:hAnsi="Courier New"/>
          <w:sz w:val="18"/>
          <w:szCs w:val="18"/>
          <w:color w:val="auto"/>
        </w:rPr>
      </w:pPr>
    </w:p>
    <w:p>
      <w:pPr>
        <w:ind w:right="749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3" w:lineRule="exact"/>
        <w:rPr>
          <w:rFonts w:ascii="Courier New" w:cs="Courier New" w:eastAsia="Courier New" w:hAnsi="Courier New"/>
          <w:sz w:val="18"/>
          <w:szCs w:val="18"/>
          <w:color w:val="auto"/>
        </w:rPr>
      </w:pPr>
    </w:p>
    <w:p>
      <w:pPr>
        <w:ind w:right="727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557,652</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557,652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1.38%</w:t>
      </w:r>
    </w:p>
    <w:p>
      <w:pPr>
        <w:spacing w:after="0" w:line="207" w:lineRule="exact"/>
        <w:rPr>
          <w:sz w:val="20"/>
          <w:szCs w:val="20"/>
          <w:color w:val="auto"/>
        </w:rPr>
      </w:pPr>
    </w:p>
    <w:p>
      <w:pPr>
        <w:ind w:right="7079" w:firstLine="8"/>
        <w:spacing w:after="0" w:line="469"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Page 3 of</w:t>
            </w:r>
          </w:p>
        </w:tc>
        <w:tc>
          <w:tcPr>
            <w:tcW w:w="190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8</w:t>
            </w:r>
          </w:p>
        </w:tc>
        <w:tc>
          <w:tcPr>
            <w:tcW w:w="110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313747206</w:t>
            </w: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19" w:firstLine="8"/>
        <w:spacing w:after="0" w:line="469"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19" w:firstLine="8"/>
        <w:spacing w:after="0" w:line="235"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208" w:lineRule="exact"/>
        <w:rPr>
          <w:rFonts w:ascii="Courier New" w:cs="Courier New" w:eastAsia="Courier New" w:hAnsi="Courier New"/>
          <w:sz w:val="18"/>
          <w:szCs w:val="18"/>
          <w:color w:val="auto"/>
        </w:rPr>
      </w:pPr>
    </w:p>
    <w:p>
      <w:pPr>
        <w:ind w:right="7499" w:firstLine="8"/>
        <w:spacing w:after="0" w:line="469"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3" w:lineRule="exact"/>
        <w:rPr>
          <w:rFonts w:ascii="Courier New" w:cs="Courier New" w:eastAsia="Courier New" w:hAnsi="Courier New"/>
          <w:sz w:val="18"/>
          <w:szCs w:val="18"/>
          <w:color w:val="auto"/>
        </w:rPr>
      </w:pPr>
    </w:p>
    <w:p>
      <w:pPr>
        <w:ind w:right="7279" w:firstLine="8"/>
        <w:spacing w:after="0" w:line="469"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 (ownership disclaimed pursuant to Section 13d-4 of the 1934 Act)</w:t>
      </w:r>
    </w:p>
    <w:p>
      <w:pPr>
        <w:spacing w:after="0" w:line="224"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right="7079" w:firstLine="8"/>
        <w:spacing w:after="0" w:line="469"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8</w:t>
      </w:r>
    </w:p>
    <w:p>
      <w:pPr>
        <w:spacing w:after="0" w:line="207" w:lineRule="exact"/>
        <w:rPr>
          <w:sz w:val="20"/>
          <w:szCs w:val="20"/>
          <w:color w:val="auto"/>
        </w:rPr>
      </w:pPr>
    </w:p>
    <w:p>
      <w:pPr>
        <w:ind w:right="233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860" w:right="7499" w:hanging="9"/>
        <w:spacing w:after="0" w:line="279" w:lineRule="auto"/>
        <w:tabs>
          <w:tab w:leader="none" w:pos="12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 (the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1626 East Jefferson Street</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20852-4041</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GROWTH FUND,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10381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1680" w:val="left"/>
        </w:tabs>
        <w:rPr>
          <w:sz w:val="20"/>
          <w:szCs w:val="20"/>
          <w:color w:val="auto"/>
        </w:rPr>
      </w:pPr>
      <w:r>
        <w:rPr>
          <w:rFonts w:ascii="Courier New" w:cs="Courier New" w:eastAsia="Courier New" w:hAnsi="Courier New"/>
          <w:sz w:val="18"/>
          <w:szCs w:val="18"/>
          <w:color w:val="auto"/>
        </w:rPr>
        <w:t>Plainsboro, NJ</w:t>
      </w:r>
      <w:r>
        <w:rPr>
          <w:sz w:val="20"/>
          <w:szCs w:val="20"/>
          <w:color w:val="auto"/>
        </w:rPr>
        <w:tab/>
      </w:r>
      <w:r>
        <w:rPr>
          <w:rFonts w:ascii="Courier New" w:cs="Courier New" w:eastAsia="Courier New" w:hAnsi="Courier New"/>
          <w:sz w:val="16"/>
          <w:szCs w:val="16"/>
          <w:color w:val="auto"/>
        </w:rPr>
        <w:t>08536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See Item 4 of Cover Pages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139"/>
          </w:cols>
          <w:pgMar w:left="32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0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860" w:right="2659" w:hanging="852"/>
        <w:spacing w:after="0" w:line="235"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Rule 13d-1(b)(1)(ii)(E),</w:t>
      </w:r>
    </w:p>
    <w:p>
      <w:pPr>
        <w:spacing w:after="0" w:line="4" w:lineRule="exact"/>
        <w:rPr>
          <w:rFonts w:ascii="Courier New" w:cs="Courier New" w:eastAsia="Courier New" w:hAnsi="Courier New"/>
          <w:sz w:val="18"/>
          <w:szCs w:val="18"/>
          <w:color w:val="auto"/>
        </w:rPr>
      </w:pPr>
    </w:p>
    <w:p>
      <w:pPr>
        <w:ind w:left="860" w:right="3179" w:hanging="852"/>
        <w:spacing w:after="0" w:line="235"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860" w:right="3079" w:hanging="852"/>
        <w:spacing w:after="0" w:line="235"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13d-1(b)(ii)(G); see Item 7,</w:t>
      </w:r>
    </w:p>
    <w:p>
      <w:pPr>
        <w:spacing w:after="0" w:line="5" w:lineRule="exact"/>
        <w:rPr>
          <w:rFonts w:ascii="Courier New" w:cs="Courier New" w:eastAsia="Courier New" w:hAnsi="Courier New"/>
          <w:sz w:val="18"/>
          <w:szCs w:val="18"/>
          <w:color w:val="auto"/>
        </w:rPr>
      </w:pPr>
    </w:p>
    <w:p>
      <w:pPr>
        <w:ind w:left="860" w:right="2659" w:hanging="852"/>
        <w:spacing w:after="0" w:line="235"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019" w:hanging="852"/>
        <w:spacing w:after="0" w:line="268" w:lineRule="auto"/>
        <w:tabs>
          <w:tab w:leader="none" w:pos="43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6859" w:hanging="312"/>
        <w:spacing w:after="0" w:line="536" w:lineRule="auto"/>
        <w:tabs>
          <w:tab w:leader="none" w:pos="53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759" w:hanging="526"/>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3" w:lineRule="exact"/>
        <w:rPr>
          <w:rFonts w:ascii="Courier New" w:cs="Courier New" w:eastAsia="Courier New" w:hAnsi="Courier New"/>
          <w:sz w:val="18"/>
          <w:szCs w:val="18"/>
          <w:color w:val="auto"/>
        </w:rPr>
      </w:pPr>
    </w:p>
    <w:p>
      <w:pPr>
        <w:ind w:left="1060" w:right="4559" w:hanging="631"/>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3" w:lineRule="exact"/>
        <w:rPr>
          <w:rFonts w:ascii="Courier New" w:cs="Courier New" w:eastAsia="Courier New" w:hAnsi="Courier New"/>
          <w:sz w:val="18"/>
          <w:szCs w:val="18"/>
          <w:color w:val="auto"/>
        </w:rPr>
      </w:pPr>
    </w:p>
    <w:p>
      <w:pPr>
        <w:ind w:left="1060" w:right="3399" w:hanging="736"/>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3" w:lineRule="exact"/>
        <w:rPr>
          <w:rFonts w:ascii="Courier New" w:cs="Courier New" w:eastAsia="Courier New" w:hAnsi="Courier New"/>
          <w:sz w:val="18"/>
          <w:szCs w:val="18"/>
          <w:color w:val="auto"/>
        </w:rPr>
      </w:pPr>
    </w:p>
    <w:p>
      <w:pPr>
        <w:ind w:left="1060" w:right="3179" w:hanging="631"/>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ectPr>
          <w:pgSz w:w="11900" w:h="16838" w:orient="portrait"/>
          <w:cols w:equalWidth="0" w:num="1">
            <w:col w:w="10139"/>
          </w:cols>
          <w:pgMar w:left="32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7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220" w:right="2659" w:hanging="210"/>
        <w:spacing w:after="0" w:line="236"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pacing w:after="0" w:line="4" w:lineRule="exact"/>
        <w:rPr>
          <w:sz w:val="20"/>
          <w:szCs w:val="20"/>
          <w:color w:val="auto"/>
        </w:rPr>
      </w:pPr>
    </w:p>
    <w:p>
      <w:pPr>
        <w:ind w:right="2439"/>
        <w:spacing w:after="0" w:line="275" w:lineRule="auto"/>
        <w:rPr>
          <w:sz w:val="20"/>
          <w:szCs w:val="20"/>
          <w:color w:val="auto"/>
        </w:rPr>
      </w:pPr>
      <w:r>
        <w:rPr>
          <w:rFonts w:ascii="Courier New" w:cs="Courier New" w:eastAsia="Courier New" w:hAnsi="Courier New"/>
          <w:sz w:val="16"/>
          <w:szCs w:val="16"/>
          <w:color w:val="auto"/>
        </w:rPr>
        <w:t>The Merrill Lynch Asset Management Group ("AMG") is an operating division of ML&amp;Co. consisting of ML&amp;Co.'s indirectly-owned asset management subsidiaries. The following asset management subsidiaries hold certain shares of the common stock, which is the subject of this 13G filing: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signing below each of the undersigned certifies that, to the best of</w:t>
      </w:r>
    </w:p>
    <w:p>
      <w:pPr>
        <w:spacing w:after="0" w:line="238" w:lineRule="auto"/>
        <w:rPr>
          <w:sz w:val="20"/>
          <w:szCs w:val="20"/>
          <w:color w:val="auto"/>
        </w:rPr>
      </w:pPr>
      <w:r>
        <w:rPr>
          <w:rFonts w:ascii="Courier New" w:cs="Courier New" w:eastAsia="Courier New" w:hAnsi="Courier New"/>
          <w:sz w:val="18"/>
          <w:szCs w:val="18"/>
          <w:color w:val="auto"/>
        </w:rPr>
        <w:t>their knowledge and belief, the securities referred to above were acquired</w:t>
      </w:r>
    </w:p>
    <w:p>
      <w:pPr>
        <w:spacing w:after="0" w:line="238" w:lineRule="auto"/>
        <w:rPr>
          <w:sz w:val="20"/>
          <w:szCs w:val="20"/>
          <w:color w:val="auto"/>
        </w:rPr>
      </w:pPr>
      <w:r>
        <w:rPr>
          <w:rFonts w:ascii="Courier New" w:cs="Courier New" w:eastAsia="Courier New" w:hAnsi="Courier New"/>
          <w:sz w:val="18"/>
          <w:szCs w:val="18"/>
          <w:color w:val="auto"/>
        </w:rPr>
        <w:t>and are held in the ordinary course of business and were not acquired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not held for the purpose of or with the effect of changing or influencing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control of the issuer of such securities and were not acquired and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held in connection with or as a participant in any transaction having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25, 1999, included as Exhibit B to Schedule 13G filed with the Securities and Exchange Commission by Merrill Lynch &amp; Co, Inc. (on behalf of Merrill Lynch Asset Management Group ("AMG")) on January 28, 1999 with respect to Creative Technology, Limited</w:t>
      </w:r>
    </w:p>
    <w:p>
      <w:pPr>
        <w:spacing w:after="0" w:line="208" w:lineRule="exact"/>
        <w:rPr>
          <w:sz w:val="20"/>
          <w:szCs w:val="20"/>
          <w:color w:val="auto"/>
        </w:rPr>
      </w:pPr>
    </w:p>
    <w:p>
      <w:pPr>
        <w:ind w:left="120" w:right="2119" w:hanging="104"/>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21, 2000, included as Exhibit B to Schedule 13G filed with the Securities and Exchange Commission by Merrill Lynch &amp; Co, Inc. (on behalf of Merrill Lynch Asset Management Group ("AMG")) on February 1, 2000 with respect to Affymetrix,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139"/>
          </w:cols>
          <w:pgMar w:left="32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Merrill Lynch Asset Management Group of ML&amp;Co. ("AMG") is comprised of The following legal entities: Merrill Lynch Asset Management, L.P. doing business as Merrill Lynch Asset Management ("MLAM"), QA Advisers, LLC ("QA"), Merrill Lynch Quantitative Advisers, Inc. Hotchkis and Wiley divisions thereof; Fund Asset Management, L.P., doing business as Fund Asset Management ("FAM"); Merrill Lynch Asset Management U.K. Limited ("MLAM UK"); Merrill Lynch (Suisse) Investment Management Limited ("MLS"); Mercury Asset Management International Limited ("MAMI"); Mercury Asset Management Ltd; Mercury Asset Management, Ltd.; Mercury Asset Management (Asia Pacific Limited); Mercury Asset Management</w:t>
      </w:r>
    </w:p>
    <w:p>
      <w:pPr>
        <w:spacing w:after="0" w:line="1" w:lineRule="exact"/>
        <w:rPr>
          <w:sz w:val="20"/>
          <w:szCs w:val="20"/>
          <w:color w:val="auto"/>
        </w:rPr>
      </w:pPr>
    </w:p>
    <w:p>
      <w:pPr>
        <w:ind w:right="2859"/>
        <w:spacing w:after="0" w:line="268" w:lineRule="auto"/>
        <w:rPr>
          <w:sz w:val="20"/>
          <w:szCs w:val="20"/>
          <w:color w:val="auto"/>
        </w:rPr>
      </w:pPr>
      <w:r>
        <w:rPr>
          <w:rFonts w:ascii="Courier New" w:cs="Courier New" w:eastAsia="Courier New" w:hAnsi="Courier New"/>
          <w:sz w:val="16"/>
          <w:szCs w:val="16"/>
          <w:color w:val="auto"/>
        </w:rPr>
        <w:t>Asia Limited; Merrill Lynch Mercury Kapitalanlagegesellschaft MBH; Munich London Investment Management, Ltd.; Merrill Lynch Asset Management (Hong Kong)Limited; Merrill Lynch Mercury Asset Management Japan Limited; Atlas Asset Management, Inc.; Merrill Lynch Investment Management Canada, Inc.; DSP Merrill Lynch Asset Management</w:t>
      </w:r>
    </w:p>
    <w:p>
      <w:pPr>
        <w:spacing w:after="0" w:line="1"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(India) Limited; PT Merrill Lynch Indonesia; Merrill Lynch Phatra Securities Co., Ltd.; Merrill Lynch Global Asset Management, Limited; Mercury Asset Management Channel Islands, Limited; Mercury Asset Management International Channel Islands Limited ("MAMCI"); Grosvenor Venture Managers, Limited; and Mercury Fund Managers, Limited. Each of MLAM, FAM, MLAM UK, MAMCI, QA, MLS, and MAMI is an investment adviser registered under Section 203 of the Investment Advisers Act of 1940, which acts as investment adviser to various investment companies registered under Section 8 of the Investment Company Act of</w:t>
      </w:r>
    </w:p>
    <w:p>
      <w:pPr>
        <w:spacing w:after="0" w:line="10" w:lineRule="exact"/>
        <w:rPr>
          <w:sz w:val="20"/>
          <w:szCs w:val="20"/>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1940. Each other firm constituting part of AMG is an investment adviser operating under the laws of a jurisdiction other than the United States. The investment advisers that comprise AMG exercise voting and investment powers over portfolio securities independently from other direct and indirect subsidiaries of ML&amp;Co.</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6"/>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4"/>
    </w:lvl>
  </w:abstractNum>
  <w:abstractNum w:abstractNumId="17">
    <w:nsid w:val="62BBD95A"/>
    <w:multiLevelType w:val="hybridMultilevel"/>
    <w:lvl w:ilvl="0">
      <w:lvlJc w:val="left"/>
      <w:lvlText w:val="[%1]"/>
      <w:numFmt w:val="upperLetter"/>
      <w:start w:val="24"/>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lvl w:ilvl="1">
      <w:lvlJc w:val="left"/>
      <w:lvlText w:val="(%2)"/>
      <w:numFmt w:val="lowerRoman"/>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2020-10-06T05:03:36Z</dcterms:created>
  <dcterms:modified xsi:type="dcterms:W3CDTF">2020-10-06T05:03:36Z</dcterms:modified>
</cp:coreProperties>
</file>