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2018</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40" w:right="200" w:hanging="412"/>
        <w:spacing w:after="0" w:line="308" w:lineRule="auto"/>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13, 2019, Federal Realty Investment Trust issued supplemental data pertaining to its operations, as well as a press release, to report its financial results for the quarter ended December 31, 2018.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2018 (including press release dated February 13, 2019)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13, 2019</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u w:val="single" w:color="auto"/>
          <w:color w:val="auto"/>
        </w:rPr>
        <w:t>Exh No.</w:t>
      </w:r>
      <w:r>
        <w:rPr>
          <w:sz w:val="20"/>
          <w:szCs w:val="20"/>
          <w:color w:val="auto"/>
        </w:rPr>
        <w:tab/>
      </w:r>
      <w:r>
        <w:rPr>
          <w:rFonts w:ascii="Arial" w:cs="Arial" w:eastAsia="Arial" w:hAnsi="Arial"/>
          <w:sz w:val="19"/>
          <w:szCs w:val="19"/>
          <w:u w:val="single" w:color="auto"/>
          <w:color w:val="auto"/>
        </w:rPr>
        <w:t>Exhibit</w:t>
      </w:r>
    </w:p>
    <w:p>
      <w:pPr>
        <w:spacing w:after="0" w:line="18" w:lineRule="exact"/>
        <w:rPr>
          <w:sz w:val="20"/>
          <w:szCs w:val="20"/>
          <w:color w:val="auto"/>
        </w:rPr>
      </w:pPr>
    </w:p>
    <w:p>
      <w:pPr>
        <w:spacing w:after="0"/>
        <w:tabs>
          <w:tab w:leader="none" w:pos="6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Supplemental Information at December 31, 2018</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Full Year 2018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15</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16</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27</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654685</wp:posOffset>
            </wp:positionV>
            <wp:extent cx="2195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880" w:type="dxa"/>
            <w:vAlign w:val="bottom"/>
          </w:tcPr>
          <w:p>
            <w:pPr>
              <w:spacing w:after="0"/>
              <w:rPr>
                <w:sz w:val="24"/>
                <w:szCs w:val="24"/>
                <w:color w:val="auto"/>
              </w:rPr>
            </w:pPr>
          </w:p>
        </w:tc>
      </w:tr>
      <w:tr>
        <w:trPr>
          <w:trHeight w:val="486"/>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8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88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Investor Relations Manager</w:t>
            </w:r>
          </w:p>
        </w:tc>
        <w:tc>
          <w:tcPr>
            <w:tcW w:w="588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88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lbrady@federalrealty.com</w:t>
            </w:r>
          </w:p>
        </w:tc>
        <w:tc>
          <w:tcPr>
            <w:tcW w:w="588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w:t>
      </w:r>
    </w:p>
    <w:p>
      <w:pPr>
        <w:spacing w:after="0" w:line="6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December 31, 2018</w:t>
      </w:r>
    </w:p>
    <w:p>
      <w:pPr>
        <w:spacing w:after="0" w:line="220"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ROCKVILLE, Md. (February 13, 2019) - Federal Realty Investment Trust (NYSE:FRT) today reported operating results for its year and quarter ended December 31, 2018. For the year ended December 31, 2018 and 2017, net income available for common stockholders was $3.18 per diluted share and $3.97 per diluted share, respectively. For the three months ended December 31, 2018 and 2017, net income available for common stockholders was $0.71 per diluted share and $0.67 per diluted share,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Key Highlights of the full year and quarter include:</w:t>
      </w:r>
    </w:p>
    <w:p>
      <w:pPr>
        <w:spacing w:after="0" w:line="200" w:lineRule="exact"/>
        <w:rPr>
          <w:sz w:val="20"/>
          <w:szCs w:val="20"/>
          <w:color w:val="auto"/>
        </w:rPr>
      </w:pPr>
    </w:p>
    <w:p>
      <w:pPr>
        <w:spacing w:after="0" w:line="214" w:lineRule="exact"/>
        <w:rPr>
          <w:sz w:val="20"/>
          <w:szCs w:val="20"/>
          <w:color w:val="auto"/>
        </w:rPr>
      </w:pP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$6.23 for the year compared to $5.74 in 2017 ($5.91 excluding prepayment premium). For the fourth quarter, generated FFO per diluted share of $1.57 compared to $1.30 for the fourth quarter 2017 ($1.47 excluding prepayment premium).</w:t>
      </w:r>
    </w:p>
    <w:p>
      <w:pPr>
        <w:ind w:left="660" w:right="2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3.1% for the year ended 2018. For the fourth quarter, comparable property POI growth was 2.0%.</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573,923 square feet of comparable space (622,234 square feet total) in the fourth quarter at an average rent of</w:t>
      </w:r>
    </w:p>
    <w:p>
      <w:pPr>
        <w:spacing w:after="0" w:line="103" w:lineRule="exact"/>
        <w:rPr>
          <w:rFonts w:ascii="Arial" w:cs="Arial" w:eastAsia="Arial" w:hAnsi="Arial"/>
          <w:sz w:val="18"/>
          <w:szCs w:val="18"/>
          <w:color w:val="auto"/>
        </w:rPr>
      </w:pPr>
    </w:p>
    <w:p>
      <w:pPr>
        <w:ind w:left="660" w:right="60"/>
        <w:spacing w:after="0" w:line="360" w:lineRule="auto"/>
        <w:rPr>
          <w:rFonts w:ascii="Arial" w:cs="Arial" w:eastAsia="Arial" w:hAnsi="Arial"/>
          <w:sz w:val="18"/>
          <w:szCs w:val="18"/>
          <w:color w:val="auto"/>
        </w:rPr>
      </w:pPr>
      <w:r>
        <w:rPr>
          <w:rFonts w:ascii="Arial" w:cs="Arial" w:eastAsia="Arial" w:hAnsi="Arial"/>
          <w:sz w:val="18"/>
          <w:szCs w:val="18"/>
          <w:color w:val="auto"/>
        </w:rPr>
        <w:t>$32.16 per square foot and achieved cash basis rollover growth on those comparable spaces of 15%. Over the last four quarters, cash basis rollover growth on comparable spaces was 12%.</w:t>
      </w:r>
    </w:p>
    <w:p>
      <w:pPr>
        <w:ind w:left="660" w:right="34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launch of Phase 3 at Assembly Row which includes 277,000 square feet of office space - anchored by PUMA North America, 500 residential units and 56,000 square feet of ground floor retail.</w:t>
      </w:r>
    </w:p>
    <w:p>
      <w:pPr>
        <w:ind w:left="660" w:right="320" w:hanging="328"/>
        <w:spacing w:after="0" w:line="3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2019 FFO per diluted share guidance range of $6.30 to $6.46, which reflects the impact of the newly implemented lease accounting standard ASC 842.</w:t>
      </w:r>
    </w:p>
    <w:p>
      <w:pPr>
        <w:spacing w:after="0" w:line="29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“2018 was a year of records for us; from funds from operations per share of $6.23, to total leasing volume at nearly 2 million square feet, to 51 consecutive years of increased common dividends”, said Donald C. Wood, President and Chief Executive Officer of Federal Realty. “The growing diversification of our revenue base, along with the development and redevelopment opportunities being executed by our talented team, gives us confidence that our multi-faceted business plan is the right one to service today’s evolving and demanding consumer.”</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20"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For the full year 2018, Federal Realty reported net income available for common shareholders of $233.9 million and earnings per diluted share of $3.18. This compares to net income available for common shareholders of $287.5 million and earnings per diluted share of $3.97 for the full year 2017. Net income available for common shareholders was $52.5 million and earnings per diluted share was $0.71 for the fourth quarter 2018 versus $48.6 million and $0.67, respectively, for the fourth quarter 2017.</w:t>
      </w:r>
    </w:p>
    <w:p>
      <w:pPr>
        <w:spacing w:after="0" w:line="122"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full year 2018, Federal Realty generated funds from operations available for common shareholders (FFO) of $461.8 million, or $6.23 per diluted share. This compares to FFO of $420.0 million, or $5.74 per diluted share, for the full year 2017. Excluding the $12.3 million early extinguishment of debt charge in the fourth quarter 2017, FFO per diluted share for the full year 2017 would have been $5.91. For the fourth quarter 2018, FFO was $117.2 million, or $1.57 per diluted share, compared to $95.5 million, or $1.30 per diluted share for the fourth quarter 2017 ($1.47 if the early extinguishment of debt charge was excluded).</w:t>
      </w:r>
    </w:p>
    <w:p>
      <w:pPr>
        <w:spacing w:after="0" w:line="123"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The overall portfolio was 94.6% leased as of December 31, 2018, and the comparable portfolio was 95.1% leased. Comparable property POI increased 3.1% for the year 2018 and 2.0% in the fourth quarter.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12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For the year 2018, Federal Realty signed 402 leases for 2.0 million square feet of retail space. On a comparable space basis (i.e., spaces for which there was a former tenant), Federal Realty leased 1.9 million square feet at an average rent of $34.11 per square foot compared to the average contractual rent of $30.37 per square foot for the last year of the prior leases, representing a cash basis rollover growth on those comparable spaces of 12%.</w:t>
      </w:r>
    </w:p>
    <w:p>
      <w:pPr>
        <w:spacing w:after="0" w:line="12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During fourth quarter 2018, Federal Realty signed 114 leases for 622,234 square feet of retail space. On a comparable space basis (i.e., spaces for which there was a former tenant), Federal Realty leased 573,923 square feet at an average rent of $32.16 per square foot compared to the average contractual rent of $27.96 per square foot for the last year of the prior leases, representing a cash basis rollover growth on those comparable spaces of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Realty's Board of Trustees declared a regular quarterly cash dividend of $1.02 per common share, resulting in an indicated annual rate of $4.08 per common share. The regular common dividend will be payable on April 15, 2019 to shareholders of record as of March 14, 2019.</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7" w:name="page8"/>
    <w:bookmarkEnd w:id="7"/>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15, 2019 to shareholders of record as of April 1, 2019.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February 7, 2019 - Federal Realty announced Wendy Seher and Jan Sweetnam have been promoted to executive vice president and will serve as members of the Trust’s Executive Committee, in addition to their roles as members of the Investment Committee. Wendy Seher was promoted to Executive Vice President - Eastern Region President. Jan Sweetnam was promoted to Executive Vice President - Western Region Chief Operating Officer.</w:t>
      </w:r>
    </w:p>
    <w:p>
      <w:pPr>
        <w:spacing w:after="0" w:line="12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January 18, 2019 - Federal Realty announced the launch of Phase 3 at Assembly Row which includes 277,000 square feet of office space - anchored by PUMA North America, 500 residential units and 56,000 square feet of ground floor retail. The estimated total investment in Phase 3 is expected to be approximately $475 million. Upon completion of Phase 3, total investment at Assembly Row will be approximately $1.2 billion.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introduced 2019 guidance for FFO per diluted share of $6.30 to $6.46 and 2019 earnings per diluted share guidance of $3.14 to $3.30, which reflects the impact of the newly implemented lease accounting standard ASC 842.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261" w:lineRule="exact"/>
        <w:rPr>
          <w:sz w:val="20"/>
          <w:szCs w:val="20"/>
          <w:color w:val="auto"/>
        </w:rPr>
      </w:pPr>
    </w:p>
    <w:p>
      <w:pPr>
        <w:ind w:right="120"/>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 end 2018 earnings conference call, which is scheduled for Thursday, February 14, 2019 at 10:00AM ET. To participate, please call 877.445.3230 five to ten minutes prior to the call start time and use the passcode 2162635 (required). A replay of the webcast will be available on Federal Realty’s website at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A telephonic replay of the conference call will also be available through February 21, 2019 by dialing 855.859.2056; Passcode: 2162635.</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261" w:lineRule="exact"/>
        <w:rPr>
          <w:sz w:val="20"/>
          <w:szCs w:val="20"/>
          <w:color w:val="auto"/>
        </w:rPr>
      </w:pPr>
    </w:p>
    <w:p>
      <w:pPr>
        <w:jc w:val="both"/>
        <w:ind w:right="40"/>
        <w:spacing w:after="0" w:line="360"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w:t>
      </w:r>
    </w:p>
    <w:p>
      <w:pPr>
        <w:ind w:right="420"/>
        <w:spacing w:after="0" w:line="371" w:lineRule="auto"/>
        <w:rPr>
          <w:sz w:val="20"/>
          <w:szCs w:val="20"/>
          <w:color w:val="auto"/>
        </w:rPr>
      </w:pPr>
      <w:r>
        <w:rPr>
          <w:rFonts w:ascii="Arial" w:cs="Arial" w:eastAsia="Arial" w:hAnsi="Arial"/>
          <w:sz w:val="18"/>
          <w:szCs w:val="18"/>
          <w:color w:val="auto"/>
        </w:rPr>
        <w:t>Its expertise includes creating urban, mixed-use neighborhoods like Santana Row in San Jose, California, Pike &amp; Rose in North Bethesda, Maryland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88900</wp:posOffset>
            </wp:positionV>
            <wp:extent cx="138938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ind w:right="100"/>
        <w:spacing w:after="0" w:line="365" w:lineRule="auto"/>
        <w:rPr>
          <w:sz w:val="20"/>
          <w:szCs w:val="20"/>
          <w:color w:val="auto"/>
        </w:rPr>
      </w:pPr>
      <w:r>
        <w:rPr>
          <w:rFonts w:ascii="Arial" w:cs="Arial" w:eastAsia="Arial" w:hAnsi="Arial"/>
          <w:sz w:val="18"/>
          <w:szCs w:val="18"/>
          <w:color w:val="auto"/>
        </w:rPr>
        <w:t>Assembly Row in Somerville, Massachusetts. These unique and vibrant environments that combine shopping, dining, living and working provide a destination experience valued by their respective communities. Federal Realty's 104 properties include approximately 3,000 tenants, in 24 million square feet, and over 2,600 residential units.</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51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2019.</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230,864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220,720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895,698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841,461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915,436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857,348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173,094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164,890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114,776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107,839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244,245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216,050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565,715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525,060</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83,338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349,721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332,288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(100,125)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237,111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219,948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sale of real estate,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77,922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297,870</w:t>
            </w:r>
          </w:p>
        </w:tc>
        <w:tc>
          <w:tcPr>
            <w:tcW w:w="0" w:type="dxa"/>
            <w:vAlign w:val="bottom"/>
          </w:tcPr>
          <w:p>
            <w:pPr>
              <w:spacing w:after="0"/>
              <w:rPr>
                <w:sz w:val="1"/>
                <w:szCs w:val="1"/>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241,907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289,914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52,496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48,645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233,865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287,456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73,790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72,515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73,274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72,117</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73,796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72,233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13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89"/>
              </w:rPr>
              <w:t>(in thousands, except share and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$1,701,804 and $1,639,486 of consolidated variable interest entities,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7,307,622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$51,313 and $43,393 of consolidated variable interest entities,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495,274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7,819,472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$292,374 and $247,410 of consolidated variable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(2,059,143)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5,760,329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265,703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6,289,644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3"/>
              </w:rPr>
              <w:t>Mortgages payable (including $444,388 and $460,372 of consolidated variable interest entities,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474,379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279,027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177,922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182,898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3,686,106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136,208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2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Common shares of beneficial interest, $.01 par, 100,000,000 shares authorized, 74,249,633 and 73,090,877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3,004,442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2,467,330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6,289,644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9"/>
        </w:trPr>
        <w:tc>
          <w:tcPr>
            <w:tcW w:w="62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56,382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52,785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249,026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297,870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(7,956)</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Gain on sale of real estate, net (2)</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(11,915)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(77,632)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213,098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188,719</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10,069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24,603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19,124</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467,693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420,125</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(1,917)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3,143</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(1,374)</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FFO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117,227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95,486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461,777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419,977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28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74,630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73,481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74,153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73,122</w:t>
            </w:r>
          </w:p>
        </w:tc>
      </w:tr>
      <w:tr>
        <w:trPr>
          <w:trHeight w:val="251"/>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FFO per diluted share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5.74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62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282,199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419,471</w:t>
            </w:r>
          </w:p>
        </w:tc>
      </w:tr>
      <w:tr>
        <w:trPr>
          <w:trHeight w:val="243"/>
        </w:trPr>
        <w:tc>
          <w:tcPr>
            <w:tcW w:w="40" w:type="dxa"/>
            <w:vAlign w:val="bottom"/>
          </w:tcPr>
          <w:p>
            <w:pPr>
              <w:spacing w:after="0"/>
              <w:rPr>
                <w:sz w:val="21"/>
                <w:szCs w:val="21"/>
                <w:color w:val="auto"/>
              </w:rPr>
            </w:pPr>
          </w:p>
        </w:tc>
        <w:tc>
          <w:tcPr>
            <w:tcW w:w="6240" w:type="dxa"/>
            <w:vAlign w:val="bottom"/>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45,863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44,632</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328,062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464,103</w:t>
            </w:r>
          </w:p>
        </w:tc>
      </w:tr>
      <w:tr>
        <w:trPr>
          <w:trHeight w:val="243"/>
        </w:trPr>
        <w:tc>
          <w:tcPr>
            <w:tcW w:w="40" w:type="dxa"/>
            <w:vAlign w:val="bottom"/>
          </w:tcPr>
          <w:p>
            <w:pPr>
              <w:spacing w:after="0"/>
              <w:rPr>
                <w:sz w:val="21"/>
                <w:szCs w:val="21"/>
                <w:color w:val="auto"/>
              </w:rPr>
            </w:pPr>
          </w:p>
        </w:tc>
        <w:tc>
          <w:tcPr>
            <w:tcW w:w="6240" w:type="dxa"/>
            <w:vAlign w:val="bottom"/>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8,670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14,776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19,421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32,695</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93,058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121,152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347,483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496,798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62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75,724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73,052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297,347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287,006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 (3)</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3"/>
        </w:trPr>
        <w:tc>
          <w:tcPr>
            <w:tcW w:w="62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Noncontrolling Interests Supplemental Information (4)</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Property operating income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13,046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13,265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(5,879)</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(2,573)</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4,813</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9" w:lineRule="exact"/>
        <w:rPr>
          <w:rFonts w:ascii="Arial" w:cs="Arial" w:eastAsia="Arial" w:hAnsi="Arial"/>
          <w:sz w:val="16"/>
          <w:szCs w:val="16"/>
          <w:color w:val="auto"/>
        </w:rPr>
      </w:pPr>
    </w:p>
    <w:p>
      <w:pPr>
        <w:ind w:left="260" w:right="260" w:hanging="252"/>
        <w:spacing w:after="0" w:line="253"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gain on sale of real estate for the year ended December 31, 2018 includes a $7.2 million net gain related to condominium units sold at Assembly Row and Pike &amp; Rose. For the three months and year ended December 31, 2017, the gain on sale of real estate includes $1.5 million and $5.4 million, respectively, of net gains related to Assembly Row condominium units under the percentage-of-completion method. Effective January 1, 2018, we adopted a new accounting standard related to revenue recognition, which results in a change in our revenue recognition policy for condominium sales. See Note 2 of our December 31, 2018 Form 10-K for additional information regarding the adoption.</w:t>
      </w:r>
    </w:p>
    <w:p>
      <w:pPr>
        <w:spacing w:after="0" w:line="29" w:lineRule="exact"/>
        <w:rPr>
          <w:rFonts w:ascii="Arial" w:cs="Arial" w:eastAsia="Arial" w:hAnsi="Arial"/>
          <w:sz w:val="16"/>
          <w:szCs w:val="16"/>
          <w:color w:val="auto"/>
        </w:rPr>
      </w:pPr>
    </w:p>
    <w:p>
      <w:pPr>
        <w:ind w:left="260" w:right="100" w:hanging="252"/>
        <w:spacing w:after="0" w:line="275"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$12.3 million early extinguishment of debt charge incurred in the fourth quarter of 2017 was excluded, our FFO, FFO per diluted share, and dividend payout ratio as a percentage of FFO would have been: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6"/>
                <w:szCs w:val="16"/>
                <w:color w:val="auto"/>
              </w:rPr>
            </w:pPr>
          </w:p>
        </w:tc>
        <w:tc>
          <w:tcPr>
            <w:tcW w:w="1640" w:type="dxa"/>
            <w:vAlign w:val="bottom"/>
          </w:tcPr>
          <w:p>
            <w:pPr>
              <w:jc w:val="right"/>
              <w:ind w:right="497"/>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7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8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107,719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432,210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FFO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9"/>
              <w:spacing w:after="0"/>
              <w:rPr>
                <w:sz w:val="20"/>
                <w:szCs w:val="20"/>
                <w:color w:val="auto"/>
              </w:rPr>
            </w:pPr>
            <w:r>
              <w:rPr>
                <w:rFonts w:ascii="Arial" w:cs="Arial" w:eastAsia="Arial" w:hAnsi="Arial"/>
                <w:sz w:val="18"/>
                <w:szCs w:val="18"/>
                <w:color w:val="auto"/>
              </w:rPr>
              <w:t>1.47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7"/>
              <w:spacing w:after="0"/>
              <w:rPr>
                <w:sz w:val="20"/>
                <w:szCs w:val="20"/>
                <w:color w:val="auto"/>
              </w:rPr>
            </w:pPr>
            <w:r>
              <w:rPr>
                <w:rFonts w:ascii="Arial" w:cs="Arial" w:eastAsia="Arial" w:hAnsi="Arial"/>
                <w:sz w:val="18"/>
                <w:szCs w:val="18"/>
                <w:color w:val="auto"/>
              </w:rPr>
              <w:t>5.91</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  Amounts reflect the components of "net income attributable to noncontrolling interests," but excludes "income attributable to operating partnership units."</w:t>
      </w:r>
    </w:p>
    <w:p>
      <w:pPr>
        <w:sectPr>
          <w:pgSz w:w="11900" w:h="16838" w:orient="portrait"/>
          <w:cols w:equalWidth="0" w:num="1">
            <w:col w:w="11420"/>
          </w:cols>
          <w:pgMar w:left="240" w:top="742" w:right="239" w:bottom="78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786"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74,988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73,879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118.04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132.81</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8,851,584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9,811,870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C preferred shares outstanding</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C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25,000.00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C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9,011,584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9,971,870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3,229,204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3,284,766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12,240,788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13,256,636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include 738,423 and 787,962 operating partnership units outstanding at December 31, 2018 and 2017,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52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premiums/discounts and debt issuance costs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156,641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150,788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616,137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585,178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46,554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46,531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178,333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171,528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5,166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18,986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18,191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230,864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220,720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895,698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841,461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6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$0.3 million and $1.6 million for the three months ended December 31, 2018 and 2017, respectively, and $5.0 million and $12.9 million for the years ended December 31, 2018 and 2017, respectively, to recognize minimum rents on a straight-line basis. In addition, minimum rents include $3.0 million and $1.4 million for the three months ended December 31, 2018 and 2017, respectively, and $6.8 million and $4.7 million for the years ended December 31, 2018 and 2017, respectively, to recognize income from the amortization of in-place leases.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2018</w:t>
      </w:r>
    </w:p>
    <w:p>
      <w:pPr>
        <w:spacing w:after="0" w:line="334" w:lineRule="exact"/>
        <w:rPr>
          <w:sz w:val="20"/>
          <w:szCs w:val="20"/>
          <w:color w:val="auto"/>
        </w:rPr>
      </w:pPr>
    </w:p>
    <w:p>
      <w:pPr>
        <w:ind w:left="20" w:right="160"/>
        <w:spacing w:after="0" w:line="294" w:lineRule="auto"/>
        <w:rPr>
          <w:sz w:val="20"/>
          <w:szCs w:val="20"/>
          <w:color w:val="auto"/>
        </w:rPr>
      </w:pPr>
      <w:r>
        <w:rPr>
          <w:rFonts w:ascii="Arial" w:cs="Arial" w:eastAsia="Arial" w:hAnsi="Arial"/>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Assembly Row - Phase 2, CocoWalk, Olivo at Mission Hills, Pike &amp; Rose, The Shops at Sunset Place, Towson Residential, 700 Santana Row, a portion of Graham Park Plaza, and all properties acquired or disposed of from Q4 2017 to Q4 2018. Comparable Property property operating income (“Comparable Property POI”) is a non-GAAP measure used by management in evaluating the operating performance of our properties period over period.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16"/>
                <w:szCs w:val="16"/>
                <w:color w:val="auto"/>
              </w:rPr>
            </w:pPr>
          </w:p>
        </w:tc>
      </w:tr>
      <w:tr>
        <w:trPr>
          <w:trHeight w:val="27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spacing w:after="0"/>
              <w:rPr>
                <w:sz w:val="22"/>
                <w:szCs w:val="22"/>
                <w:color w:val="auto"/>
              </w:rPr>
            </w:pP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83,338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83,157</w:t>
            </w:r>
          </w:p>
        </w:tc>
        <w:tc>
          <w:tcPr>
            <w:tcW w:w="1080" w:type="dxa"/>
            <w:vAlign w:val="bottom"/>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66,976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56,394</w:t>
            </w:r>
          </w:p>
        </w:tc>
        <w:tc>
          <w:tcPr>
            <w:tcW w:w="1080" w:type="dxa"/>
            <w:vAlign w:val="bottom"/>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9,620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10,268</w:t>
            </w:r>
          </w:p>
        </w:tc>
        <w:tc>
          <w:tcPr>
            <w:tcW w:w="108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159,934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149,819</w:t>
            </w:r>
          </w:p>
        </w:tc>
        <w:tc>
          <w:tcPr>
            <w:tcW w:w="1080" w:type="dxa"/>
            <w:vAlign w:val="bottom"/>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Non-comparable POI - acquisitions/dispositions</w:t>
            </w:r>
          </w:p>
        </w:tc>
        <w:tc>
          <w:tcPr>
            <w:tcW w:w="34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(605)</w:t>
            </w: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(14,995)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(7,317)</w:t>
            </w:r>
          </w:p>
        </w:tc>
        <w:tc>
          <w:tcPr>
            <w:tcW w:w="1080" w:type="dxa"/>
            <w:vAlign w:val="bottom"/>
          </w:tcPr>
          <w:p>
            <w:pPr>
              <w:spacing w:after="0"/>
              <w:rPr>
                <w:sz w:val="23"/>
                <w:szCs w:val="23"/>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Comparable Property POI</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144,783</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141,897</w:t>
            </w:r>
          </w:p>
        </w:tc>
        <w:tc>
          <w:tcPr>
            <w:tcW w:w="1080" w:type="dxa"/>
            <w:vAlign w:val="bottom"/>
          </w:tcPr>
          <w:p>
            <w:pPr>
              <w:spacing w:after="0"/>
              <w:rPr>
                <w:sz w:val="20"/>
                <w:szCs w:val="20"/>
                <w:color w:val="auto"/>
              </w:rPr>
            </w:pPr>
          </w:p>
        </w:tc>
      </w:tr>
      <w:tr>
        <w:trPr>
          <w:trHeight w:val="459"/>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24"/>
                <w:szCs w:val="24"/>
                <w:color w:val="auto"/>
              </w:rPr>
            </w:pPr>
          </w:p>
        </w:tc>
      </w:tr>
      <w:tr>
        <w:trPr>
          <w:trHeight w:val="27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6"/>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207,050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204,503</w:t>
            </w: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4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2,589</w:t>
            </w:r>
          </w:p>
        </w:tc>
        <w:tc>
          <w:tcPr>
            <w:tcW w:w="108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210,382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207,092</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(39,737)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(38,647)</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4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(25,862)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(26,548)</w:t>
            </w:r>
          </w:p>
        </w:tc>
        <w:tc>
          <w:tcPr>
            <w:tcW w:w="108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(65,599)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(65,195)</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144,783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141,897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80" w:type="dxa"/>
            <w:vAlign w:val="bottom"/>
            <w:tcBorders>
              <w:bottom w:val="single" w:sz="8" w:color="CCEEFF"/>
            </w:tcBorders>
            <w:shd w:val="clear" w:color="auto" w:fill="CCEEFF"/>
          </w:tcPr>
          <w:p>
            <w:pPr>
              <w:spacing w:after="0"/>
              <w:rPr>
                <w:sz w:val="21"/>
                <w:szCs w:val="21"/>
                <w:color w:val="auto"/>
              </w:rPr>
            </w:pPr>
          </w:p>
        </w:tc>
      </w:tr>
      <w:tr>
        <w:trPr>
          <w:trHeight w:val="432"/>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Comparable Property - Occupancy Statistics (1)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2"/>
              </w:rPr>
              <w:t>At 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spacing w:after="0"/>
              <w:rPr>
                <w:sz w:val="22"/>
                <w:szCs w:val="2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GLA - comparable commercial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22,690,000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0"/>
              </w:rPr>
              <w:t>22,677,000</w:t>
            </w:r>
          </w:p>
        </w:tc>
        <w:tc>
          <w:tcPr>
            <w:tcW w:w="1080" w:type="dxa"/>
            <w:vAlign w:val="bottom"/>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Leased % - comparable commercial properties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w:t>
            </w: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 % - comparable commercial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80" w:type="dxa"/>
            <w:vAlign w:val="bottom"/>
          </w:tcPr>
          <w:p>
            <w:pPr>
              <w:spacing w:after="0"/>
              <w:rPr>
                <w:sz w:val="21"/>
                <w:szCs w:val="21"/>
                <w:color w:val="auto"/>
              </w:rPr>
            </w:pPr>
          </w:p>
        </w:tc>
      </w:tr>
      <w:tr>
        <w:trPr>
          <w:trHeight w:val="432"/>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Comparable Property - Summary of Capital Expenditures (2)</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24"/>
                <w:szCs w:val="24"/>
                <w:color w:val="auto"/>
              </w:rPr>
            </w:pPr>
          </w:p>
        </w:tc>
      </w:tr>
      <w:tr>
        <w:trPr>
          <w:trHeight w:val="276"/>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spacing w:after="0"/>
              <w:rPr>
                <w:sz w:val="22"/>
                <w:szCs w:val="22"/>
                <w:color w:val="auto"/>
              </w:rPr>
            </w:pPr>
          </w:p>
        </w:tc>
      </w:tr>
      <w:tr>
        <w:trPr>
          <w:trHeight w:val="244"/>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7080" w:type="dxa"/>
            <w:vAlign w:val="bottom"/>
          </w:tcPr>
          <w:p>
            <w:pPr>
              <w:ind w:left="380"/>
              <w:spacing w:after="0"/>
              <w:rPr>
                <w:sz w:val="20"/>
                <w:szCs w:val="20"/>
                <w:color w:val="auto"/>
              </w:rPr>
            </w:pPr>
            <w:r>
              <w:rPr>
                <w:rFonts w:ascii="Arial" w:cs="Arial" w:eastAsia="Arial" w:hAnsi="Arial"/>
                <w:sz w:val="18"/>
                <w:szCs w:val="18"/>
                <w:color w:val="auto"/>
              </w:rPr>
              <w:t>Redevelopment and tenant improvements and incentives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28,579</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31,037</w:t>
            </w:r>
          </w:p>
        </w:tc>
        <w:tc>
          <w:tcPr>
            <w:tcW w:w="108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8,143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14,166</w:t>
            </w:r>
          </w:p>
        </w:tc>
        <w:tc>
          <w:tcPr>
            <w:tcW w:w="1080" w:type="dxa"/>
            <w:vAlign w:val="bottom"/>
          </w:tcPr>
          <w:p>
            <w:pPr>
              <w:spacing w:after="0"/>
              <w:rPr>
                <w:sz w:val="23"/>
                <w:szCs w:val="23"/>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36,722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45,203</w:t>
            </w:r>
          </w:p>
        </w:tc>
        <w:tc>
          <w:tcPr>
            <w:tcW w:w="1080" w:type="dxa"/>
            <w:vAlign w:val="bottom"/>
          </w:tcPr>
          <w:p>
            <w:pPr>
              <w:spacing w:after="0"/>
              <w:rPr>
                <w:sz w:val="20"/>
                <w:szCs w:val="20"/>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7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page 26 for entire portfolio occupancy statistics.</w:t>
      </w:r>
    </w:p>
    <w:p>
      <w:pPr>
        <w:spacing w:after="0" w:line="72" w:lineRule="exact"/>
        <w:rPr>
          <w:rFonts w:ascii="Arial" w:cs="Arial" w:eastAsia="Arial" w:hAnsi="Arial"/>
          <w:sz w:val="16"/>
          <w:szCs w:val="16"/>
          <w:color w:val="auto"/>
        </w:rPr>
      </w:pPr>
    </w:p>
    <w:p>
      <w:pPr>
        <w:ind w:left="600" w:hanging="57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ectPr>
          <w:pgSz w:w="11900" w:h="16838" w:orient="portrait"/>
          <w:cols w:equalWidth="0" w:num="1">
            <w:col w:w="11360"/>
          </w:cols>
          <w:pgMar w:left="280" w:top="742" w:right="25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Mortgages payable (1)</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Rollingwood Apartments (2)</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The Shops at Sunset Place</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9/1/2020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64,453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29th Place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Sylmar Towne Center</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6/6/2021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17,006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Plaza Del Sol</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THE AVENUE at White Marsh</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Montrose Crossing</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Azalea</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11/1/2025</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Bell Gardens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Plaza El Segundo</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6/5/2027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Grove at Shrewsbury (East)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Brook 35</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Chelsea</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475,308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7"/>
            <w:shd w:val="clear" w:color="auto" w:fill="CCEEFF"/>
          </w:tcPr>
          <w:p>
            <w:pPr>
              <w:ind w:left="900"/>
              <w:spacing w:after="0"/>
              <w:rPr>
                <w:sz w:val="20"/>
                <w:szCs w:val="20"/>
                <w:color w:val="auto"/>
              </w:rPr>
            </w:pPr>
            <w:r>
              <w:rPr>
                <w:rFonts w:ascii="Arial" w:cs="Arial" w:eastAsia="Arial" w:hAnsi="Arial"/>
                <w:sz w:val="16"/>
                <w:szCs w:val="16"/>
                <w:color w:val="auto"/>
              </w:rPr>
              <w:t>Net unamortized premium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Total mortgages payable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474,379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Notes payable</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Revolving credit facility (3)</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4/20/2020</w:t>
            </w:r>
          </w:p>
        </w:tc>
        <w:tc>
          <w:tcPr>
            <w:tcW w:w="1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LIBOR + 0.825%</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Various through 2028</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279,392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Total notes payable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279,027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w:t>
            </w: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Senior notes and debentures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2.55%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3.00%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2.75%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3.95%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3.25%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6.82% medium term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4.50%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3.625%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2,419,200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gridSpan w:val="7"/>
          </w:tcPr>
          <w:p>
            <w:pPr>
              <w:ind w:left="900"/>
              <w:spacing w:after="0"/>
              <w:rPr>
                <w:sz w:val="20"/>
                <w:szCs w:val="20"/>
                <w:color w:val="auto"/>
              </w:rPr>
            </w:pPr>
            <w:r>
              <w:rPr>
                <w:rFonts w:ascii="Arial" w:cs="Arial" w:eastAsia="Arial" w:hAnsi="Arial"/>
                <w:sz w:val="16"/>
                <w:szCs w:val="16"/>
                <w:color w:val="auto"/>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(14,921)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2,404,279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7"/>
            <w:shd w:val="clear" w:color="auto" w:fill="CCEEFF"/>
          </w:tcPr>
          <w:p>
            <w:pPr>
              <w:ind w:left="320"/>
              <w:spacing w:after="0"/>
              <w:rPr>
                <w:sz w:val="20"/>
                <w:szCs w:val="20"/>
                <w:color w:val="auto"/>
              </w:rPr>
            </w:pPr>
            <w:r>
              <w:rPr>
                <w:rFonts w:ascii="Arial" w:cs="Arial" w:eastAsia="Arial" w:hAnsi="Arial"/>
                <w:sz w:val="16"/>
                <w:szCs w:val="16"/>
                <w:color w:val="auto"/>
                <w:w w:val="93"/>
              </w:rPr>
              <w:t>Total mortgages payable, notes payable, and senior notes and debentures,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3,157,685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1960" w:type="dxa"/>
            <w:vAlign w:val="bottom"/>
            <w:tcBorders>
              <w:bottom w:val="single" w:sz="8" w:color="CCEEFF"/>
            </w:tcBorders>
            <w:gridSpan w:val="2"/>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Various</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71,519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debt and capital lease obligations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3,229,204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Total fixed rate debt and capital lease obligations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2,954,499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variable rate debt</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274,705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Total debt and capital lease obligations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3,229,204</w:t>
            </w:r>
          </w:p>
        </w:tc>
        <w:tc>
          <w:tcPr>
            <w:tcW w:w="12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20" w:top="747" w:right="299" w:bottom="9"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12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40" w:type="dxa"/>
            <w:vAlign w:val="bottom"/>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2017</w:t>
            </w:r>
          </w:p>
        </w:tc>
      </w:tr>
      <w:tr>
        <w:trPr>
          <w:trHeight w:val="66"/>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6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69"/>
        </w:trPr>
        <w:tc>
          <w:tcPr>
            <w:tcW w:w="7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r>
      <w:tr>
        <w:trPr>
          <w:trHeight w:val="224"/>
        </w:trPr>
        <w:tc>
          <w:tcPr>
            <w:tcW w:w="40" w:type="dxa"/>
            <w:vAlign w:val="bottom"/>
          </w:tcPr>
          <w:p>
            <w:pPr>
              <w:spacing w:after="0"/>
              <w:rPr>
                <w:sz w:val="19"/>
                <w:szCs w:val="19"/>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debt:</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EBITDAre to combined fixed charges and preferred share dividends (7)(8)</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4.28x</w:t>
            </w:r>
          </w:p>
        </w:tc>
        <w:tc>
          <w:tcPr>
            <w:tcW w:w="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3.92x</w:t>
            </w:r>
          </w:p>
        </w:tc>
        <w:tc>
          <w:tcPr>
            <w:tcW w:w="1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4.22x</w:t>
            </w: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6"/>
              </w:rPr>
              <w:t>4.23x</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Including early extinguishment of debt:</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EBITDAre to combined fixed charges and preferred share dividends (7)</w:t>
            </w:r>
          </w:p>
        </w:tc>
        <w:tc>
          <w:tcPr>
            <w:tcW w:w="1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4.28x</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2.92x</w:t>
            </w:r>
          </w:p>
        </w:tc>
        <w:tc>
          <w:tcPr>
            <w:tcW w:w="1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4.22x</w:t>
            </w: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3.86x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8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Mortgage payable does not include our share of debt on our unconsolidated real estate partnerships. At December 31, 2018, our share was approximately $54.1 million. At December 31, 2018, our noncontrolling interests' share of mortgages payable was $58.7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January 31, 2019, we repaid this mortgage loan at par.</w:t>
      </w:r>
    </w:p>
    <w:p>
      <w:pPr>
        <w:spacing w:after="0" w:line="55" w:lineRule="exact"/>
        <w:rPr>
          <w:rFonts w:ascii="Arial" w:cs="Arial" w:eastAsia="Arial" w:hAnsi="Arial"/>
          <w:sz w:val="14"/>
          <w:szCs w:val="14"/>
          <w:color w:val="auto"/>
        </w:rPr>
      </w:pPr>
    </w:p>
    <w:p>
      <w:pPr>
        <w:ind w:left="660" w:right="1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and year ended December 31, 2018 was $81.0 million and $177.0 million, respectively. The weighted average effective interest rate on borrowings under our revolving credit facility, before amortization of debt fees, for the three months and year ended December 31, 2018 was 3.1% and 2.7%, respectively.</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 payable, notes payable, and senior notes and debentures, is 10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6.</w:t>
      </w:r>
    </w:p>
    <w:p>
      <w:pPr>
        <w:spacing w:after="0" w:line="55"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debt fee amortization on our revolving credit facility which had no outstanding balance on December 31, 2018. Due to the expiration of our two interest rate swap agreements on November 1, 2018, our $275.0 million term loan is no longer fixed at 2.62%, and is included as variable rate debt at December 31, 2018.</w:t>
      </w:r>
    </w:p>
    <w:p>
      <w:pPr>
        <w:spacing w:after="0" w:line="23"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EBITDAre is reconciled to net income in the Glossary of Terms.</w:t>
      </w:r>
    </w:p>
    <w:p>
      <w:pPr>
        <w:spacing w:after="0" w:line="11" w:lineRule="exact"/>
        <w:rPr>
          <w:rFonts w:ascii="Arial" w:cs="Arial" w:eastAsia="Arial" w:hAnsi="Arial"/>
          <w:sz w:val="14"/>
          <w:szCs w:val="14"/>
          <w:color w:val="auto"/>
        </w:rPr>
      </w:pPr>
    </w:p>
    <w:p>
      <w:pPr>
        <w:ind w:left="660" w:right="1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for the three months and year ended December 31, 2017 exclude the $12.3 million early extinguishment of debt charge related to the make-whole premium paid as part of the early redemption of the 5.90% senior notes in the fourth quarter of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340" w:type="dxa"/>
            <w:vAlign w:val="bottom"/>
          </w:tcPr>
          <w:p>
            <w:pPr>
              <w:spacing w:after="0"/>
              <w:rPr>
                <w:sz w:val="17"/>
                <w:szCs w:val="17"/>
                <w:color w:val="auto"/>
              </w:rPr>
            </w:pPr>
          </w:p>
        </w:tc>
      </w:tr>
      <w:tr>
        <w:trPr>
          <w:trHeight w:val="210"/>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(4)</w:t>
            </w:r>
          </w:p>
        </w:tc>
        <w:tc>
          <w:tcPr>
            <w:tcW w:w="340" w:type="dxa"/>
            <w:vAlign w:val="bottom"/>
          </w:tcPr>
          <w:p>
            <w:pPr>
              <w:spacing w:after="0"/>
              <w:rPr>
                <w:sz w:val="18"/>
                <w:szCs w:val="18"/>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8"/>
        </w:trPr>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6,232</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295,160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301,392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5,605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60,593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66,198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3,728</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277,546</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281,274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1,509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367,832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31.3%</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330,010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331,560</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1,399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301,399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50.8%</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40,965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39,886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40,574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53.3%</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683,600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684,173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74.4%</w:t>
            </w: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17,936</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811,500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829,436</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50"/>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40,801</w:t>
            </w:r>
          </w:p>
        </w:tc>
        <w:tc>
          <w:tcPr>
            <w:tcW w:w="3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3,204,618</w:t>
            </w:r>
          </w:p>
        </w:tc>
        <w:tc>
          <w:tcPr>
            <w:tcW w:w="34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3,245,419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wp:posOffset>
            </wp:positionV>
            <wp:extent cx="404749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 $20.3 million mortgage loan, which was paid off at par on January 31, 2019, prior to its original maturity date.</w:t>
      </w:r>
    </w:p>
    <w:p>
      <w:pPr>
        <w:spacing w:after="0" w:line="59" w:lineRule="exact"/>
        <w:rPr>
          <w:rFonts w:ascii="Arial" w:cs="Arial" w:eastAsia="Arial" w:hAnsi="Arial"/>
          <w:sz w:val="16"/>
          <w:szCs w:val="16"/>
          <w:color w:val="auto"/>
        </w:rPr>
      </w:pPr>
    </w:p>
    <w:p>
      <w:pPr>
        <w:ind w:left="660" w:right="2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December 31, 2018, there was no outstanding balance under this credit facility.</w:t>
      </w:r>
    </w:p>
    <w:p>
      <w:pPr>
        <w:spacing w:after="0" w:line="10" w:lineRule="exact"/>
        <w:rPr>
          <w:rFonts w:ascii="Arial" w:cs="Arial" w:eastAsia="Arial" w:hAnsi="Arial"/>
          <w:sz w:val="16"/>
          <w:szCs w:val="16"/>
          <w:color w:val="auto"/>
        </w:rPr>
      </w:pPr>
    </w:p>
    <w:p>
      <w:pPr>
        <w:ind w:left="660" w:right="2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 payable, and senior notes as of December 31, 2018.</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weighted average rate excludes </w:t>
      </w:r>
      <w:r>
        <w:rPr>
          <w:rFonts w:ascii="Arial" w:cs="Arial" w:eastAsia="Arial" w:hAnsi="Arial"/>
          <w:sz w:val="14"/>
          <w:szCs w:val="14"/>
          <w:color w:val="auto"/>
        </w:rPr>
        <w:t>$0.5 million</w:t>
      </w:r>
      <w:r>
        <w:rPr>
          <w:rFonts w:ascii="Arial" w:cs="Arial" w:eastAsia="Arial" w:hAnsi="Arial"/>
          <w:sz w:val="16"/>
          <w:szCs w:val="16"/>
          <w:color w:val="auto"/>
        </w:rPr>
        <w:t xml:space="preserve"> in quarterly financing fees and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6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60" w:type="dxa"/>
            <w:vAlign w:val="bottom"/>
          </w:tcPr>
          <w:p>
            <w:pPr>
              <w:spacing w:after="0"/>
              <w:rPr>
                <w:sz w:val="14"/>
                <w:szCs w:val="14"/>
                <w:color w:val="auto"/>
              </w:rPr>
            </w:pPr>
          </w:p>
        </w:tc>
        <w:tc>
          <w:tcPr>
            <w:tcW w:w="3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Projects Stabilized in 2018</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Towson Residential</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Towson, MD</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New 105 unit 5-story apartment building with above grade parking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Richmond, VA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5"/>
              </w:rPr>
              <w:t>Demolition of small shop and mini anchor spaces to construct new 49,000 square foot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w w:val="93"/>
              </w:rPr>
              <w:t>anchor space to accommodate new sporting goods retailer and new 17,000 square foot</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building for relocation of existing tenant</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Del Mar Village</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Boca Raton, FL</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Demolition of small shop spaces and relocation of tenants to accommodate new 37,000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square foot fitness center tenant</w:t>
            </w:r>
          </w:p>
        </w:tc>
        <w:tc>
          <w:tcPr>
            <w:tcW w:w="30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gridSpan w:val="2"/>
          </w:tcPr>
          <w:p>
            <w:pPr>
              <w:ind w:left="40"/>
              <w:spacing w:after="0"/>
              <w:rPr>
                <w:sz w:val="20"/>
                <w:szCs w:val="20"/>
                <w:color w:val="auto"/>
              </w:rPr>
            </w:pPr>
            <w:r>
              <w:rPr>
                <w:rFonts w:ascii="Arial" w:cs="Arial" w:eastAsia="Arial" w:hAnsi="Arial"/>
                <w:sz w:val="14"/>
                <w:szCs w:val="14"/>
                <w:color w:val="auto"/>
              </w:rPr>
              <w:t>Mercer Mall</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Lawrenceville, NJ</w:t>
            </w:r>
          </w:p>
        </w:tc>
        <w:tc>
          <w:tcPr>
            <w:tcW w:w="5080" w:type="dxa"/>
            <w:vAlign w:val="bottom"/>
            <w:gridSpan w:val="2"/>
          </w:tcPr>
          <w:p>
            <w:pPr>
              <w:spacing w:after="0"/>
              <w:rPr>
                <w:sz w:val="20"/>
                <w:szCs w:val="20"/>
                <w:color w:val="auto"/>
              </w:rPr>
            </w:pPr>
            <w:r>
              <w:rPr>
                <w:rFonts w:ascii="Arial" w:cs="Arial" w:eastAsia="Arial" w:hAnsi="Arial"/>
                <w:sz w:val="14"/>
                <w:szCs w:val="14"/>
                <w:color w:val="auto"/>
                <w:w w:val="96"/>
              </w:rPr>
              <w:t>Redevelopment of recently acquired office building pre-leased to a single tenant user</w:t>
            </w: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Dedham Plaza</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Dedham, MA</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New 4,000 square foot pad site for restaurant tenant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82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Total Projects Stabilized in 2018 (3) (4)</w:t>
            </w:r>
          </w:p>
        </w:tc>
        <w:tc>
          <w:tcPr>
            <w:tcW w:w="20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0"/>
                <w:shd w:val="clear" w:color="auto" w:fill="CCEEFF"/>
              </w:rPr>
              <w:t>Active Redevelopment Projects</w:t>
            </w:r>
          </w:p>
        </w:tc>
        <w:tc>
          <w:tcPr>
            <w:tcW w:w="9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CocoWalk</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Coconut Grove,</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7"/>
              </w:rPr>
              <w:t>Shopping center redevelopment to include demolition of three story east wing of the</w:t>
            </w:r>
          </w:p>
        </w:tc>
        <w:tc>
          <w:tcPr>
            <w:tcW w:w="8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$75 - $80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FL</w:t>
            </w: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construction of a 106,000 square foot 5-story office/retail building</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including 24,000 square feet of retail</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Jordan Downs Plaza (5)</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Los Angeles, CA</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Development of a new 113,000 square foot single-story grocery anchored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 $42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2020</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neighborhood shopping center</w:t>
            </w:r>
          </w:p>
        </w:tc>
        <w:tc>
          <w:tcPr>
            <w:tcW w:w="30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Brick Plaza</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Brick, NJ</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3"/>
              </w:rPr>
              <w:t>Redevelopment and repositioning of anchor tenant and small shop spaces to transform</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property into a market dominant center</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Bala Cynwyd</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Bala Cynwyd, PA</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New 87 unit residential apartment building to be constructed on underutilized land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2021</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behind our existing shopping center</w:t>
            </w:r>
          </w:p>
        </w:tc>
        <w:tc>
          <w:tcPr>
            <w:tcW w:w="30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Melville Mall</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Huntington, NY</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5"/>
              </w:rPr>
              <w:t>Development of a new 15,000 square foot pad site consisting of two multi-tenant retail</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buildings</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Montrose Crossing</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Rockville, MD</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Demolition of 10,000 square foot restaurant building to construct an 18,000 square foot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2019</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multi-tenant pad building</w:t>
            </w:r>
          </w:p>
        </w:tc>
        <w:tc>
          <w:tcPr>
            <w:tcW w:w="30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gridSpan w:val="2"/>
          </w:tcPr>
          <w:p>
            <w:pPr>
              <w:ind w:left="40"/>
              <w:spacing w:after="0"/>
              <w:rPr>
                <w:sz w:val="20"/>
                <w:szCs w:val="20"/>
                <w:color w:val="auto"/>
              </w:rPr>
            </w:pPr>
            <w:r>
              <w:rPr>
                <w:rFonts w:ascii="Arial" w:cs="Arial" w:eastAsia="Arial" w:hAnsi="Arial"/>
                <w:sz w:val="14"/>
                <w:szCs w:val="14"/>
                <w:color w:val="auto"/>
              </w:rPr>
              <w:t>Pike 7 Plaza</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Vienna, VA</w:t>
            </w:r>
          </w:p>
        </w:tc>
        <w:tc>
          <w:tcPr>
            <w:tcW w:w="5080" w:type="dxa"/>
            <w:vAlign w:val="bottom"/>
            <w:gridSpan w:val="2"/>
          </w:tcPr>
          <w:p>
            <w:pPr>
              <w:spacing w:after="0"/>
              <w:rPr>
                <w:sz w:val="20"/>
                <w:szCs w:val="20"/>
                <w:color w:val="auto"/>
              </w:rPr>
            </w:pPr>
            <w:r>
              <w:rPr>
                <w:rFonts w:ascii="Arial" w:cs="Arial" w:eastAsia="Arial" w:hAnsi="Arial"/>
                <w:sz w:val="14"/>
                <w:szCs w:val="14"/>
                <w:color w:val="auto"/>
              </w:rPr>
              <w:t>Addition of 8,300 square foot multi-tenant retail pad building</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Wildwood</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Bethesda, MD</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4,900 square foot south end building expansion and site improvements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2019</w:t>
            </w: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Richmond, VA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4"/>
              </w:rPr>
              <w:t>Conversion of vacant 5,000 square foot pad building to retail use to accommodate new</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3,500 square foot fast casual restaurant tenant. Remainder of pad building to be</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demolished to construct new 2,200 square foot Starbucks pad site</w:t>
            </w:r>
          </w:p>
        </w:tc>
        <w:tc>
          <w:tcPr>
            <w:tcW w:w="8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82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Total Active Redevelopment projects (4)</w:t>
            </w:r>
          </w:p>
        </w:tc>
        <w:tc>
          <w:tcPr>
            <w:tcW w:w="20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8"/>
              </w:rPr>
              <w:t>$205 - $214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33655</wp:posOffset>
            </wp:positionV>
            <wp:extent cx="1551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50800</wp:posOffset>
            </wp:positionV>
            <wp:extent cx="1551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 is net of the proceeds from our New Market Tax Credit structure. See Note 3 of our December 31, 2018 Form 10-K for additional information.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9"/>
              </w:rPr>
              <w:t>Projected POI Delivered</w:t>
            </w: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(as a % of Total)</w:t>
            </w:r>
          </w:p>
        </w:tc>
        <w:tc>
          <w:tcPr>
            <w:tcW w:w="2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For Year Ended December 31,</w:t>
            </w: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20" w:type="dxa"/>
            <w:vAlign w:val="bottom"/>
          </w:tcPr>
          <w:p>
            <w:pPr>
              <w:jc w:val="center"/>
              <w:ind w:left="93"/>
              <w:spacing w:after="0"/>
              <w:rPr>
                <w:sz w:val="20"/>
                <w:szCs w:val="20"/>
                <w:color w:val="auto"/>
              </w:rPr>
            </w:pPr>
            <w:r>
              <w:rPr>
                <w:rFonts w:ascii="Arial" w:cs="Arial" w:eastAsia="Arial" w:hAnsi="Arial"/>
                <w:sz w:val="13"/>
                <w:szCs w:val="13"/>
                <w:b w:val="1"/>
                <w:bCs w:val="1"/>
                <w:color w:val="auto"/>
                <w:w w:val="87"/>
              </w:rPr>
              <w:t>Projected</w:t>
            </w:r>
          </w:p>
        </w:tc>
        <w:tc>
          <w:tcPr>
            <w:tcW w:w="3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Costs to</w:t>
            </w: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660" w:type="dxa"/>
            <w:vAlign w:val="bottom"/>
            <w:gridSpan w:val="7"/>
          </w:tcPr>
          <w:p>
            <w:pPr>
              <w:spacing w:after="0" w:line="131" w:lineRule="exact"/>
              <w:rPr>
                <w:sz w:val="20"/>
                <w:szCs w:val="20"/>
                <w:color w:val="auto"/>
              </w:rPr>
            </w:pPr>
            <w:r>
              <w:rPr>
                <w:rFonts w:ascii="Arial" w:cs="Arial" w:eastAsia="Arial" w:hAnsi="Arial"/>
                <w:sz w:val="13"/>
                <w:szCs w:val="13"/>
                <w:b w:val="1"/>
                <w:bCs w:val="1"/>
                <w:color w:val="auto"/>
              </w:rPr>
              <w:t>Property</w:t>
            </w:r>
          </w:p>
        </w:tc>
        <w:tc>
          <w:tcPr>
            <w:tcW w:w="1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Opportunity</w:t>
            </w: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8"/>
              </w:rPr>
              <w:t>ROI (3)</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(4)</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ind w:left="134"/>
              <w:spacing w:after="0"/>
              <w:rPr>
                <w:sz w:val="20"/>
                <w:szCs w:val="20"/>
                <w:color w:val="auto"/>
              </w:rPr>
            </w:pPr>
            <w:r>
              <w:rPr>
                <w:rFonts w:ascii="Arial" w:cs="Arial" w:eastAsia="Arial" w:hAnsi="Arial"/>
                <w:sz w:val="13"/>
                <w:szCs w:val="13"/>
                <w:b w:val="1"/>
                <w:bCs w:val="1"/>
                <w:color w:val="auto"/>
                <w:w w:val="89"/>
              </w:rPr>
              <w:t>2019</w:t>
            </w:r>
          </w:p>
        </w:tc>
        <w:tc>
          <w:tcPr>
            <w:tcW w:w="110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Expected Opening Timeframe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auto"/>
              </w:rPr>
              <w:t>(in</w:t>
            </w:r>
          </w:p>
        </w:tc>
        <w:tc>
          <w:tcPr>
            <w:tcW w:w="82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(in</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millions)</w:t>
            </w: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millions)</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660" w:type="dxa"/>
            <w:vAlign w:val="bottom"/>
            <w:gridSpan w:val="7"/>
          </w:tcPr>
          <w:p>
            <w:pPr>
              <w:spacing w:after="0"/>
              <w:rPr>
                <w:sz w:val="20"/>
                <w:szCs w:val="20"/>
                <w:color w:val="auto"/>
              </w:rPr>
            </w:pPr>
            <w:r>
              <w:rPr>
                <w:rFonts w:ascii="Arial" w:cs="Arial" w:eastAsia="Arial" w:hAnsi="Arial"/>
                <w:sz w:val="14"/>
                <w:szCs w:val="14"/>
                <w:b w:val="1"/>
                <w:bCs w:val="1"/>
                <w:color w:val="auto"/>
                <w:w w:val="96"/>
              </w:rPr>
              <w:t>Assembly</w:t>
            </w: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Somerville, MA</w:t>
            </w:r>
          </w:p>
        </w:tc>
        <w:tc>
          <w:tcPr>
            <w:tcW w:w="2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60" w:type="dxa"/>
            <w:vAlign w:val="bottom"/>
            <w:tcBorders>
              <w:top w:val="single" w:sz="8" w:color="auto"/>
            </w:tcBorders>
            <w:gridSpan w:val="6"/>
          </w:tcPr>
          <w:p>
            <w:pPr>
              <w:spacing w:after="0" w:line="129" w:lineRule="exact"/>
              <w:rPr>
                <w:sz w:val="20"/>
                <w:szCs w:val="20"/>
                <w:color w:val="auto"/>
              </w:rPr>
            </w:pPr>
            <w:r>
              <w:rPr>
                <w:rFonts w:ascii="Arial" w:cs="Arial" w:eastAsia="Arial" w:hAnsi="Arial"/>
                <w:sz w:val="14"/>
                <w:szCs w:val="14"/>
                <w:b w:val="1"/>
                <w:bCs w:val="1"/>
                <w:color w:val="auto"/>
              </w:rPr>
              <w:t>Row</w:t>
            </w: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81"/>
                <w:shd w:val="clear" w:color="auto" w:fill="CCEEFF"/>
              </w:rPr>
              <w:t>Phase II</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- 161,000 SF of retail</w:t>
            </w:r>
          </w:p>
        </w:tc>
        <w:tc>
          <w:tcPr>
            <w:tcW w:w="720" w:type="dxa"/>
            <w:vAlign w:val="bottom"/>
            <w:shd w:val="clear" w:color="auto" w:fill="CCEEFF"/>
          </w:tcPr>
          <w:p>
            <w:pPr>
              <w:jc w:val="center"/>
              <w:ind w:left="73"/>
              <w:spacing w:after="0"/>
              <w:rPr>
                <w:sz w:val="20"/>
                <w:szCs w:val="20"/>
                <w:color w:val="auto"/>
              </w:rPr>
            </w:pPr>
            <w:r>
              <w:rPr>
                <w:rFonts w:ascii="Arial" w:cs="Arial" w:eastAsia="Arial" w:hAnsi="Arial"/>
                <w:sz w:val="14"/>
                <w:szCs w:val="14"/>
                <w:color w:val="auto"/>
                <w:w w:val="88"/>
              </w:rPr>
              <w:t>7%</w:t>
            </w: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$290 - 305</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$290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134"/>
              <w:spacing w:after="0"/>
              <w:rPr>
                <w:sz w:val="20"/>
                <w:szCs w:val="20"/>
                <w:color w:val="auto"/>
              </w:rPr>
            </w:pPr>
            <w:r>
              <w:rPr>
                <w:rFonts w:ascii="Arial" w:cs="Arial" w:eastAsia="Arial" w:hAnsi="Arial"/>
                <w:sz w:val="14"/>
                <w:szCs w:val="14"/>
                <w:color w:val="auto"/>
                <w:w w:val="92"/>
              </w:rPr>
              <w:t>90%</w:t>
            </w:r>
          </w:p>
        </w:tc>
        <w:tc>
          <w:tcPr>
            <w:tcW w:w="12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Stabilized</w:t>
            </w:r>
          </w:p>
        </w:tc>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shd w:val="clear" w:color="auto" w:fill="CCEEFF"/>
              </w:rPr>
              <w:t>120,000 square feet of retail has opened,</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- 447 residential units</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remaining tenants projected to open in 2019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- 158 boutique hotel rooms</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6"/>
                <w:shd w:val="clear" w:color="auto" w:fill="CCEEFF"/>
              </w:rPr>
              <w:t>Residential building opened in September 2017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80" w:type="dxa"/>
            <w:vAlign w:val="bottom"/>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with deliveries through 3Q 2018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741,500 SF Partners Healthcare office space</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(built by Partners) opened in 2016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Hotel opened in 3Q 2018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- 122 for-sale condominium units</w:t>
            </w:r>
          </w:p>
        </w:tc>
        <w:tc>
          <w:tcPr>
            <w:tcW w:w="720" w:type="dxa"/>
            <w:vAlign w:val="bottom"/>
          </w:tcPr>
          <w:p>
            <w:pPr>
              <w:jc w:val="center"/>
              <w:ind w:left="73"/>
              <w:spacing w:after="0"/>
              <w:rPr>
                <w:sz w:val="20"/>
                <w:szCs w:val="20"/>
                <w:color w:val="auto"/>
              </w:rPr>
            </w:pPr>
            <w:r>
              <w:rPr>
                <w:rFonts w:ascii="Arial" w:cs="Arial" w:eastAsia="Arial" w:hAnsi="Arial"/>
                <w:sz w:val="14"/>
                <w:szCs w:val="14"/>
                <w:color w:val="auto"/>
                <w:w w:val="99"/>
              </w:rPr>
              <w:t>—</w:t>
            </w:r>
          </w:p>
        </w:tc>
        <w:tc>
          <w:tcPr>
            <w:tcW w:w="360" w:type="dxa"/>
            <w:vAlign w:val="bottom"/>
          </w:tcPr>
          <w:p>
            <w:pPr>
              <w:ind w:left="180"/>
              <w:spacing w:after="0"/>
              <w:rPr>
                <w:sz w:val="20"/>
                <w:szCs w:val="20"/>
                <w:color w:val="auto"/>
              </w:rPr>
            </w:pPr>
            <w:r>
              <w:rPr>
                <w:rFonts w:ascii="Arial" w:cs="Arial" w:eastAsia="Arial" w:hAnsi="Arial"/>
                <w:sz w:val="13"/>
                <w:szCs w:val="13"/>
                <w:color w:val="auto"/>
              </w:rPr>
              <w:t>(6)</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Closings commenced 1Q 2018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Phase III</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- 277,000 SF of office</w:t>
            </w:r>
          </w:p>
        </w:tc>
        <w:tc>
          <w:tcPr>
            <w:tcW w:w="720" w:type="dxa"/>
            <w:vAlign w:val="bottom"/>
            <w:shd w:val="clear" w:color="auto" w:fill="CCEEFF"/>
          </w:tcPr>
          <w:p>
            <w:pPr>
              <w:jc w:val="center"/>
              <w:ind w:left="73"/>
              <w:spacing w:after="0"/>
              <w:rPr>
                <w:sz w:val="20"/>
                <w:szCs w:val="20"/>
                <w:color w:val="auto"/>
              </w:rPr>
            </w:pPr>
            <w:r>
              <w:rPr>
                <w:rFonts w:ascii="Arial" w:cs="Arial" w:eastAsia="Arial" w:hAnsi="Arial"/>
                <w:sz w:val="14"/>
                <w:szCs w:val="14"/>
                <w:color w:val="auto"/>
                <w:w w:val="88"/>
              </w:rPr>
              <w:t>6%</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$465 - 485</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$67</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4"/>
              <w:spacing w:after="0"/>
              <w:rPr>
                <w:sz w:val="20"/>
                <w:szCs w:val="20"/>
                <w:color w:val="auto"/>
              </w:rPr>
            </w:pPr>
            <w:r>
              <w:rPr>
                <w:rFonts w:ascii="Arial" w:cs="Arial" w:eastAsia="Arial" w:hAnsi="Arial"/>
                <w:sz w:val="14"/>
                <w:szCs w:val="14"/>
                <w:color w:val="auto"/>
                <w:w w:val="99"/>
              </w:rPr>
              <w:t>—</w:t>
            </w:r>
          </w:p>
        </w:tc>
        <w:tc>
          <w:tcPr>
            <w:tcW w:w="3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9"/>
              </w:rPr>
              <w:t>—</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150,000 square feet of office space pre-leased</w:t>
            </w: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- 500 residential units</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Openings projected to begin in 2022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- 56,000 SF of retail</w:t>
            </w: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660" w:type="dxa"/>
            <w:vAlign w:val="bottom"/>
            <w:gridSpan w:val="7"/>
          </w:tcPr>
          <w:p>
            <w:pPr>
              <w:spacing w:after="0"/>
              <w:rPr>
                <w:sz w:val="20"/>
                <w:szCs w:val="20"/>
                <w:color w:val="auto"/>
              </w:rPr>
            </w:pPr>
            <w:r>
              <w:rPr>
                <w:rFonts w:ascii="Arial" w:cs="Arial" w:eastAsia="Arial" w:hAnsi="Arial"/>
                <w:sz w:val="14"/>
                <w:szCs w:val="14"/>
                <w:color w:val="auto"/>
              </w:rPr>
              <w:t>Future</w:t>
            </w:r>
          </w:p>
        </w:tc>
        <w:tc>
          <w:tcPr>
            <w:tcW w:w="126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- 1.5M SF of commercial</w:t>
            </w:r>
          </w:p>
        </w:tc>
        <w:tc>
          <w:tcPr>
            <w:tcW w:w="720" w:type="dxa"/>
            <w:vAlign w:val="bottom"/>
          </w:tcPr>
          <w:p>
            <w:pPr>
              <w:jc w:val="center"/>
              <w:ind w:left="73"/>
              <w:spacing w:after="0"/>
              <w:rPr>
                <w:sz w:val="20"/>
                <w:szCs w:val="20"/>
                <w:color w:val="auto"/>
              </w:rPr>
            </w:pPr>
            <w:r>
              <w:rPr>
                <w:rFonts w:ascii="Arial" w:cs="Arial" w:eastAsia="Arial" w:hAnsi="Arial"/>
                <w:sz w:val="14"/>
                <w:szCs w:val="14"/>
                <w:color w:val="auto"/>
                <w:w w:val="92"/>
              </w:rPr>
              <w:t>TBD</w:t>
            </w: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60" w:type="dxa"/>
            <w:vAlign w:val="bottom"/>
            <w:gridSpan w:val="7"/>
          </w:tcPr>
          <w:p>
            <w:pPr>
              <w:spacing w:after="0"/>
              <w:rPr>
                <w:sz w:val="20"/>
                <w:szCs w:val="20"/>
                <w:color w:val="auto"/>
              </w:rPr>
            </w:pPr>
            <w:r>
              <w:rPr>
                <w:rFonts w:ascii="Arial" w:cs="Arial" w:eastAsia="Arial" w:hAnsi="Arial"/>
                <w:sz w:val="14"/>
                <w:szCs w:val="14"/>
                <w:color w:val="auto"/>
              </w:rPr>
              <w:t>Phases</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- 329 residential units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84"/>
                <w:shd w:val="clear" w:color="auto" w:fill="CCEEFF"/>
              </w:rPr>
              <w:t>Pike &amp;</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shd w:val="clear" w:color="auto" w:fill="CCEEFF"/>
              </w:rPr>
              <w:t>North Bethesda, MD</w:t>
            </w:r>
          </w:p>
        </w:tc>
        <w:tc>
          <w:tcPr>
            <w:tcW w:w="2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81"/>
                <w:shd w:val="clear" w:color="auto" w:fill="CCEEFF"/>
              </w:rPr>
              <w:t>Rose</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2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gridSpan w:val="7"/>
          </w:tcPr>
          <w:p>
            <w:pPr>
              <w:spacing w:after="0"/>
              <w:rPr>
                <w:sz w:val="20"/>
                <w:szCs w:val="20"/>
                <w:color w:val="auto"/>
              </w:rPr>
            </w:pPr>
            <w:r>
              <w:rPr>
                <w:rFonts w:ascii="Arial" w:cs="Arial" w:eastAsia="Arial" w:hAnsi="Arial"/>
                <w:sz w:val="14"/>
                <w:szCs w:val="14"/>
                <w:color w:val="auto"/>
              </w:rPr>
              <w:t>Phase II</w:t>
            </w:r>
          </w:p>
        </w:tc>
        <w:tc>
          <w:tcPr>
            <w:tcW w:w="126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- 216,000 SF of retail</w:t>
            </w:r>
          </w:p>
        </w:tc>
        <w:tc>
          <w:tcPr>
            <w:tcW w:w="720" w:type="dxa"/>
            <w:vAlign w:val="bottom"/>
            <w:tcBorders>
              <w:top w:val="single" w:sz="8" w:color="CCEEFF"/>
            </w:tcBorders>
          </w:tcPr>
          <w:p>
            <w:pPr>
              <w:jc w:val="center"/>
              <w:ind w:left="73"/>
              <w:spacing w:after="0"/>
              <w:rPr>
                <w:sz w:val="20"/>
                <w:szCs w:val="20"/>
                <w:color w:val="auto"/>
              </w:rPr>
            </w:pPr>
            <w:r>
              <w:rPr>
                <w:rFonts w:ascii="Arial" w:cs="Arial" w:eastAsia="Arial" w:hAnsi="Arial"/>
                <w:sz w:val="14"/>
                <w:szCs w:val="14"/>
                <w:color w:val="auto"/>
                <w:w w:val="88"/>
              </w:rPr>
              <w:t>6%</w:t>
            </w:r>
          </w:p>
        </w:tc>
        <w:tc>
          <w:tcPr>
            <w:tcW w:w="360" w:type="dxa"/>
            <w:vAlign w:val="bottom"/>
            <w:tcBorders>
              <w:top w:val="single" w:sz="8" w:color="CCEEFF"/>
            </w:tcBorders>
          </w:tcPr>
          <w:p>
            <w:pPr>
              <w:ind w:left="180"/>
              <w:spacing w:after="0"/>
              <w:rPr>
                <w:sz w:val="20"/>
                <w:szCs w:val="20"/>
                <w:color w:val="auto"/>
              </w:rPr>
            </w:pPr>
            <w:r>
              <w:rPr>
                <w:rFonts w:ascii="Arial" w:cs="Arial" w:eastAsia="Arial" w:hAnsi="Arial"/>
                <w:sz w:val="13"/>
                <w:szCs w:val="13"/>
                <w:color w:val="auto"/>
              </w:rPr>
              <w:t>(5)</w:t>
            </w:r>
          </w:p>
        </w:tc>
        <w:tc>
          <w:tcPr>
            <w:tcW w:w="6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86"/>
              </w:rPr>
              <w:t>$200 - 207</w:t>
            </w:r>
          </w:p>
        </w:tc>
        <w:tc>
          <w:tcPr>
            <w:tcW w:w="70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83"/>
              </w:rPr>
              <w:t>$197</w:t>
            </w:r>
          </w:p>
        </w:tc>
        <w:tc>
          <w:tcPr>
            <w:tcW w:w="1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jc w:val="center"/>
              <w:ind w:left="134"/>
              <w:spacing w:after="0"/>
              <w:rPr>
                <w:sz w:val="20"/>
                <w:szCs w:val="20"/>
                <w:color w:val="auto"/>
              </w:rPr>
            </w:pPr>
            <w:r>
              <w:rPr>
                <w:rFonts w:ascii="Arial" w:cs="Arial" w:eastAsia="Arial" w:hAnsi="Arial"/>
                <w:sz w:val="14"/>
                <w:szCs w:val="14"/>
                <w:color w:val="auto"/>
                <w:w w:val="92"/>
              </w:rPr>
              <w:t>80%</w:t>
            </w:r>
          </w:p>
        </w:tc>
        <w:tc>
          <w:tcPr>
            <w:tcW w:w="1220" w:type="dxa"/>
            <w:vAlign w:val="bottom"/>
            <w:tcBorders>
              <w:top w:val="single" w:sz="8" w:color="CCEEFF"/>
            </w:tcBorders>
            <w:gridSpan w:val="3"/>
          </w:tcPr>
          <w:p>
            <w:pPr>
              <w:ind w:left="380"/>
              <w:spacing w:after="0"/>
              <w:rPr>
                <w:sz w:val="20"/>
                <w:szCs w:val="20"/>
                <w:color w:val="auto"/>
              </w:rPr>
            </w:pPr>
            <w:r>
              <w:rPr>
                <w:rFonts w:ascii="Arial" w:cs="Arial" w:eastAsia="Arial" w:hAnsi="Arial"/>
                <w:sz w:val="14"/>
                <w:szCs w:val="14"/>
                <w:color w:val="auto"/>
              </w:rPr>
              <w:t>Stabilized</w:t>
            </w:r>
          </w:p>
        </w:tc>
        <w:tc>
          <w:tcPr>
            <w:tcW w:w="272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color w:val="auto"/>
              </w:rPr>
              <w:t>190,000 square feet of retail has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80" w:type="dxa"/>
            <w:vAlign w:val="bottom"/>
          </w:tcPr>
          <w:p>
            <w:pPr>
              <w:ind w:left="20"/>
              <w:spacing w:after="0" w:line="149" w:lineRule="exact"/>
              <w:rPr>
                <w:sz w:val="20"/>
                <w:szCs w:val="20"/>
                <w:color w:val="auto"/>
              </w:rPr>
            </w:pPr>
            <w:r>
              <w:rPr>
                <w:rFonts w:ascii="Arial" w:cs="Arial" w:eastAsia="Arial" w:hAnsi="Arial"/>
                <w:sz w:val="14"/>
                <w:szCs w:val="14"/>
                <w:color w:val="auto"/>
              </w:rPr>
              <w:t>- 272 residential units</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8"/>
              </w:rPr>
              <w:t>remaining tenants projected to open in 2019</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- 177 boutique hotel rooms</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4"/>
                <w:szCs w:val="14"/>
                <w:color w:val="auto"/>
                <w:w w:val="89"/>
              </w:rPr>
              <w:t>Residential building opened in August 2017 with</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deliveries through 2Q 2018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Hotel opened in 1Q 2018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- 99 for-sale condominium units</w:t>
            </w:r>
          </w:p>
        </w:tc>
        <w:tc>
          <w:tcPr>
            <w:tcW w:w="720" w:type="dxa"/>
            <w:vAlign w:val="bottom"/>
            <w:shd w:val="clear" w:color="auto" w:fill="CCEEFF"/>
          </w:tcPr>
          <w:p>
            <w:pPr>
              <w:jc w:val="center"/>
              <w:ind w:left="73"/>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(6)</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Closings commenced 1Q 2018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0" w:type="dxa"/>
            <w:vAlign w:val="bottom"/>
            <w:gridSpan w:val="7"/>
          </w:tcPr>
          <w:p>
            <w:pPr>
              <w:spacing w:after="0"/>
              <w:rPr>
                <w:sz w:val="20"/>
                <w:szCs w:val="20"/>
                <w:color w:val="auto"/>
              </w:rPr>
            </w:pPr>
            <w:r>
              <w:rPr>
                <w:rFonts w:ascii="Arial" w:cs="Arial" w:eastAsia="Arial" w:hAnsi="Arial"/>
                <w:sz w:val="14"/>
                <w:szCs w:val="14"/>
                <w:color w:val="auto"/>
              </w:rPr>
              <w:t>Phase III</w:t>
            </w:r>
          </w:p>
        </w:tc>
        <w:tc>
          <w:tcPr>
            <w:tcW w:w="12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- 212,000 SF of office</w:t>
            </w:r>
          </w:p>
        </w:tc>
        <w:tc>
          <w:tcPr>
            <w:tcW w:w="720" w:type="dxa"/>
            <w:vAlign w:val="bottom"/>
          </w:tcPr>
          <w:p>
            <w:pPr>
              <w:jc w:val="center"/>
              <w:ind w:left="73"/>
              <w:spacing w:after="0"/>
              <w:rPr>
                <w:sz w:val="20"/>
                <w:szCs w:val="20"/>
                <w:color w:val="auto"/>
              </w:rPr>
            </w:pPr>
            <w:r>
              <w:rPr>
                <w:rFonts w:ascii="Arial" w:cs="Arial" w:eastAsia="Arial" w:hAnsi="Arial"/>
                <w:sz w:val="14"/>
                <w:szCs w:val="14"/>
                <w:color w:val="auto"/>
                <w:w w:val="91"/>
              </w:rPr>
              <w:t>6-7%</w:t>
            </w:r>
          </w:p>
        </w:tc>
        <w:tc>
          <w:tcPr>
            <w:tcW w:w="3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$128 - 135</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$23</w:t>
            </w:r>
          </w:p>
        </w:tc>
        <w:tc>
          <w:tcPr>
            <w:tcW w:w="120" w:type="dxa"/>
            <w:vAlign w:val="bottom"/>
          </w:tcPr>
          <w:p>
            <w:pPr>
              <w:spacing w:after="0"/>
              <w:rPr>
                <w:sz w:val="16"/>
                <w:szCs w:val="16"/>
                <w:color w:val="auto"/>
              </w:rPr>
            </w:pPr>
          </w:p>
        </w:tc>
        <w:tc>
          <w:tcPr>
            <w:tcW w:w="700" w:type="dxa"/>
            <w:vAlign w:val="bottom"/>
          </w:tcPr>
          <w:p>
            <w:pPr>
              <w:jc w:val="center"/>
              <w:ind w:left="134"/>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Openings projected to begin in 2021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- 4,000 SF of retail</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Future</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- 740,000 SF of commercial</w:t>
            </w:r>
          </w:p>
        </w:tc>
        <w:tc>
          <w:tcPr>
            <w:tcW w:w="720" w:type="dxa"/>
            <w:vAlign w:val="bottom"/>
            <w:shd w:val="clear" w:color="auto" w:fill="CCEEFF"/>
          </w:tcPr>
          <w:p>
            <w:pPr>
              <w:jc w:val="center"/>
              <w:ind w:left="73"/>
              <w:spacing w:after="0"/>
              <w:rPr>
                <w:sz w:val="20"/>
                <w:szCs w:val="20"/>
                <w:color w:val="auto"/>
              </w:rPr>
            </w:pPr>
            <w:r>
              <w:rPr>
                <w:rFonts w:ascii="Arial" w:cs="Arial" w:eastAsia="Arial" w:hAnsi="Arial"/>
                <w:sz w:val="14"/>
                <w:szCs w:val="14"/>
                <w:color w:val="auto"/>
                <w:w w:val="92"/>
                <w:shd w:val="clear" w:color="auto" w:fill="CCEEFF"/>
              </w:rPr>
              <w:t>TBD</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76"/>
                <w:shd w:val="clear" w:color="auto" w:fill="CCEEFF"/>
              </w:rPr>
              <w:t>Phases</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- 741 residential units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60" w:type="dxa"/>
            <w:vAlign w:val="bottom"/>
            <w:gridSpan w:val="7"/>
          </w:tcPr>
          <w:p>
            <w:pPr>
              <w:spacing w:after="0"/>
              <w:rPr>
                <w:sz w:val="20"/>
                <w:szCs w:val="20"/>
                <w:color w:val="auto"/>
              </w:rPr>
            </w:pPr>
            <w:r>
              <w:rPr>
                <w:rFonts w:ascii="Arial" w:cs="Arial" w:eastAsia="Arial" w:hAnsi="Arial"/>
                <w:sz w:val="14"/>
                <w:szCs w:val="14"/>
                <w:b w:val="1"/>
                <w:bCs w:val="1"/>
                <w:color w:val="auto"/>
              </w:rPr>
              <w:t>Santana</w:t>
            </w:r>
          </w:p>
        </w:tc>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San Jose, CA</w:t>
            </w: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46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Row</w:t>
            </w:r>
          </w:p>
        </w:tc>
        <w:tc>
          <w:tcPr>
            <w:tcW w:w="200" w:type="dxa"/>
            <w:vAlign w:val="bottom"/>
            <w:gridSpan w:val="2"/>
          </w:tcPr>
          <w:p>
            <w:pPr>
              <w:spacing w:after="0"/>
              <w:rPr>
                <w:sz w:val="11"/>
                <w:szCs w:val="11"/>
                <w:color w:val="auto"/>
              </w:rPr>
            </w:pPr>
          </w:p>
        </w:tc>
        <w:tc>
          <w:tcPr>
            <w:tcW w:w="1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700 Santana Row</w:t>
            </w: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- 301,000 SF of office</w:t>
            </w:r>
          </w:p>
        </w:tc>
        <w:tc>
          <w:tcPr>
            <w:tcW w:w="720" w:type="dxa"/>
            <w:vAlign w:val="bottom"/>
            <w:shd w:val="clear" w:color="auto" w:fill="CCEEFF"/>
          </w:tcPr>
          <w:p>
            <w:pPr>
              <w:jc w:val="center"/>
              <w:ind w:left="73"/>
              <w:spacing w:after="0"/>
              <w:rPr>
                <w:sz w:val="20"/>
                <w:szCs w:val="20"/>
                <w:color w:val="auto"/>
              </w:rPr>
            </w:pPr>
            <w:r>
              <w:rPr>
                <w:rFonts w:ascii="Arial" w:cs="Arial" w:eastAsia="Arial" w:hAnsi="Arial"/>
                <w:sz w:val="14"/>
                <w:szCs w:val="14"/>
                <w:color w:val="auto"/>
                <w:w w:val="91"/>
              </w:rPr>
              <w:t>7-8%</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$205 - 215</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$150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4"/>
              <w:spacing w:after="0"/>
              <w:rPr>
                <w:sz w:val="20"/>
                <w:szCs w:val="20"/>
                <w:color w:val="auto"/>
              </w:rPr>
            </w:pPr>
            <w:r>
              <w:rPr>
                <w:rFonts w:ascii="Arial" w:cs="Arial" w:eastAsia="Arial" w:hAnsi="Arial"/>
                <w:sz w:val="14"/>
                <w:szCs w:val="14"/>
                <w:color w:val="auto"/>
                <w:w w:val="92"/>
              </w:rPr>
              <w:t>15%</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Stabilized</w:t>
            </w:r>
          </w:p>
        </w:tc>
        <w:tc>
          <w:tcPr>
            <w:tcW w:w="120" w:type="dxa"/>
            <w:vAlign w:val="bottom"/>
            <w:shd w:val="clear" w:color="auto" w:fill="CCEEFF"/>
          </w:tcPr>
          <w:p>
            <w:pPr>
              <w:spacing w:after="0"/>
              <w:rPr>
                <w:sz w:val="15"/>
                <w:szCs w:val="15"/>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Commenced construction 4Q 2016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- 18,000 SF of retail &amp; 1,300 parking</w:t>
            </w: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Opening projected 2019</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spaces</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Office 100% pre-leased</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660" w:type="dxa"/>
            <w:vAlign w:val="bottom"/>
            <w:gridSpan w:val="7"/>
          </w:tcPr>
          <w:p>
            <w:pPr>
              <w:spacing w:after="0"/>
              <w:rPr>
                <w:sz w:val="20"/>
                <w:szCs w:val="20"/>
                <w:color w:val="auto"/>
              </w:rPr>
            </w:pPr>
            <w:r>
              <w:rPr>
                <w:rFonts w:ascii="Arial" w:cs="Arial" w:eastAsia="Arial" w:hAnsi="Arial"/>
                <w:sz w:val="14"/>
                <w:szCs w:val="14"/>
                <w:color w:val="auto"/>
              </w:rPr>
              <w:t>Future</w:t>
            </w:r>
          </w:p>
        </w:tc>
        <w:tc>
          <w:tcPr>
            <w:tcW w:w="126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- 321,000 SF of commercial</w:t>
            </w:r>
          </w:p>
        </w:tc>
        <w:tc>
          <w:tcPr>
            <w:tcW w:w="720" w:type="dxa"/>
            <w:vAlign w:val="bottom"/>
          </w:tcPr>
          <w:p>
            <w:pPr>
              <w:jc w:val="center"/>
              <w:ind w:left="73"/>
              <w:spacing w:after="0"/>
              <w:rPr>
                <w:sz w:val="20"/>
                <w:szCs w:val="20"/>
                <w:color w:val="auto"/>
              </w:rPr>
            </w:pPr>
            <w:r>
              <w:rPr>
                <w:rFonts w:ascii="Arial" w:cs="Arial" w:eastAsia="Arial" w:hAnsi="Arial"/>
                <w:sz w:val="14"/>
                <w:szCs w:val="14"/>
                <w:color w:val="auto"/>
                <w:w w:val="92"/>
              </w:rPr>
              <w:t>TBD</w:t>
            </w:r>
          </w:p>
        </w:tc>
        <w:tc>
          <w:tcPr>
            <w:tcW w:w="3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Phases</w:t>
      </w:r>
    </w:p>
    <w:p>
      <w:pPr>
        <w:spacing w:after="0" w:line="30"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- 395 residential units</w:t>
      </w:r>
    </w:p>
    <w:p>
      <w:pPr>
        <w:spacing w:after="0" w:line="109"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- 1M SF of commercial across from</w:t>
      </w:r>
    </w:p>
    <w:p>
      <w:pPr>
        <w:ind w:left="1980"/>
        <w:spacing w:after="0"/>
        <w:rPr>
          <w:sz w:val="20"/>
          <w:szCs w:val="20"/>
          <w:color w:val="auto"/>
        </w:rPr>
      </w:pPr>
      <w:r>
        <w:rPr>
          <w:rFonts w:ascii="Arial" w:cs="Arial" w:eastAsia="Arial" w:hAnsi="Arial"/>
          <w:sz w:val="14"/>
          <w:szCs w:val="14"/>
          <w:color w:val="auto"/>
        </w:rPr>
        <w:t>Santana Row</w:t>
      </w:r>
    </w:p>
    <w:p>
      <w:pPr>
        <w:spacing w:after="0"/>
        <w:rPr>
          <w:sz w:val="20"/>
          <w:szCs w:val="20"/>
          <w:color w:val="auto"/>
        </w:rPr>
      </w:pPr>
      <w:r>
        <w:rPr>
          <w:rFonts w:ascii="Arial" w:cs="Arial" w:eastAsia="Arial" w:hAnsi="Arial"/>
          <w:sz w:val="14"/>
          <w:szCs w:val="14"/>
          <w:u w:val="single" w:color="auto"/>
          <w:color w:val="auto"/>
        </w:rPr>
        <w:t>Notes:</w:t>
      </w:r>
    </w:p>
    <w:p>
      <w:pPr>
        <w:spacing w:after="0" w:line="166" w:lineRule="exact"/>
        <w:rPr>
          <w:sz w:val="20"/>
          <w:szCs w:val="20"/>
          <w:color w:val="auto"/>
        </w:rPr>
      </w:pPr>
    </w:p>
    <w:p>
      <w:pPr>
        <w:ind w:left="260" w:right="160" w:hanging="225"/>
        <w:spacing w:after="0" w:line="305" w:lineRule="auto"/>
        <w:tabs>
          <w:tab w:leader="none" w:pos="2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Expected opening dates, total cost, projected return on investment (ROI), and projected POI percentages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260" w:right="100" w:hanging="225"/>
        <w:spacing w:after="0" w:line="239"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figures reflect (i) the projected POI (herein defined) for the stated year divided by (ii) the current projected annual stabilized POI for the Property. These percentages are projections only and we cannot give any assurances that these amounts will actually be achieved.</w:t>
      </w:r>
    </w:p>
    <w:p>
      <w:pPr>
        <w:spacing w:after="0" w:line="30"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sold at cost.</w:t>
      </w:r>
    </w:p>
    <w:p>
      <w:pPr>
        <w:sectPr>
          <w:pgSz w:w="11900" w:h="16838" w:orient="portrait"/>
          <w:cols w:equalWidth="0" w:num="1">
            <w:col w:w="11420"/>
          </w:cols>
          <w:pgMar w:left="240" w:top="760"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297" w:lineRule="exact"/>
        <w:rPr>
          <w:sz w:val="20"/>
          <w:szCs w:val="20"/>
          <w:color w:val="auto"/>
        </w:rPr>
      </w:pPr>
    </w:p>
    <w:p>
      <w:pPr>
        <w:ind w:left="40" w:right="100"/>
        <w:spacing w:after="0" w:line="264"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41"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CA</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Mercer Mall</w:t>
            </w:r>
          </w:p>
        </w:tc>
        <w:tc>
          <w:tcPr>
            <w:tcW w:w="4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Lawrenceville, NJ</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700" w:type="dxa"/>
            <w:vAlign w:val="bottom"/>
          </w:tcPr>
          <w:p>
            <w:pPr>
              <w:ind w:left="640"/>
              <w:spacing w:after="0"/>
              <w:rPr>
                <w:sz w:val="20"/>
                <w:szCs w:val="20"/>
                <w:color w:val="auto"/>
              </w:rPr>
            </w:pPr>
            <w:r>
              <w:rPr>
                <w:rFonts w:ascii="Arial" w:cs="Arial" w:eastAsia="Arial" w:hAnsi="Arial"/>
                <w:sz w:val="16"/>
                <w:szCs w:val="16"/>
                <w:b w:val="1"/>
                <w:bCs w:val="1"/>
                <w:color w:val="auto"/>
              </w:rPr>
              <w:t>Pan Am</w:t>
            </w:r>
          </w:p>
        </w:tc>
        <w:tc>
          <w:tcPr>
            <w:tcW w:w="4400" w:type="dxa"/>
            <w:vAlign w:val="bottom"/>
          </w:tcPr>
          <w:p>
            <w:pPr>
              <w:ind w:left="560"/>
              <w:spacing w:after="0"/>
              <w:rPr>
                <w:sz w:val="20"/>
                <w:szCs w:val="20"/>
                <w:color w:val="auto"/>
              </w:rPr>
            </w:pPr>
            <w:r>
              <w:rPr>
                <w:rFonts w:ascii="Arial" w:cs="Arial" w:eastAsia="Arial" w:hAnsi="Arial"/>
                <w:sz w:val="16"/>
                <w:szCs w:val="16"/>
                <w:color w:val="auto"/>
              </w:rPr>
              <w:t>Fairfax, VA</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Flourtown, PA</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4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Sylmar, CA</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020" w:type="dxa"/>
            <w:vAlign w:val="bottom"/>
          </w:tcPr>
          <w:p>
            <w:pPr>
              <w:ind w:left="380"/>
              <w:spacing w:after="0"/>
              <w:rPr>
                <w:sz w:val="20"/>
                <w:szCs w:val="20"/>
                <w:color w:val="auto"/>
              </w:rPr>
            </w:pPr>
            <w:r>
              <w:rPr>
                <w:rFonts w:ascii="Arial" w:cs="Arial" w:eastAsia="Arial" w:hAnsi="Arial"/>
                <w:sz w:val="16"/>
                <w:szCs w:val="16"/>
                <w:color w:val="auto"/>
              </w:rPr>
              <w:t>Queens, NY</w:t>
            </w:r>
          </w:p>
        </w:tc>
        <w:tc>
          <w:tcPr>
            <w:tcW w:w="27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70"/>
        </w:trPr>
        <w:tc>
          <w:tcPr>
            <w:tcW w:w="2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2700" w:type="dxa"/>
            <w:vAlign w:val="bottom"/>
            <w:shd w:val="clear" w:color="auto" w:fill="CCEEFF"/>
          </w:tcPr>
          <w:p>
            <w:pPr>
              <w:spacing w:after="0"/>
              <w:rPr>
                <w:sz w:val="23"/>
                <w:szCs w:val="23"/>
                <w:color w:val="auto"/>
              </w:rPr>
            </w:pPr>
          </w:p>
        </w:tc>
        <w:tc>
          <w:tcPr>
            <w:tcW w:w="440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Charlottesville, VA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Hastings Ranch Plaza</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Pasadena, CA</w:t>
            </w:r>
          </w:p>
        </w:tc>
      </w:tr>
      <w:tr>
        <w:trPr>
          <w:trHeight w:val="237"/>
        </w:trPr>
        <w:tc>
          <w:tcPr>
            <w:tcW w:w="2080" w:type="dxa"/>
            <w:vAlign w:val="bottom"/>
          </w:tcPr>
          <w:p>
            <w:pPr>
              <w:ind w:left="380"/>
              <w:spacing w:after="0"/>
              <w:rPr>
                <w:sz w:val="20"/>
                <w:szCs w:val="20"/>
                <w:color w:val="auto"/>
              </w:rPr>
            </w:pPr>
            <w:r>
              <w:rPr>
                <w:rFonts w:ascii="Arial" w:cs="Arial" w:eastAsia="Arial" w:hAnsi="Arial"/>
                <w:sz w:val="16"/>
                <w:szCs w:val="16"/>
                <w:b w:val="1"/>
                <w:bCs w:val="1"/>
                <w:color w:val="auto"/>
              </w:rPr>
              <w:t>Bethesda Row</w:t>
            </w:r>
          </w:p>
        </w:tc>
        <w:tc>
          <w:tcPr>
            <w:tcW w:w="2360" w:type="dxa"/>
            <w:vAlign w:val="bottom"/>
          </w:tcPr>
          <w:p>
            <w:pPr>
              <w:ind w:left="600"/>
              <w:spacing w:after="0"/>
              <w:rPr>
                <w:sz w:val="20"/>
                <w:szCs w:val="20"/>
                <w:color w:val="auto"/>
              </w:rPr>
            </w:pPr>
            <w:r>
              <w:rPr>
                <w:rFonts w:ascii="Arial" w:cs="Arial" w:eastAsia="Arial" w:hAnsi="Arial"/>
                <w:sz w:val="16"/>
                <w:szCs w:val="16"/>
                <w:color w:val="auto"/>
              </w:rPr>
              <w:t>Bethesda, MD</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4260" w:type="dxa"/>
            <w:vAlign w:val="bottom"/>
          </w:tcPr>
          <w:p>
            <w:pPr>
              <w:ind w:left="420"/>
              <w:spacing w:after="0"/>
              <w:rPr>
                <w:sz w:val="20"/>
                <w:szCs w:val="20"/>
                <w:color w:val="auto"/>
              </w:rPr>
            </w:pPr>
            <w:r>
              <w:rPr>
                <w:rFonts w:ascii="Arial" w:cs="Arial" w:eastAsia="Arial" w:hAnsi="Arial"/>
                <w:sz w:val="16"/>
                <w:szCs w:val="16"/>
                <w:color w:val="auto"/>
              </w:rPr>
              <w:t>Philadelphia, PA</w:t>
            </w:r>
          </w:p>
        </w:tc>
      </w:tr>
      <w:tr>
        <w:trPr>
          <w:trHeight w:val="33"/>
        </w:trPr>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Crossroads</w:t>
            </w:r>
          </w:p>
        </w:tc>
        <w:tc>
          <w:tcPr>
            <w:tcW w:w="2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Highland Park, IL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Chicago, IL</w:t>
            </w:r>
          </w:p>
        </w:tc>
      </w:tr>
      <w:tr>
        <w:trPr>
          <w:trHeight w:val="237"/>
        </w:trPr>
        <w:tc>
          <w:tcPr>
            <w:tcW w:w="2080" w:type="dxa"/>
            <w:vAlign w:val="bottom"/>
          </w:tcPr>
          <w:p>
            <w:pPr>
              <w:ind w:left="380"/>
              <w:spacing w:after="0"/>
              <w:rPr>
                <w:sz w:val="20"/>
                <w:szCs w:val="20"/>
                <w:color w:val="auto"/>
              </w:rPr>
            </w:pPr>
            <w:r>
              <w:rPr>
                <w:rFonts w:ascii="Arial" w:cs="Arial" w:eastAsia="Arial" w:hAnsi="Arial"/>
                <w:sz w:val="16"/>
                <w:szCs w:val="16"/>
                <w:b w:val="1"/>
                <w:bCs w:val="1"/>
                <w:color w:val="auto"/>
              </w:rPr>
              <w:t>Darien</w:t>
            </w:r>
          </w:p>
        </w:tc>
        <w:tc>
          <w:tcPr>
            <w:tcW w:w="2360" w:type="dxa"/>
            <w:vAlign w:val="bottom"/>
          </w:tcPr>
          <w:p>
            <w:pPr>
              <w:ind w:left="600"/>
              <w:spacing w:after="0"/>
              <w:rPr>
                <w:sz w:val="20"/>
                <w:szCs w:val="20"/>
                <w:color w:val="auto"/>
              </w:rPr>
            </w:pPr>
            <w:r>
              <w:rPr>
                <w:rFonts w:ascii="Arial" w:cs="Arial" w:eastAsia="Arial" w:hAnsi="Arial"/>
                <w:sz w:val="16"/>
                <w:szCs w:val="16"/>
                <w:color w:val="auto"/>
              </w:rPr>
              <w:t>Darien, CT</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26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Dedham Plaza</w:t>
            </w:r>
          </w:p>
        </w:tc>
        <w:tc>
          <w:tcPr>
            <w:tcW w:w="2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Dedham, MA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080" w:type="dxa"/>
            <w:vAlign w:val="bottom"/>
          </w:tcPr>
          <w:p>
            <w:pPr>
              <w:ind w:left="380"/>
              <w:spacing w:after="0"/>
              <w:rPr>
                <w:sz w:val="20"/>
                <w:szCs w:val="20"/>
                <w:color w:val="auto"/>
              </w:rPr>
            </w:pPr>
            <w:r>
              <w:rPr>
                <w:rFonts w:ascii="Arial" w:cs="Arial" w:eastAsia="Arial" w:hAnsi="Arial"/>
                <w:sz w:val="16"/>
                <w:szCs w:val="16"/>
                <w:b w:val="1"/>
                <w:bCs w:val="1"/>
                <w:color w:val="auto"/>
              </w:rPr>
              <w:t>Fourth Street</w:t>
            </w:r>
          </w:p>
        </w:tc>
        <w:tc>
          <w:tcPr>
            <w:tcW w:w="2360" w:type="dxa"/>
            <w:vAlign w:val="bottom"/>
          </w:tcPr>
          <w:p>
            <w:pPr>
              <w:ind w:left="600"/>
              <w:spacing w:after="0"/>
              <w:rPr>
                <w:sz w:val="20"/>
                <w:szCs w:val="20"/>
                <w:color w:val="auto"/>
              </w:rPr>
            </w:pPr>
            <w:r>
              <w:rPr>
                <w:rFonts w:ascii="Arial" w:cs="Arial" w:eastAsia="Arial" w:hAnsi="Arial"/>
                <w:sz w:val="16"/>
                <w:szCs w:val="16"/>
                <w:color w:val="auto"/>
              </w:rPr>
              <w:t>Berkeley, CA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260" w:type="dxa"/>
            <w:vAlign w:val="bottom"/>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20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Fresh Meadows</w:t>
            </w:r>
          </w:p>
        </w:tc>
        <w:tc>
          <w:tcPr>
            <w:tcW w:w="2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Queens, NY</w:t>
            </w:r>
          </w:p>
        </w:tc>
        <w:tc>
          <w:tcPr>
            <w:tcW w:w="27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33"/>
        </w:trPr>
        <w:tc>
          <w:tcPr>
            <w:tcW w:w="20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340" w:type="dxa"/>
            <w:vAlign w:val="bottom"/>
          </w:tcPr>
          <w:p>
            <w:pPr>
              <w:ind w:left="520"/>
              <w:spacing w:after="0"/>
              <w:rPr>
                <w:sz w:val="20"/>
                <w:szCs w:val="20"/>
                <w:color w:val="auto"/>
              </w:rPr>
            </w:pPr>
            <w:r>
              <w:rPr>
                <w:rFonts w:ascii="Arial" w:cs="Arial" w:eastAsia="Arial" w:hAnsi="Arial"/>
                <w:sz w:val="16"/>
                <w:szCs w:val="16"/>
                <w:color w:val="auto"/>
              </w:rPr>
              <w:t>Charlottesville, VA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940" w:type="dxa"/>
            <w:vAlign w:val="bottom"/>
          </w:tcPr>
          <w:p>
            <w:pPr>
              <w:ind w:left="100"/>
              <w:spacing w:after="0"/>
              <w:rPr>
                <w:sz w:val="20"/>
                <w:szCs w:val="20"/>
                <w:color w:val="auto"/>
              </w:rPr>
            </w:pPr>
            <w:r>
              <w:rPr>
                <w:rFonts w:ascii="Arial" w:cs="Arial" w:eastAsia="Arial" w:hAnsi="Arial"/>
                <w:sz w:val="16"/>
                <w:szCs w:val="16"/>
                <w:color w:val="auto"/>
              </w:rPr>
              <w:t>Falls Church, VA</w:t>
            </w:r>
          </w:p>
        </w:tc>
      </w:tr>
      <w:tr>
        <w:trPr>
          <w:trHeight w:val="33"/>
        </w:trPr>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Bala Cynwyd</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Arlington, VA</w:t>
            </w:r>
          </w:p>
        </w:tc>
      </w:tr>
      <w:tr>
        <w:trPr>
          <w:trHeight w:val="270"/>
        </w:trPr>
        <w:tc>
          <w:tcPr>
            <w:tcW w:w="4500" w:type="dxa"/>
            <w:vAlign w:val="bottom"/>
            <w:gridSpan w:val="2"/>
          </w:tcPr>
          <w:p>
            <w:pPr>
              <w:spacing w:after="0"/>
              <w:rPr>
                <w:sz w:val="23"/>
                <w:szCs w:val="23"/>
                <w:color w:val="auto"/>
              </w:rPr>
            </w:pPr>
          </w:p>
        </w:tc>
        <w:tc>
          <w:tcPr>
            <w:tcW w:w="29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37"/>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98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shd w:val="clear" w:color="auto" w:fill="CCEEFF"/>
          </w:tcPr>
          <w:p>
            <w:pPr>
              <w:spacing w:after="0"/>
              <w:rPr>
                <w:sz w:val="20"/>
                <w:szCs w:val="20"/>
                <w:color w:val="auto"/>
              </w:rPr>
            </w:pP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Assembly Row (1)</w:t>
            </w:r>
          </w:p>
        </w:tc>
        <w:tc>
          <w:tcPr>
            <w:tcW w:w="2340" w:type="dxa"/>
            <w:vAlign w:val="bottom"/>
          </w:tcPr>
          <w:p>
            <w:pPr>
              <w:ind w:left="520"/>
              <w:spacing w:after="0"/>
              <w:rPr>
                <w:sz w:val="20"/>
                <w:szCs w:val="20"/>
                <w:color w:val="auto"/>
              </w:rPr>
            </w:pPr>
            <w:r>
              <w:rPr>
                <w:rFonts w:ascii="Arial" w:cs="Arial" w:eastAsia="Arial" w:hAnsi="Arial"/>
                <w:sz w:val="16"/>
                <w:szCs w:val="16"/>
                <w:color w:val="auto"/>
              </w:rPr>
              <w:t>Somerville, MA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940" w:type="dxa"/>
            <w:vAlign w:val="bottom"/>
          </w:tcPr>
          <w:p>
            <w:pPr>
              <w:ind w:left="100"/>
              <w:spacing w:after="0"/>
              <w:rPr>
                <w:sz w:val="20"/>
                <w:szCs w:val="20"/>
                <w:color w:val="auto"/>
              </w:rPr>
            </w:pPr>
            <w:r>
              <w:rPr>
                <w:rFonts w:ascii="Arial" w:cs="Arial" w:eastAsia="Arial" w:hAnsi="Arial"/>
                <w:sz w:val="16"/>
                <w:szCs w:val="16"/>
                <w:color w:val="auto"/>
              </w:rPr>
              <w:t>Mountain View, CA</w:t>
            </w:r>
          </w:p>
        </w:tc>
      </w:tr>
      <w:tr>
        <w:trPr>
          <w:trHeight w:val="33"/>
        </w:trPr>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Bala Cynwyd</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w w:val="94"/>
              </w:rPr>
              <w:t>Santana Row - Winchester Theater</w:t>
            </w:r>
          </w:p>
        </w:tc>
        <w:tc>
          <w:tcPr>
            <w:tcW w:w="3940" w:type="dxa"/>
            <w:vAlign w:val="bottom"/>
          </w:tcPr>
          <w:p>
            <w:pPr>
              <w:spacing w:after="0"/>
              <w:rPr>
                <w:sz w:val="18"/>
                <w:szCs w:val="18"/>
                <w:color w:val="auto"/>
              </w:rPr>
            </w:pPr>
          </w:p>
        </w:tc>
      </w:tr>
      <w:tr>
        <w:trPr>
          <w:trHeight w:val="210"/>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Pike 7 Plaza</w:t>
            </w:r>
          </w:p>
        </w:tc>
        <w:tc>
          <w:tcPr>
            <w:tcW w:w="2340" w:type="dxa"/>
            <w:vAlign w:val="bottom"/>
          </w:tcPr>
          <w:p>
            <w:pPr>
              <w:ind w:left="520"/>
              <w:spacing w:after="0"/>
              <w:rPr>
                <w:sz w:val="20"/>
                <w:szCs w:val="20"/>
                <w:color w:val="auto"/>
              </w:rPr>
            </w:pPr>
            <w:r>
              <w:rPr>
                <w:rFonts w:ascii="Arial" w:cs="Arial" w:eastAsia="Arial" w:hAnsi="Arial"/>
                <w:sz w:val="16"/>
                <w:szCs w:val="16"/>
                <w:color w:val="auto"/>
              </w:rPr>
              <w:t>Vienna, VA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site</w:t>
            </w:r>
          </w:p>
        </w:tc>
        <w:tc>
          <w:tcPr>
            <w:tcW w:w="394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37"/>
        </w:trPr>
        <w:tc>
          <w:tcPr>
            <w:tcW w:w="21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Pike &amp; Rose (2)</w:t>
            </w:r>
          </w:p>
        </w:tc>
        <w:tc>
          <w:tcPr>
            <w:tcW w:w="2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North Bethesda, MD</w:t>
            </w:r>
          </w:p>
        </w:tc>
        <w:tc>
          <w:tcPr>
            <w:tcW w:w="298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r>
      <w:tr>
        <w:trPr>
          <w:trHeight w:val="33"/>
        </w:trPr>
        <w:tc>
          <w:tcPr>
            <w:tcW w:w="21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380" w:hanging="345"/>
        <w:spacing w:after="0"/>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Assembly Row</w:t>
      </w:r>
    </w:p>
    <w:p>
      <w:pPr>
        <w:spacing w:after="0" w:line="84" w:lineRule="exact"/>
        <w:rPr>
          <w:rFonts w:ascii="Arial" w:cs="Arial" w:eastAsia="Arial" w:hAnsi="Arial"/>
          <w:sz w:val="15"/>
          <w:szCs w:val="15"/>
          <w:color w:val="auto"/>
        </w:rPr>
      </w:pPr>
    </w:p>
    <w:p>
      <w:pPr>
        <w:ind w:left="380" w:hanging="345"/>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Pike &amp; Rose</w:t>
      </w:r>
    </w:p>
    <w:p>
      <w:pPr>
        <w:spacing w:after="0" w:line="72" w:lineRule="exact"/>
        <w:rPr>
          <w:rFonts w:ascii="Arial" w:cs="Arial" w:eastAsia="Arial" w:hAnsi="Arial"/>
          <w:sz w:val="16"/>
          <w:szCs w:val="16"/>
          <w:color w:val="auto"/>
        </w:rPr>
      </w:pPr>
    </w:p>
    <w:p>
      <w:pPr>
        <w:ind w:left="380" w:hanging="345"/>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Santana 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II include approximately 1.5 million square feet of commercial-use buildings and 329 residential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55245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II include 740,000 square feet of commercial-use buildings, and 741 residential units.</w:t>
      </w:r>
    </w:p>
    <w:p>
      <w:pPr>
        <w:spacing w:after="0" w:line="96"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Remaining entitlements include approximately 321,000 square feet of commercial space and 395 residential units, as well as 1 million square feet of commercial space on land we control across from Santana Row.</w:t>
      </w:r>
    </w:p>
    <w:p>
      <w:pPr>
        <w:spacing w:after="0" w:line="200" w:lineRule="exact"/>
        <w:rPr>
          <w:sz w:val="20"/>
          <w:szCs w:val="20"/>
          <w:color w:val="auto"/>
        </w:rPr>
      </w:pPr>
    </w:p>
    <w:p>
      <w:pPr>
        <w:sectPr>
          <w:pgSz w:w="11900" w:h="16838" w:orient="portrait"/>
          <w:cols w:equalWidth="0" w:num="2">
            <w:col w:w="1960" w:space="720"/>
            <w:col w:w="8740"/>
          </w:cols>
          <w:pgMar w:left="240" w:top="747"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Occupied</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 PSF</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260" w:type="dxa"/>
            <w:vAlign w:val="bottom"/>
          </w:tcPr>
          <w:p>
            <w:pPr>
              <w:spacing w:after="0"/>
              <w:rPr>
                <w:sz w:val="11"/>
                <w:szCs w:val="11"/>
                <w:color w:val="auto"/>
              </w:rPr>
            </w:pPr>
          </w:p>
        </w:tc>
      </w:tr>
      <w:tr>
        <w:trPr>
          <w:trHeight w:val="174"/>
        </w:trPr>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Acreage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2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1"/>
        </w:trPr>
        <w:tc>
          <w:tcPr>
            <w:tcW w:w="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Washington Metropolitan Area</w:t>
            </w:r>
          </w:p>
        </w:tc>
        <w:tc>
          <w:tcPr>
            <w:tcW w:w="1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r>
      <w:tr>
        <w:trPr>
          <w:trHeight w:val="148"/>
        </w:trPr>
        <w:tc>
          <w:tcPr>
            <w:tcW w:w="1360" w:type="dxa"/>
            <w:vAlign w:val="bottom"/>
            <w:tcBorders>
              <w:top w:val="single" w:sz="8" w:color="CCEEFF"/>
            </w:tcBorders>
            <w:gridSpan w:val="2"/>
          </w:tcPr>
          <w:p>
            <w:pPr>
              <w:ind w:left="40"/>
              <w:spacing w:after="0" w:line="148" w:lineRule="exact"/>
              <w:rPr>
                <w:sz w:val="20"/>
                <w:szCs w:val="20"/>
                <w:color w:val="auto"/>
              </w:rPr>
            </w:pPr>
            <w:r>
              <w:rPr>
                <w:rFonts w:ascii="Arial" w:cs="Arial" w:eastAsia="Arial" w:hAnsi="Arial"/>
                <w:sz w:val="13"/>
                <w:szCs w:val="13"/>
                <w:color w:val="auto"/>
              </w:rPr>
              <w:t>Barcroft Plaza</w:t>
            </w:r>
          </w:p>
        </w:tc>
        <w:tc>
          <w:tcPr>
            <w:tcW w:w="4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Borders>
              <w:top w:val="single" w:sz="8" w:color="CCEEFF"/>
            </w:tcBorders>
          </w:tcPr>
          <w:p>
            <w:pPr>
              <w:jc w:val="right"/>
              <w:ind w:right="38"/>
              <w:spacing w:after="0" w:line="148" w:lineRule="exact"/>
              <w:rPr>
                <w:sz w:val="20"/>
                <w:szCs w:val="20"/>
                <w:color w:val="auto"/>
              </w:rPr>
            </w:pPr>
            <w:r>
              <w:rPr>
                <w:rFonts w:ascii="Arial" w:cs="Arial" w:eastAsia="Arial" w:hAnsi="Arial"/>
                <w:sz w:val="13"/>
                <w:szCs w:val="13"/>
                <w:color w:val="auto"/>
                <w:w w:val="94"/>
              </w:rPr>
              <w:t>$ 46,692</w:t>
            </w:r>
          </w:p>
        </w:tc>
        <w:tc>
          <w:tcPr>
            <w:tcW w:w="6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rPr>
              <w:t>10</w:t>
            </w:r>
          </w:p>
        </w:tc>
        <w:tc>
          <w:tcPr>
            <w:tcW w:w="5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w w:val="93"/>
              </w:rPr>
              <w:t>115,000</w:t>
            </w:r>
          </w:p>
        </w:tc>
        <w:tc>
          <w:tcPr>
            <w:tcW w:w="48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$24.39</w:t>
            </w:r>
          </w:p>
        </w:tc>
        <w:tc>
          <w:tcPr>
            <w:tcW w:w="6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46,000</w:t>
            </w:r>
          </w:p>
        </w:tc>
        <w:tc>
          <w:tcPr>
            <w:tcW w:w="760" w:type="dxa"/>
            <w:vAlign w:val="bottom"/>
            <w:tcBorders>
              <w:top w:val="single" w:sz="8" w:color="CCEEFF"/>
            </w:tcBorders>
          </w:tcPr>
          <w:p>
            <w:pPr>
              <w:ind w:left="20"/>
              <w:spacing w:after="0" w:line="148" w:lineRule="exact"/>
              <w:rPr>
                <w:sz w:val="20"/>
                <w:szCs w:val="20"/>
                <w:color w:val="auto"/>
              </w:rPr>
            </w:pPr>
            <w:r>
              <w:rPr>
                <w:rFonts w:ascii="Arial" w:cs="Arial" w:eastAsia="Arial" w:hAnsi="Arial"/>
                <w:sz w:val="13"/>
                <w:szCs w:val="13"/>
                <w:color w:val="auto"/>
                <w:w w:val="94"/>
              </w:rPr>
              <w:t>Harris Teeter</w:t>
            </w:r>
          </w:p>
        </w:tc>
        <w:tc>
          <w:tcPr>
            <w:tcW w:w="2260" w:type="dxa"/>
            <w:vAlign w:val="bottom"/>
            <w:tcBorders>
              <w:top w:val="single" w:sz="8" w:color="CCEEFF"/>
            </w:tcBorders>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Bethesda Row</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228,408</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536,000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52.99</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w:t>
            </w: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40,000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Apple / Equinox / Anthropologie /</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Multiple Restaurants</w:t>
            </w: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Congressional Plaza</w:t>
            </w:r>
          </w:p>
        </w:tc>
        <w:tc>
          <w:tcPr>
            <w:tcW w:w="420" w:type="dxa"/>
            <w:vAlign w:val="bottom"/>
          </w:tcPr>
          <w:p>
            <w:pPr>
              <w:jc w:val="right"/>
              <w:ind w:right="97"/>
              <w:spacing w:after="0" w:line="148" w:lineRule="exact"/>
              <w:rPr>
                <w:sz w:val="20"/>
                <w:szCs w:val="20"/>
                <w:color w:val="auto"/>
              </w:rPr>
            </w:pPr>
            <w:r>
              <w:rPr>
                <w:rFonts w:ascii="Arial" w:cs="Arial" w:eastAsia="Arial" w:hAnsi="Arial"/>
                <w:sz w:val="13"/>
                <w:szCs w:val="13"/>
                <w:color w:val="auto"/>
              </w:rPr>
              <w:t>(4)</w:t>
            </w: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103,087</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325,000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40.63</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194</w:t>
            </w: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The Fresh</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w w:val="90"/>
              </w:rPr>
              <w:t>Buy Buy Baby / Saks Fifth Avenue Off 5th</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Market</w:t>
            </w:r>
          </w:p>
        </w:tc>
        <w:tc>
          <w:tcPr>
            <w:tcW w:w="2260" w:type="dxa"/>
            <w:vAlign w:val="bottom"/>
          </w:tcPr>
          <w:p>
            <w:pPr>
              <w:ind w:left="60"/>
              <w:spacing w:after="0" w:line="135" w:lineRule="exact"/>
              <w:rPr>
                <w:sz w:val="20"/>
                <w:szCs w:val="20"/>
                <w:color w:val="auto"/>
              </w:rPr>
            </w:pPr>
            <w:r>
              <w:rPr>
                <w:rFonts w:ascii="Arial" w:cs="Arial" w:eastAsia="Arial" w:hAnsi="Arial"/>
                <w:sz w:val="13"/>
                <w:szCs w:val="13"/>
                <w:color w:val="auto"/>
              </w:rPr>
              <w:t>/ Container Store / Ulta</w:t>
            </w: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Courthouse Center</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6,485</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23.86</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Falls Plaza/Falls Plaza-</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13,948</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10</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144,000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34.70</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51,000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35"/>
        </w:trPr>
        <w:tc>
          <w:tcPr>
            <w:tcW w:w="13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East</w:t>
            </w: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Federal Plaza</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70,256</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250,000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36.67</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Trader Joe's</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TJ Maxx / Micro Center / Ross Dress For</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Less</w:t>
            </w: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Free State Shopping</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65,510</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264,000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19.38</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73,000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w w:val="96"/>
              </w:rPr>
              <w:t>TJ Maxx / Ross Dress For Less / Office</w:t>
            </w:r>
          </w:p>
        </w:tc>
      </w:tr>
      <w:tr>
        <w:trPr>
          <w:trHeight w:val="135"/>
        </w:trPr>
        <w:tc>
          <w:tcPr>
            <w:tcW w:w="13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Center</w:t>
            </w: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ind w:left="60"/>
              <w:spacing w:after="0" w:line="135" w:lineRule="exact"/>
              <w:rPr>
                <w:sz w:val="20"/>
                <w:szCs w:val="20"/>
                <w:color w:val="auto"/>
              </w:rPr>
            </w:pPr>
            <w:r>
              <w:rPr>
                <w:rFonts w:ascii="Arial" w:cs="Arial" w:eastAsia="Arial" w:hAnsi="Arial"/>
                <w:sz w:val="13"/>
                <w:szCs w:val="13"/>
                <w:color w:val="auto"/>
              </w:rPr>
              <w:t>Depot</w:t>
            </w: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38,109</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119,000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30.13</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Nordstrom Rack / DSW /</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Maggiano's</w:t>
            </w: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28,688</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16</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208,000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28.30</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w w:val="99"/>
              </w:rPr>
              <w:t>Bed, Bath &amp; Beyond / Ross Dress For</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ind w:left="60"/>
              <w:spacing w:after="0" w:line="135" w:lineRule="exact"/>
              <w:rPr>
                <w:sz w:val="20"/>
                <w:szCs w:val="20"/>
                <w:color w:val="auto"/>
              </w:rPr>
            </w:pPr>
            <w:r>
              <w:rPr>
                <w:rFonts w:ascii="Arial" w:cs="Arial" w:eastAsia="Arial" w:hAnsi="Arial"/>
                <w:sz w:val="13"/>
                <w:szCs w:val="13"/>
                <w:color w:val="auto"/>
              </w:rPr>
              <w:t>Less / Ashley Furniture HomeStore</w:t>
            </w: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35,610</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177,000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31.22</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Idylwood Plaza</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17,087</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48.32</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30,000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w w:val="93"/>
              </w:rPr>
              <w:t>Whole Foods</w:t>
            </w:r>
          </w:p>
        </w:tc>
        <w:tc>
          <w:tcPr>
            <w:tcW w:w="22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57,826</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389,000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22.84</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L.A. Fitness</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Leesburg Plaza</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36,824</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236,000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23.39</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rPr>
              <w:t>Petsmart / Gold's Gym / Office Depot</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4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161,985</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69,310</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367,000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31.55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Marshalls / Old Navy / Barnes &amp; Noble /</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Bob's Discount Furniture</w:t>
            </w: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420" w:type="dxa"/>
            <w:vAlign w:val="bottom"/>
          </w:tcPr>
          <w:p>
            <w:pPr>
              <w:jc w:val="right"/>
              <w:ind w:right="97"/>
              <w:spacing w:after="0" w:line="148" w:lineRule="exact"/>
              <w:rPr>
                <w:sz w:val="20"/>
                <w:szCs w:val="20"/>
                <w:color w:val="auto"/>
              </w:rPr>
            </w:pPr>
            <w:r>
              <w:rPr>
                <w:rFonts w:ascii="Arial" w:cs="Arial" w:eastAsia="Arial" w:hAnsi="Arial"/>
                <w:sz w:val="13"/>
                <w:szCs w:val="13"/>
                <w:color w:val="auto"/>
              </w:rPr>
              <w:t>(6)</w:t>
            </w: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85,190</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570,000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18.41</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Shoppers</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136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Valley/7770 Richmond</w:t>
            </w: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Food</w:t>
            </w:r>
          </w:p>
        </w:tc>
        <w:tc>
          <w:tcPr>
            <w:tcW w:w="2260" w:type="dxa"/>
            <w:vAlign w:val="bottom"/>
          </w:tcPr>
          <w:p>
            <w:pPr>
              <w:ind w:left="60"/>
              <w:spacing w:after="0" w:line="135" w:lineRule="exact"/>
              <w:rPr>
                <w:sz w:val="20"/>
                <w:szCs w:val="20"/>
                <w:color w:val="auto"/>
              </w:rPr>
            </w:pPr>
            <w:r>
              <w:rPr>
                <w:rFonts w:ascii="Arial" w:cs="Arial" w:eastAsia="Arial" w:hAnsi="Arial"/>
                <w:sz w:val="13"/>
                <w:szCs w:val="13"/>
                <w:color w:val="auto"/>
              </w:rPr>
              <w:t>Beyond / Results Fitness</w:t>
            </w:r>
          </w:p>
        </w:tc>
      </w:tr>
      <w:tr>
        <w:trPr>
          <w:trHeight w:val="168"/>
        </w:trPr>
        <w:tc>
          <w:tcPr>
            <w:tcW w:w="1360" w:type="dxa"/>
            <w:vAlign w:val="bottom"/>
            <w:gridSpan w:val="2"/>
          </w:tcPr>
          <w:p>
            <w:pPr>
              <w:ind w:left="40"/>
              <w:spacing w:after="0"/>
              <w:rPr>
                <w:sz w:val="20"/>
                <w:szCs w:val="20"/>
                <w:color w:val="auto"/>
              </w:rPr>
            </w:pPr>
            <w:r>
              <w:rPr>
                <w:rFonts w:ascii="Arial" w:cs="Arial" w:eastAsia="Arial" w:hAnsi="Arial"/>
                <w:sz w:val="13"/>
                <w:szCs w:val="13"/>
                <w:color w:val="auto"/>
              </w:rPr>
              <w:t>Hwy</w:t>
            </w: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Warehouse</w:t>
            </w: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8,787</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40.69</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Whole Foods</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 / Planet Fitness</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Pan Am</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29,515</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25</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226,000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25.99</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Safeway</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rPr>
              <w:t>Micro Center / CVS / Michaels</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106,303</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298,000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36.37</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Harris Teeter</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TJ Maxx / Bed, Bath &amp; Beyond / DSW</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Pike &amp; Rose</w:t>
            </w:r>
          </w:p>
        </w:tc>
        <w:tc>
          <w:tcPr>
            <w:tcW w:w="420" w:type="dxa"/>
            <w:vAlign w:val="bottom"/>
          </w:tcPr>
          <w:p>
            <w:pPr>
              <w:jc w:val="right"/>
              <w:ind w:right="97"/>
              <w:spacing w:after="0" w:line="148" w:lineRule="exact"/>
              <w:rPr>
                <w:sz w:val="20"/>
                <w:szCs w:val="20"/>
                <w:color w:val="auto"/>
              </w:rPr>
            </w:pPr>
            <w:r>
              <w:rPr>
                <w:rFonts w:ascii="Arial" w:cs="Arial" w:eastAsia="Arial" w:hAnsi="Arial"/>
                <w:sz w:val="13"/>
                <w:szCs w:val="13"/>
                <w:color w:val="auto"/>
              </w:rPr>
              <w:t>(5)</w:t>
            </w: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566,728</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441,000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39.67</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765</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rPr>
              <w:t>iPic Theater / Porsche / Uniqlo / REI /</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ind w:left="60"/>
              <w:spacing w:after="0" w:line="135" w:lineRule="exact"/>
              <w:rPr>
                <w:sz w:val="20"/>
                <w:szCs w:val="20"/>
                <w:color w:val="auto"/>
              </w:rPr>
            </w:pPr>
            <w:r>
              <w:rPr>
                <w:rFonts w:ascii="Arial" w:cs="Arial" w:eastAsia="Arial" w:hAnsi="Arial"/>
                <w:sz w:val="13"/>
                <w:szCs w:val="13"/>
                <w:color w:val="auto"/>
              </w:rPr>
              <w:t>Pinstripes / Multiple Restaurants</w:t>
            </w: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48,043</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168,000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47.82</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TJ Maxx / DSW / Crunch Fitness / Staples</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Plaza del Mercado</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46,563</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10</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117,000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30.74</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18,000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Aldi</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Quince Orchard</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39,462</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267,000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24.13</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19,000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Aldi</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 / L.A. Fitness / Staples</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7"/>
              </w:rPr>
              <w:t>Rockville Town Square</w:t>
            </w:r>
          </w:p>
        </w:tc>
        <w:tc>
          <w:tcPr>
            <w:tcW w:w="420" w:type="dxa"/>
            <w:vAlign w:val="bottom"/>
          </w:tcPr>
          <w:p>
            <w:pPr>
              <w:jc w:val="right"/>
              <w:ind w:right="97"/>
              <w:spacing w:after="0" w:line="148" w:lineRule="exact"/>
              <w:rPr>
                <w:sz w:val="20"/>
                <w:szCs w:val="20"/>
                <w:color w:val="auto"/>
              </w:rPr>
            </w:pPr>
            <w:r>
              <w:rPr>
                <w:rFonts w:ascii="Arial" w:cs="Arial" w:eastAsia="Arial" w:hAnsi="Arial"/>
                <w:sz w:val="13"/>
                <w:szCs w:val="13"/>
                <w:color w:val="auto"/>
              </w:rPr>
              <w:t>(7)</w:t>
            </w: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52,191</w:t>
            </w:r>
          </w:p>
        </w:tc>
        <w:tc>
          <w:tcPr>
            <w:tcW w:w="680" w:type="dxa"/>
            <w:vAlign w:val="bottom"/>
          </w:tcPr>
          <w:p>
            <w:pPr>
              <w:jc w:val="right"/>
              <w:ind w:right="59"/>
              <w:spacing w:after="0" w:line="148" w:lineRule="exact"/>
              <w:rPr>
                <w:sz w:val="20"/>
                <w:szCs w:val="20"/>
                <w:color w:val="auto"/>
              </w:rPr>
            </w:pPr>
            <w:r>
              <w:rPr>
                <w:rFonts w:ascii="Arial" w:cs="Arial" w:eastAsia="Arial" w:hAnsi="Arial"/>
                <w:sz w:val="13"/>
                <w:szCs w:val="13"/>
                <w:color w:val="auto"/>
              </w:rPr>
              <w:t>4,436</w:t>
            </w: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186,000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30.82</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Dawson's</w:t>
            </w:r>
          </w:p>
        </w:tc>
        <w:tc>
          <w:tcPr>
            <w:tcW w:w="2260" w:type="dxa"/>
            <w:vAlign w:val="bottom"/>
          </w:tcPr>
          <w:p>
            <w:pPr>
              <w:ind w:left="60"/>
              <w:spacing w:after="0" w:line="148" w:lineRule="exact"/>
              <w:rPr>
                <w:sz w:val="20"/>
                <w:szCs w:val="20"/>
                <w:color w:val="auto"/>
              </w:rPr>
            </w:pPr>
            <w:r>
              <w:rPr>
                <w:rFonts w:ascii="Arial" w:cs="Arial" w:eastAsia="Arial" w:hAnsi="Arial"/>
                <w:sz w:val="13"/>
                <w:szCs w:val="13"/>
                <w:color w:val="auto"/>
                <w:w w:val="92"/>
              </w:rPr>
              <w:t>CVS / Gold's Gym / Multiple Restaurants</w:t>
            </w: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Market</w:t>
            </w: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Rollingwood</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11,100</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20,331</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N/A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r>
      <w:tr>
        <w:trPr>
          <w:trHeight w:val="135"/>
        </w:trPr>
        <w:tc>
          <w:tcPr>
            <w:tcW w:w="13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Apartments</w:t>
            </w: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148"/>
        </w:trPr>
        <w:tc>
          <w:tcPr>
            <w:tcW w:w="13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Sam's Park &amp; Shop</w:t>
            </w:r>
          </w:p>
        </w:tc>
        <w:tc>
          <w:tcPr>
            <w:tcW w:w="420" w:type="dxa"/>
            <w:vAlign w:val="bottom"/>
          </w:tcPr>
          <w:p>
            <w:pPr>
              <w:spacing w:after="0"/>
              <w:rPr>
                <w:sz w:val="12"/>
                <w:szCs w:val="12"/>
                <w:color w:val="auto"/>
              </w:rPr>
            </w:pPr>
          </w:p>
        </w:tc>
        <w:tc>
          <w:tcPr>
            <w:tcW w:w="138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0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13,856</w:t>
            </w:r>
          </w:p>
        </w:tc>
        <w:tc>
          <w:tcPr>
            <w:tcW w:w="68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39.79</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3"/>
                <w:szCs w:val="13"/>
                <w:color w:val="auto"/>
              </w:rPr>
              <w:t>WV</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Tower Shopping Center</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Washington-Arlington-</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22,087</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112,000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26,000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Mart</w:t>
            </w:r>
          </w:p>
        </w:tc>
        <w:tc>
          <w:tcPr>
            <w:tcW w:w="2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Talbots / Total Wine &amp; More</w:t>
            </w:r>
          </w:p>
        </w:tc>
      </w:tr>
      <w:tr>
        <w:trPr>
          <w:trHeight w:val="135"/>
        </w:trPr>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Alexandria, DC-VA-MD-</w:t>
            </w: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WV</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02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027"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2"/>
              </w:rPr>
              <w:t>Grocery</w:t>
            </w:r>
          </w:p>
        </w:tc>
        <w:tc>
          <w:tcPr>
            <w:tcW w:w="8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20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70"/>
        </w:trPr>
        <w:tc>
          <w:tcPr>
            <w:tcW w:w="1340" w:type="dxa"/>
            <w:vAlign w:val="bottom"/>
            <w:gridSpan w:val="3"/>
          </w:tcPr>
          <w:p>
            <w:pPr>
              <w:ind w:left="40"/>
              <w:spacing w:after="0"/>
              <w:rPr>
                <w:sz w:val="20"/>
                <w:szCs w:val="20"/>
                <w:color w:val="auto"/>
              </w:rPr>
            </w:pPr>
            <w:r>
              <w:rPr>
                <w:rFonts w:ascii="Arial" w:cs="Arial" w:eastAsia="Arial" w:hAnsi="Arial"/>
                <w:sz w:val="13"/>
                <w:szCs w:val="13"/>
                <w:color w:val="auto"/>
              </w:rPr>
              <w:t>Tyson's Station</w:t>
            </w: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Washington-Arlington-</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4,731</w:t>
            </w:r>
          </w:p>
        </w:tc>
        <w:tc>
          <w:tcPr>
            <w:tcW w:w="6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50,000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87%</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46.40</w:t>
            </w:r>
          </w:p>
        </w:tc>
        <w:tc>
          <w:tcPr>
            <w:tcW w:w="7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auto"/>
              </w:rPr>
              <w:t>11,000</w:t>
            </w:r>
          </w:p>
        </w:tc>
        <w:tc>
          <w:tcPr>
            <w:tcW w:w="800" w:type="dxa"/>
            <w:vAlign w:val="bottom"/>
          </w:tcPr>
          <w:p>
            <w:pPr>
              <w:ind w:left="20"/>
              <w:spacing w:after="0"/>
              <w:rPr>
                <w:sz w:val="20"/>
                <w:szCs w:val="20"/>
                <w:color w:val="auto"/>
              </w:rPr>
            </w:pPr>
            <w:r>
              <w:rPr>
                <w:rFonts w:ascii="Arial" w:cs="Arial" w:eastAsia="Arial" w:hAnsi="Arial"/>
                <w:sz w:val="13"/>
                <w:szCs w:val="13"/>
                <w:color w:val="auto"/>
              </w:rPr>
              <w:t>Trader Joe's</w:t>
            </w:r>
          </w:p>
        </w:tc>
        <w:tc>
          <w:tcPr>
            <w:tcW w:w="2200" w:type="dxa"/>
            <w:vAlign w:val="bottom"/>
          </w:tcPr>
          <w:p>
            <w:pPr>
              <w:spacing w:after="0"/>
              <w:rPr>
                <w:sz w:val="14"/>
                <w:szCs w:val="14"/>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ind w:left="80"/>
              <w:spacing w:after="0" w:line="135" w:lineRule="exact"/>
              <w:rPr>
                <w:sz w:val="20"/>
                <w:szCs w:val="20"/>
                <w:color w:val="auto"/>
              </w:rPr>
            </w:pPr>
            <w:r>
              <w:rPr>
                <w:rFonts w:ascii="Arial" w:cs="Arial" w:eastAsia="Arial" w:hAnsi="Arial"/>
                <w:sz w:val="13"/>
                <w:szCs w:val="13"/>
                <w:color w:val="auto"/>
                <w:w w:val="99"/>
              </w:rPr>
              <w:t>Alexandria, DC-VA-MD-</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WV</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Village at Shirlington</w:t>
            </w:r>
          </w:p>
        </w:tc>
        <w:tc>
          <w:tcPr>
            <w:tcW w:w="18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(7)   Washington-Arlington-</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66,353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6,704</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38.58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28,000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Harris Teeter</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AMC / Carlyle Grand Café</w:t>
            </w:r>
          </w:p>
        </w:tc>
      </w:tr>
      <w:tr>
        <w:trPr>
          <w:trHeight w:val="135"/>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9"/>
              </w:rPr>
              <w:t>Alexandria, DC-VA-MD-</w:t>
            </w: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WV</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Wildwood</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rPr>
              <w:t>Washington-Arlington-</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24,369</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48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0"/>
              </w:rPr>
              <w:t>103.39</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20,000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Balducci's</w:t>
            </w: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CVS / Multiple Restaurants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ind w:left="80"/>
              <w:spacing w:after="0" w:line="135" w:lineRule="exact"/>
              <w:rPr>
                <w:sz w:val="20"/>
                <w:szCs w:val="20"/>
                <w:color w:val="auto"/>
              </w:rPr>
            </w:pPr>
            <w:r>
              <w:rPr>
                <w:rFonts w:ascii="Arial" w:cs="Arial" w:eastAsia="Arial" w:hAnsi="Arial"/>
                <w:sz w:val="13"/>
                <w:szCs w:val="13"/>
                <w:color w:val="auto"/>
                <w:w w:val="99"/>
              </w:rPr>
              <w:t>Alexandria, DC-VA-MD-</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WV</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Total Washington Metropolitan Area</w:t>
            </w: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w w:val="89"/>
              </w:rPr>
              <w:t>2,035,793</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451</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6,161,000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35.03</w:t>
            </w: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rPr>
              <w:t>California</w:t>
            </w:r>
          </w:p>
        </w:tc>
        <w:tc>
          <w:tcPr>
            <w:tcW w:w="6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Azalea</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107,451</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40,000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27.95</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96"/>
              </w:rPr>
              <w:t>Marshalls / Ross Dress for Less / Ulta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auto"/>
              </w:rPr>
              <w:t>CVS</w:t>
            </w: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Bell Gardens</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Los Angeles-Long Beach-</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110,533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12,936</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67,000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Food 4 Less</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Marshalls / Ross Dress for Less / Bob's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Furniture</w:t>
            </w: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19,542</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46.85</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San Francisco-Oakland-</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89,885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32,000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Sprouts</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Rite Aid / Total Wine &amp; More</w:t>
            </w:r>
          </w:p>
        </w:tc>
      </w:tr>
      <w:tr>
        <w:trPr>
          <w:trHeight w:val="17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Hayward,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8"/>
              </w:rPr>
              <w:t>San Francisco-Oakland-</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179,033</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18.59</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59,000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Pak-N-Save</w:t>
            </w: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95"/>
              </w:rPr>
              <w:t>Home Depot / Target / Nordstrom Rack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Hayward,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7"/>
              </w:rPr>
              <w:t>Escondido Promenade</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San Diego-Carlsbad, CA</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51,003</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TJ Maxx / Dick’s Sporting Goods / Ross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Dress For Less</w:t>
            </w: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Fourth Street</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8"/>
              </w:rPr>
              <w:t>San Francisco-Oakland-</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23,991</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28.98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CB2 / Ingram Book Group</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Hayward,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Hastings Ranch Plaza</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Los Angeles-Long Beach-</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22,662</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Marshalls / HomeGoods / CVS / Sears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Hermosa Avenue</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6,225</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&lt;1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49.82</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Los Angeles-Long Beach-</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46,712</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 / L.A. Fitness / La La Land</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Jordan Downs Plaza</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(8)</w:t>
            </w: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14,952</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N/A</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N/A</w:t>
            </w:r>
          </w:p>
        </w:tc>
        <w:tc>
          <w:tcPr>
            <w:tcW w:w="5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N/A</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rPr>
              <w:t>N/A</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Kings Court</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87"/>
              </w:rPr>
              <w:t>San Jose-Sunnyvale-Santa</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11,598</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40.29</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31,000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Lunardi's</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Clara,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Old Town Center</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87"/>
              </w:rPr>
              <w:t>San Jose-Sunnyvale-Santa</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35,848</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41.98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95"/>
              </w:rPr>
              <w:t>Anthropologie / Banana Republic / Gap</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Clara,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Olivo at Mission Hills</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Los Angeles-Long Beach-</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76,995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30.71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Target / 24 Hour Fitness / Ross Dress For</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w:t>
            </w: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Plaza Del Sol</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17,936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8,409</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23.32</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Marshalls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Plaza El Segundo / The</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Los Angeles-Long Beach-</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285,914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125,000</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45.49</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66,000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Whole Foods</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Anthropologie / HomeGoods / Dick's</w:t>
            </w:r>
          </w:p>
        </w:tc>
      </w:tr>
      <w:tr>
        <w:trPr>
          <w:trHeight w:val="17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Point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Sporting Goods / Multiple Restaurants</w:t>
            </w: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Plaza Pacoima</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50,365</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18</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14.36</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Costco / Best Buy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San Antonio Center</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87"/>
              </w:rPr>
              <w:t>San Jose-Sunnyvale-Santa</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74,305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11,000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Trader Joe's</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Walmart / Kohl's / 24 Hour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Clara,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Santana Row</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87"/>
              </w:rPr>
              <w:t>San Jose-Sunnyvale-Santa</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961,430</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884,000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53.64</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662</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93"/>
              </w:rPr>
              <w:t>Crate &amp; Barrel / H&amp;M / Container Store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Clara,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auto"/>
              </w:rPr>
              <w:t>Multiple Restaurants</w:t>
            </w: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Sylmar Towne Center</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Los Angeles-Long Beach-</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43,483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17,006</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15.29</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43,000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Food 4 Less</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13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2"/>
              </w:rPr>
              <w:t>Third Street Promenade</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w w:val="92"/>
              </w:rPr>
              <w:t>Los Angeles-Long Beach-</w:t>
            </w:r>
          </w:p>
        </w:tc>
        <w:tc>
          <w:tcPr>
            <w:tcW w:w="6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81,119</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87.34</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91"/>
              </w:rPr>
              <w:t>Adidas / Banana Republic / Old Navy / J.</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Anaheim, CA</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auto"/>
              </w:rPr>
              <w:t>Crew</w:t>
            </w:r>
          </w:p>
        </w:tc>
      </w:tr>
      <w:tr>
        <w:trPr>
          <w:trHeight w:val="156"/>
        </w:trPr>
        <w:tc>
          <w:tcPr>
            <w:tcW w:w="13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87"/>
              </w:rPr>
              <w:t>San Jose-Sunnyvale-Santa</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156,370</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38,000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Walmart</w:t>
            </w:r>
          </w:p>
        </w:tc>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Target / Nordstrom Rack / Nike Factory /</w:t>
            </w:r>
          </w:p>
        </w:tc>
      </w:tr>
      <w:tr>
        <w:trPr>
          <w:trHeight w:val="135"/>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Clara, CA</w:t>
            </w: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3"/>
              </w:rPr>
              <w:t>Neighborhood</w:t>
            </w:r>
          </w:p>
        </w:tc>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TJ Maxx</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w:t>
            </w:r>
          </w:p>
        </w:tc>
        <w:tc>
          <w:tcPr>
            <w:tcW w:w="22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Total California</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w w:val="89"/>
              </w:rPr>
              <w:t>2,467,352</w:t>
            </w:r>
          </w:p>
        </w:tc>
        <w:tc>
          <w:tcPr>
            <w:tcW w:w="6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393</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5,471,000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31.93</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2"/>
              </w:rPr>
              <w:t>Grocery</w:t>
            </w: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240" w:type="dxa"/>
            <w:vAlign w:val="bottom"/>
          </w:tcPr>
          <w:p>
            <w:pPr>
              <w:spacing w:after="0"/>
              <w:rPr>
                <w:sz w:val="11"/>
                <w:szCs w:val="11"/>
                <w:color w:val="auto"/>
              </w:rPr>
            </w:pPr>
          </w:p>
        </w:tc>
      </w:tr>
      <w:tr>
        <w:trPr>
          <w:trHeight w:val="174"/>
        </w:trPr>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Property Name</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b w:val="1"/>
                <w:bCs w:val="1"/>
                <w:color w:val="auto"/>
              </w:rPr>
              <w:t>NY Metro/New Jersey</w:t>
            </w: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8"/>
        </w:trPr>
        <w:tc>
          <w:tcPr>
            <w:tcW w:w="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148"/>
        </w:trPr>
        <w:tc>
          <w:tcPr>
            <w:tcW w:w="1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Brick Plaza</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New York-Newark-Jersey</w:t>
            </w: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85,111</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46</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406,000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22.73</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7"/>
              </w:rPr>
              <w:t>AMC / HomeGoods / Ulta / L.A. Fitness</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Brook 35</w:t>
            </w:r>
          </w:p>
        </w:tc>
        <w:tc>
          <w:tcPr>
            <w:tcW w:w="640" w:type="dxa"/>
            <w:vAlign w:val="bottom"/>
            <w:gridSpan w:val="2"/>
          </w:tcPr>
          <w:p>
            <w:pPr>
              <w:jc w:val="center"/>
              <w:ind w:left="157"/>
              <w:spacing w:after="0" w:line="148" w:lineRule="exact"/>
              <w:rPr>
                <w:sz w:val="20"/>
                <w:szCs w:val="20"/>
                <w:color w:val="auto"/>
              </w:rPr>
            </w:pPr>
            <w:r>
              <w:rPr>
                <w:rFonts w:ascii="Arial" w:cs="Arial" w:eastAsia="Arial" w:hAnsi="Arial"/>
                <w:sz w:val="13"/>
                <w:szCs w:val="13"/>
                <w:color w:val="auto"/>
                <w:w w:val="95"/>
              </w:rPr>
              <w:t>(4) (6)</w:t>
            </w: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New York-Newark-Jersey</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48,031</w:t>
            </w:r>
          </w:p>
        </w:tc>
        <w:tc>
          <w:tcPr>
            <w:tcW w:w="6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11,500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36.72</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w w:val="89"/>
              </w:rPr>
              <w:t>Banana Republic / Gap / Williams-Sonoma</w:t>
            </w: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Bridgeport-Stamford-</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54,169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Stop &amp; Shop</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 / Walgreens</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Norwalk, CT</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Fresh Meadows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New York-Newark-Jersey</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91,602</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34.47</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15,000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w w:val="94"/>
              </w:rPr>
              <w:t>Island of Gold</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rPr>
              <w:t>AMC / Kohl's / Michaels</w:t>
            </w: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New York-Newark-Jersey</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31,839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46,000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Greenlawn</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Tuesday Morning</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Farms</w:t>
            </w: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Greenwich Avenue</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Bridgeport-Stamford-</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14,127</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70.15</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Norwalk, CT</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New York-Newark-Jersey</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29,178</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61,000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Shop Rite</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 Moore</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Huntington</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New York-Newark-Jersey</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46,739</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24.35</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rPr>
              <w:t>Nordstrom Rack / Buy Buy Baby /</w:t>
            </w: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Arial" w:cs="Arial" w:eastAsia="Arial" w:hAnsi="Arial"/>
                <w:sz w:val="13"/>
                <w:szCs w:val="13"/>
                <w:color w:val="auto"/>
              </w:rPr>
              <w:t>Michaels / Petsmart</w:t>
            </w: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Huntington Square</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New York-Newark-Jersey</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12,823</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Melville Mall</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New York-Newark-Jersey</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91,989</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26.23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53,000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Uncle</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w w:val="94"/>
              </w:rPr>
              <w:t>Marshalls / Dick's Sporting Goods / Field</w:t>
            </w: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City, NY-NJ-PA</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3"/>
                <w:szCs w:val="13"/>
                <w:color w:val="auto"/>
              </w:rPr>
              <w:t>Giuseppe's</w:t>
            </w:r>
          </w:p>
        </w:tc>
        <w:tc>
          <w:tcPr>
            <w:tcW w:w="2240" w:type="dxa"/>
            <w:vAlign w:val="bottom"/>
          </w:tcPr>
          <w:p>
            <w:pPr>
              <w:ind w:left="20"/>
              <w:spacing w:after="0" w:line="135" w:lineRule="exact"/>
              <w:rPr>
                <w:sz w:val="20"/>
                <w:szCs w:val="20"/>
                <w:color w:val="auto"/>
              </w:rPr>
            </w:pPr>
            <w:r>
              <w:rPr>
                <w:rFonts w:ascii="Arial" w:cs="Arial" w:eastAsia="Arial" w:hAnsi="Arial"/>
                <w:sz w:val="13"/>
                <w:szCs w:val="13"/>
                <w:color w:val="auto"/>
              </w:rPr>
              <w:t>&amp; Stream / Macy's Backstage</w:t>
            </w: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Marketplace</w:t>
            </w: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640" w:type="dxa"/>
            <w:vAlign w:val="bottom"/>
            <w:gridSpan w:val="2"/>
            <w:shd w:val="clear" w:color="auto" w:fill="CCEEFF"/>
          </w:tcPr>
          <w:p>
            <w:pPr>
              <w:jc w:val="center"/>
              <w:ind w:left="157"/>
              <w:spacing w:after="0"/>
              <w:rPr>
                <w:sz w:val="20"/>
                <w:szCs w:val="20"/>
                <w:color w:val="auto"/>
              </w:rPr>
            </w:pPr>
            <w:r>
              <w:rPr>
                <w:rFonts w:ascii="Arial" w:cs="Arial" w:eastAsia="Arial" w:hAnsi="Arial"/>
                <w:sz w:val="13"/>
                <w:szCs w:val="13"/>
                <w:color w:val="auto"/>
                <w:w w:val="87"/>
              </w:rPr>
              <w:t>(7)</w:t>
            </w: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Trenton, NJ</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128,186</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55,472</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24.53</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75,000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Shop Rite</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Ross Dress For Less / Nordstrom Rack /</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Bed, Bath &amp; Beyond / REI</w:t>
            </w: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The Grove at</w:t>
            </w:r>
          </w:p>
        </w:tc>
        <w:tc>
          <w:tcPr>
            <w:tcW w:w="640" w:type="dxa"/>
            <w:vAlign w:val="bottom"/>
            <w:gridSpan w:val="2"/>
          </w:tcPr>
          <w:p>
            <w:pPr>
              <w:jc w:val="center"/>
              <w:ind w:left="157"/>
              <w:spacing w:after="0" w:line="148" w:lineRule="exact"/>
              <w:rPr>
                <w:sz w:val="20"/>
                <w:szCs w:val="20"/>
                <w:color w:val="auto"/>
              </w:rPr>
            </w:pPr>
            <w:r>
              <w:rPr>
                <w:rFonts w:ascii="Arial" w:cs="Arial" w:eastAsia="Arial" w:hAnsi="Arial"/>
                <w:sz w:val="13"/>
                <w:szCs w:val="13"/>
                <w:color w:val="auto"/>
                <w:w w:val="95"/>
              </w:rPr>
              <w:t>(4) (6)</w:t>
            </w: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New York-Newark-Jersey</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w w:val="93"/>
              </w:rPr>
              <w:t>125,354</w:t>
            </w:r>
          </w:p>
        </w:tc>
        <w:tc>
          <w:tcPr>
            <w:tcW w:w="6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43,600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46.88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w w:val="93"/>
              </w:rPr>
              <w:t>Lululemon / Anthropologie / Pottery Barn</w:t>
            </w:r>
          </w:p>
        </w:tc>
      </w:tr>
      <w:tr>
        <w:trPr>
          <w:trHeight w:val="168"/>
        </w:trPr>
        <w:tc>
          <w:tcPr>
            <w:tcW w:w="1120" w:type="dxa"/>
            <w:vAlign w:val="bottom"/>
            <w:gridSpan w:val="2"/>
          </w:tcPr>
          <w:p>
            <w:pPr>
              <w:ind w:left="40"/>
              <w:spacing w:after="0"/>
              <w:rPr>
                <w:sz w:val="20"/>
                <w:szCs w:val="20"/>
                <w:color w:val="auto"/>
              </w:rPr>
            </w:pPr>
            <w:r>
              <w:rPr>
                <w:rFonts w:ascii="Arial" w:cs="Arial" w:eastAsia="Arial" w:hAnsi="Arial"/>
                <w:sz w:val="13"/>
                <w:szCs w:val="13"/>
                <w:color w:val="auto"/>
              </w:rPr>
              <w:t>Shrewsbury</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Arial" w:cs="Arial" w:eastAsia="Arial" w:hAnsi="Arial"/>
                <w:sz w:val="13"/>
                <w:szCs w:val="13"/>
                <w:color w:val="auto"/>
              </w:rPr>
              <w:t>/ Williams-Sonoma</w:t>
            </w: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Troy Hills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New York-Newark-Jersey</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39,293</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22.48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Target / L.A. Fitness / Michaels</w:t>
            </w: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 NY-NJ-PA</w:t>
            </w: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Total NY Metro/New Jersey</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w w:val="93"/>
              </w:rPr>
              <w:t>798,441</w:t>
            </w:r>
          </w:p>
        </w:tc>
        <w:tc>
          <w:tcPr>
            <w:tcW w:w="6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262</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2,835,000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28.89</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52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3160" w:type="dxa"/>
            <w:vAlign w:val="bottom"/>
            <w:gridSpan w:val="5"/>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148"/>
        </w:trPr>
        <w:tc>
          <w:tcPr>
            <w:tcW w:w="1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Andorra</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Philadelphia-Camden-</w:t>
            </w: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25,635</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22</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14.38</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24,000</w:t>
            </w:r>
          </w:p>
        </w:tc>
        <w:tc>
          <w:tcPr>
            <w:tcW w:w="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Acme</w:t>
            </w:r>
          </w:p>
        </w:tc>
        <w:tc>
          <w:tcPr>
            <w:tcW w:w="2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Kohl's / L.A. Fitness / Staples</w:t>
            </w:r>
          </w:p>
        </w:tc>
      </w:tr>
      <w:tr>
        <w:trPr>
          <w:trHeight w:val="135"/>
        </w:trPr>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Markets</w:t>
            </w:r>
          </w:p>
        </w:tc>
        <w:tc>
          <w:tcPr>
            <w:tcW w:w="22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Bala Cynwyd</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Philadelphia-Camden-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43,601</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23</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25.02</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45,000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Acme</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rPr>
              <w:t>Lord &amp; Taylor / Michaels / L.A. Fitness</w:t>
            </w: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3"/>
                <w:szCs w:val="13"/>
                <w:color w:val="auto"/>
              </w:rPr>
              <w:t>Markets</w:t>
            </w:r>
          </w:p>
        </w:tc>
        <w:tc>
          <w:tcPr>
            <w:tcW w:w="22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Ellisburg</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Philadelphia-Camden-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34,214</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47,000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Whole Foods</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Buy Buy Baby / Stein Mart</w:t>
            </w:r>
          </w:p>
        </w:tc>
      </w:tr>
      <w:tr>
        <w:trPr>
          <w:trHeight w:val="135"/>
        </w:trPr>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Flourtown</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Philadelphia-Camden-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16,987</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22.15</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75,000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rPr>
              <w:t>Movie Tavern</w:t>
            </w: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Langhorne Square</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Philadelphia-Camden-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22,436</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Redner's</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 / Planet Fitness</w:t>
            </w:r>
          </w:p>
        </w:tc>
      </w:tr>
      <w:tr>
        <w:trPr>
          <w:trHeight w:val="135"/>
        </w:trPr>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Warehouse</w:t>
            </w:r>
          </w:p>
        </w:tc>
        <w:tc>
          <w:tcPr>
            <w:tcW w:w="22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Mkts.</w:t>
            </w: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Lawrence Park</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Philadelphia-Camden-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33,213</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21.60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53,000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Acme</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w w:val="93"/>
              </w:rPr>
              <w:t>TJ Maxx / HomeGoods / Barnes &amp; Noble</w:t>
            </w: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3"/>
                <w:szCs w:val="13"/>
                <w:color w:val="auto"/>
              </w:rPr>
              <w:t>Markets</w:t>
            </w:r>
          </w:p>
        </w:tc>
        <w:tc>
          <w:tcPr>
            <w:tcW w:w="22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Northeast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Philadelphia-Camden-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33,735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Marshalls / Burlington / Ulta / A.C. Moore</w:t>
            </w:r>
          </w:p>
        </w:tc>
      </w:tr>
      <w:tr>
        <w:trPr>
          <w:trHeight w:val="135"/>
        </w:trPr>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9"/>
              </w:rPr>
              <w:t>Town Center of New</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Philadelphia-Camden-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15,367</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10.04</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36,000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rPr>
              <w:t>Rite Aid / Dollar Tree</w:t>
            </w:r>
          </w:p>
        </w:tc>
      </w:tr>
      <w:tr>
        <w:trPr>
          <w:trHeight w:val="135"/>
        </w:trPr>
        <w:tc>
          <w:tcPr>
            <w:tcW w:w="11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Britain</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56"/>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Willow Grove</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Philadelphia-Camden-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30,259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Marshalls / HomeGoods / Barnes &amp; Noble</w:t>
            </w:r>
          </w:p>
        </w:tc>
      </w:tr>
      <w:tr>
        <w:trPr>
          <w:trHeight w:val="135"/>
        </w:trPr>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48"/>
        </w:trPr>
        <w:tc>
          <w:tcPr>
            <w:tcW w:w="11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Wynnewood</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Philadelphia-Camden-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42,923</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28.14</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98,000</w:t>
            </w:r>
          </w:p>
        </w:tc>
        <w:tc>
          <w:tcPr>
            <w:tcW w:w="80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40" w:type="dxa"/>
            <w:vAlign w:val="bottom"/>
          </w:tcPr>
          <w:p>
            <w:pPr>
              <w:ind w:left="20"/>
              <w:spacing w:after="0" w:line="148" w:lineRule="exact"/>
              <w:rPr>
                <w:sz w:val="20"/>
                <w:szCs w:val="20"/>
                <w:color w:val="auto"/>
              </w:rPr>
            </w:pPr>
            <w:r>
              <w:rPr>
                <w:rFonts w:ascii="Arial" w:cs="Arial" w:eastAsia="Arial" w:hAnsi="Arial"/>
                <w:sz w:val="13"/>
                <w:szCs w:val="13"/>
                <w:color w:val="auto"/>
                <w:w w:val="98"/>
              </w:rPr>
              <w:t>Bed, Bath &amp; Beyond / Old Navy / DSW</w:t>
            </w: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Wilmington, PA-NJ-DE-</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MD</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0"/>
              </w:rPr>
              <w:t>Total Philadelphia Metropolitan Area</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298,370</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2,462,000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19.92</w:t>
            </w: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43"/>
        </w:trPr>
        <w:tc>
          <w:tcPr>
            <w:tcW w:w="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7"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Anchor</w:t>
            </w: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13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319"/>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49"/>
        </w:trPr>
        <w:tc>
          <w:tcPr>
            <w:tcW w:w="40" w:type="dxa"/>
            <w:vAlign w:val="bottom"/>
            <w:shd w:val="clear" w:color="auto" w:fill="CCEEFF"/>
          </w:tcPr>
          <w:p>
            <w:pPr>
              <w:spacing w:after="0"/>
              <w:rPr>
                <w:sz w:val="12"/>
                <w:szCs w:val="12"/>
                <w:color w:val="auto"/>
              </w:rPr>
            </w:pPr>
          </w:p>
        </w:tc>
        <w:tc>
          <w:tcPr>
            <w:tcW w:w="12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Assembly Row /</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w w:val="93"/>
              </w:rPr>
              <w:t>700,563</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28.07</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447</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18,000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5"/>
              </w:rPr>
              <w:t>TJ Maxx / AMC / LEGOLAND Discovery</w:t>
            </w:r>
          </w:p>
        </w:tc>
      </w:tr>
      <w:tr>
        <w:trPr>
          <w:trHeight w:val="135"/>
        </w:trPr>
        <w:tc>
          <w:tcPr>
            <w:tcW w:w="1320" w:type="dxa"/>
            <w:vAlign w:val="bottom"/>
            <w:gridSpan w:val="6"/>
          </w:tcPr>
          <w:p>
            <w:pPr>
              <w:ind w:left="40"/>
              <w:spacing w:after="0" w:line="135" w:lineRule="exact"/>
              <w:rPr>
                <w:sz w:val="20"/>
                <w:szCs w:val="20"/>
                <w:color w:val="auto"/>
              </w:rPr>
            </w:pPr>
            <w:r>
              <w:rPr>
                <w:rFonts w:ascii="Arial" w:cs="Arial" w:eastAsia="Arial" w:hAnsi="Arial"/>
                <w:sz w:val="13"/>
                <w:szCs w:val="13"/>
                <w:color w:val="auto"/>
              </w:rPr>
              <w:t>Assembly Square</w:t>
            </w:r>
          </w:p>
        </w:tc>
        <w:tc>
          <w:tcPr>
            <w:tcW w:w="440" w:type="dxa"/>
            <w:vAlign w:val="bottom"/>
          </w:tcPr>
          <w:p>
            <w:pPr>
              <w:spacing w:after="0"/>
              <w:rPr>
                <w:sz w:val="11"/>
                <w:szCs w:val="11"/>
                <w:color w:val="auto"/>
              </w:rPr>
            </w:pPr>
          </w:p>
        </w:tc>
        <w:tc>
          <w:tcPr>
            <w:tcW w:w="1440" w:type="dxa"/>
            <w:vAlign w:val="bottom"/>
          </w:tcPr>
          <w:p>
            <w:pPr>
              <w:ind w:left="40"/>
              <w:spacing w:after="0" w:line="135" w:lineRule="exact"/>
              <w:rPr>
                <w:sz w:val="20"/>
                <w:szCs w:val="20"/>
                <w:color w:val="auto"/>
              </w:rPr>
            </w:pPr>
            <w:r>
              <w:rPr>
                <w:rFonts w:ascii="Arial" w:cs="Arial" w:eastAsia="Arial" w:hAnsi="Arial"/>
                <w:sz w:val="13"/>
                <w:szCs w:val="13"/>
                <w:color w:val="auto"/>
              </w:rPr>
              <w:t>Newton, MA-NH</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w w:val="97"/>
              </w:rPr>
              <w:t>Center / Multiple Restaurants &amp; Outlets</w:t>
            </w:r>
          </w:p>
        </w:tc>
      </w:tr>
      <w:tr>
        <w:trPr>
          <w:trHeight w:val="168"/>
        </w:trPr>
        <w:tc>
          <w:tcPr>
            <w:tcW w:w="1320" w:type="dxa"/>
            <w:vAlign w:val="bottom"/>
            <w:gridSpan w:val="6"/>
          </w:tcPr>
          <w:p>
            <w:pPr>
              <w:ind w:left="40"/>
              <w:spacing w:after="0"/>
              <w:rPr>
                <w:sz w:val="20"/>
                <w:szCs w:val="20"/>
                <w:color w:val="auto"/>
              </w:rPr>
            </w:pPr>
            <w:r>
              <w:rPr>
                <w:rFonts w:ascii="Arial" w:cs="Arial" w:eastAsia="Arial" w:hAnsi="Arial"/>
                <w:sz w:val="13"/>
                <w:szCs w:val="13"/>
                <w:color w:val="auto"/>
              </w:rPr>
              <w:t>Marketplace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30,436</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46,000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Roche Bros.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Newton, MA-NH</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29,781</w:t>
            </w:r>
          </w:p>
        </w:tc>
        <w:tc>
          <w:tcPr>
            <w:tcW w:w="6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5,941</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12.71</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Newton, MA-NH</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42,684</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80,000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Star Market</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Planet Fitness</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Newton, MA-NH</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Linden Square</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w w:val="93"/>
              </w:rPr>
              <w:t>149,565</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48.75</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Roche Bros.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Newton, MA-NH</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Providence-Warwick, RI-</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9,369</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Stop &amp; Shop</w:t>
            </w:r>
          </w:p>
        </w:tc>
        <w:tc>
          <w:tcPr>
            <w:tcW w:w="2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18,301</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17.82</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Big Y Foods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Newton, MA-NH</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15,724</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Super Stop &amp;</w:t>
            </w:r>
          </w:p>
        </w:tc>
        <w:tc>
          <w:tcPr>
            <w:tcW w:w="2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Newton, MA-NH</w:t>
            </w: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Shop</w:t>
            </w:r>
          </w:p>
        </w:tc>
        <w:tc>
          <w:tcPr>
            <w:tcW w:w="22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Total New England</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w w:val="93"/>
              </w:rPr>
              <w:t>996,423</w:t>
            </w:r>
          </w:p>
        </w:tc>
        <w:tc>
          <w:tcPr>
            <w:tcW w:w="6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215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2,053,000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24.85</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8"/>
        </w:trPr>
        <w:tc>
          <w:tcPr>
            <w:tcW w:w="13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CocoWalk</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(4) (9)</w:t>
            </w: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Miami-Fort Lauderdale-</w:t>
            </w: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w w:val="93"/>
              </w:rPr>
              <w:t>130,312</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26.48</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Gap / Cinepolis Theaters / Youfit Health</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West Palm Beach, FL</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Club</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Del Mar Village</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Miami-Fort Lauderdale-</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70,974</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18.53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44,000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Winn Dixie</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West Palm Beach, FL</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The Shops at Sunset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Miami-Fort Lauderdale-</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124,428</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64,453</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L.A. Fitness / Barnes &amp; Noble /</w:t>
            </w:r>
          </w:p>
        </w:tc>
      </w:tr>
      <w:tr>
        <w:trPr>
          <w:trHeight w:val="17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Place</w:t>
            </w: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West Palm Beach, FL</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Tower Shops</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Miami-Fort Lauderdale-</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97,589</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426,000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24.21</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12,000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0"/>
              </w:rPr>
              <w:t>TJ Maxx / Ross Dress For Less / Best Buy</w:t>
            </w:r>
          </w:p>
        </w:tc>
      </w:tr>
      <w:tr>
        <w:trPr>
          <w:trHeight w:val="170"/>
        </w:trPr>
        <w:tc>
          <w:tcPr>
            <w:tcW w:w="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West Palm Beach, FL</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 Ulta</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South Florida</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w w:val="93"/>
              </w:rPr>
              <w:t>423,303</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97</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1,310,000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21.70</w:t>
            </w: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r>
      <w:tr>
        <w:trPr>
          <w:trHeight w:val="149"/>
        </w:trPr>
        <w:tc>
          <w:tcPr>
            <w:tcW w:w="4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Arial" w:cs="Arial" w:eastAsia="Arial" w:hAnsi="Arial"/>
                <w:sz w:val="13"/>
                <w:szCs w:val="13"/>
                <w:b w:val="1"/>
                <w:bCs w:val="1"/>
                <w:color w:val="auto"/>
              </w:rPr>
              <w:t>Baltimore</w:t>
            </w: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148"/>
        </w:trPr>
        <w:tc>
          <w:tcPr>
            <w:tcW w:w="13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Governor Plaza</w:t>
            </w: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Baltimore-Columbia-</w:t>
            </w: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27,336</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24</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243,000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19.90</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16,500</w:t>
            </w:r>
          </w:p>
        </w:tc>
        <w:tc>
          <w:tcPr>
            <w:tcW w:w="7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Aldi</w:t>
            </w: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Dick's Sporting Goods / A.C. Moore</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Perring Plaza</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Baltimore-Columbia-</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31,159</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15.30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58,000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Shoppers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6"/>
              </w:rPr>
              <w:t>Home Depot / Micro Center / Burlington</w:t>
            </w: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ind w:left="40"/>
              <w:spacing w:after="0" w:line="135" w:lineRule="exact"/>
              <w:rPr>
                <w:sz w:val="20"/>
                <w:szCs w:val="20"/>
                <w:color w:val="auto"/>
              </w:rPr>
            </w:pPr>
            <w:r>
              <w:rPr>
                <w:rFonts w:ascii="Arial" w:cs="Arial" w:eastAsia="Arial" w:hAnsi="Arial"/>
                <w:sz w:val="13"/>
                <w:szCs w:val="13"/>
                <w:color w:val="auto"/>
              </w:rPr>
              <w:t>Towson, MD</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Food</w:t>
            </w:r>
          </w:p>
        </w:tc>
        <w:tc>
          <w:tcPr>
            <w:tcW w:w="22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Warehouse</w:t>
            </w: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w w:val="93"/>
              </w:rPr>
              <w:t>THE AVENUE at White</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Baltimore-Columbia-</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119,740</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52,705</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AMC / Ulta / Old Navy / Barnes &amp; Noble</w:t>
            </w:r>
          </w:p>
        </w:tc>
      </w:tr>
      <w:tr>
        <w:trPr>
          <w:trHeight w:val="17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The Shoppes at</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Baltimore-Columbia-</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17,693</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48.16</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1320" w:type="dxa"/>
            <w:vAlign w:val="bottom"/>
            <w:gridSpan w:val="6"/>
          </w:tcPr>
          <w:p>
            <w:pPr>
              <w:ind w:left="40"/>
              <w:spacing w:after="0"/>
              <w:rPr>
                <w:sz w:val="20"/>
                <w:szCs w:val="20"/>
                <w:color w:val="auto"/>
              </w:rPr>
            </w:pPr>
            <w:r>
              <w:rPr>
                <w:rFonts w:ascii="Arial" w:cs="Arial" w:eastAsia="Arial" w:hAnsi="Arial"/>
                <w:sz w:val="13"/>
                <w:szCs w:val="13"/>
                <w:color w:val="auto"/>
              </w:rPr>
              <w:t>Nottingham Square</w:t>
            </w:r>
          </w:p>
        </w:tc>
        <w:tc>
          <w:tcPr>
            <w:tcW w:w="4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Towson, MD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Towson Residential</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Baltimore-Columbia-</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22,375</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71.41</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r>
      <w:tr>
        <w:trPr>
          <w:trHeight w:val="17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(Flats @ 703)</w:t>
            </w: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White Marsh Plaza</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Baltimore-Columbia-</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25,726</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23.66</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54,000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2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Towson, MD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White Marsh Other</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Baltimore-Columbia-</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33,942</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Total Baltimore</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w w:val="93"/>
              </w:rPr>
              <w:t>277,971</w:t>
            </w:r>
          </w:p>
        </w:tc>
        <w:tc>
          <w:tcPr>
            <w:tcW w:w="66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121</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1,139,000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21.60</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9"/>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r>
      <w:tr>
        <w:trPr>
          <w:trHeight w:val="149"/>
        </w:trPr>
        <w:tc>
          <w:tcPr>
            <w:tcW w:w="4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148"/>
        </w:trPr>
        <w:tc>
          <w:tcPr>
            <w:tcW w:w="13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Crossroads</w:t>
            </w: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Chicago-Naperville-Elgin,</w:t>
            </w: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34,736</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168,000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22.13</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L.A. Fitness / Ulta / Binny's / Ferguson's</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IL-IN-WI</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Bath, Kitchen &amp; Lighting Gallery</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Finley Square</w:t>
            </w:r>
          </w:p>
        </w:tc>
        <w:tc>
          <w:tcPr>
            <w:tcW w:w="4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w w:val="94"/>
              </w:rPr>
              <w:t>Chicago-Naperville-Elgin,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39,213</w:t>
            </w:r>
          </w:p>
        </w:tc>
        <w:tc>
          <w:tcPr>
            <w:tcW w:w="6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15.52</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IL-IN-WI</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Petsmart / Portillo's</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7"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6"/>
              </w:rPr>
              <w:t>Anchor</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2120" w:type="dxa"/>
            <w:vAlign w:val="bottom"/>
          </w:tcPr>
          <w:p>
            <w:pPr>
              <w:spacing w:after="0"/>
              <w:rPr>
                <w:sz w:val="11"/>
                <w:szCs w:val="11"/>
                <w:color w:val="auto"/>
              </w:rPr>
            </w:pPr>
          </w:p>
        </w:tc>
      </w:tr>
      <w:tr>
        <w:trPr>
          <w:trHeight w:val="174"/>
        </w:trPr>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19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Anchor</w:t>
            </w:r>
          </w:p>
        </w:tc>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48"/>
        </w:trPr>
        <w:tc>
          <w:tcPr>
            <w:tcW w:w="116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Garden Market</w:t>
            </w:r>
          </w:p>
        </w:tc>
        <w:tc>
          <w:tcPr>
            <w:tcW w:w="1900" w:type="dxa"/>
            <w:vAlign w:val="bottom"/>
            <w:shd w:val="clear" w:color="auto" w:fill="CCEEFF"/>
          </w:tcPr>
          <w:p>
            <w:pPr>
              <w:ind w:left="540"/>
              <w:spacing w:after="0" w:line="148" w:lineRule="exact"/>
              <w:rPr>
                <w:sz w:val="20"/>
                <w:szCs w:val="20"/>
                <w:color w:val="auto"/>
              </w:rPr>
            </w:pPr>
            <w:r>
              <w:rPr>
                <w:rFonts w:ascii="Arial" w:cs="Arial" w:eastAsia="Arial" w:hAnsi="Arial"/>
                <w:sz w:val="13"/>
                <w:szCs w:val="13"/>
                <w:color w:val="auto"/>
              </w:rPr>
              <w:t>Chicago-Naperville-</w:t>
            </w:r>
          </w:p>
        </w:tc>
        <w:tc>
          <w:tcPr>
            <w:tcW w:w="7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14,679</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140,000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13.81</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63,000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Mariano's</w:t>
            </w:r>
          </w:p>
        </w:tc>
        <w:tc>
          <w:tcPr>
            <w:tcW w:w="21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Elgin, IL-IN-WI</w:t>
            </w: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Fresh Market</w:t>
            </w:r>
          </w:p>
        </w:tc>
        <w:tc>
          <w:tcPr>
            <w:tcW w:w="2120" w:type="dxa"/>
            <w:vAlign w:val="bottom"/>
            <w:shd w:val="clear" w:color="auto" w:fill="CCEEFF"/>
          </w:tcPr>
          <w:p>
            <w:pPr>
              <w:spacing w:after="0"/>
              <w:rPr>
                <w:sz w:val="15"/>
                <w:szCs w:val="15"/>
                <w:color w:val="auto"/>
              </w:rPr>
            </w:pPr>
          </w:p>
        </w:tc>
      </w:tr>
      <w:tr>
        <w:trPr>
          <w:trHeight w:val="148"/>
        </w:trPr>
        <w:tc>
          <w:tcPr>
            <w:tcW w:w="11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Riverpoint Center</w:t>
            </w:r>
          </w:p>
        </w:tc>
        <w:tc>
          <w:tcPr>
            <w:tcW w:w="1900" w:type="dxa"/>
            <w:vAlign w:val="bottom"/>
          </w:tcPr>
          <w:p>
            <w:pPr>
              <w:ind w:left="540"/>
              <w:spacing w:after="0" w:line="148" w:lineRule="exact"/>
              <w:rPr>
                <w:sz w:val="20"/>
                <w:szCs w:val="20"/>
                <w:color w:val="auto"/>
              </w:rPr>
            </w:pPr>
            <w:r>
              <w:rPr>
                <w:rFonts w:ascii="Arial" w:cs="Arial" w:eastAsia="Arial" w:hAnsi="Arial"/>
                <w:sz w:val="13"/>
                <w:szCs w:val="13"/>
                <w:color w:val="auto"/>
              </w:rPr>
              <w:t>Chicago-Naperville-</w:t>
            </w:r>
          </w:p>
        </w:tc>
        <w:tc>
          <w:tcPr>
            <w:tcW w:w="7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120,658</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211,000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21.07</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86,000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Jewel Osco</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Marshalls / Old Navy</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Elgin, IL-IN-WI</w:t>
            </w: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209,286</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797,000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18.09</w:t>
            </w: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6"/>
              </w:rPr>
              <w:t>Other</w:t>
            </w:r>
          </w:p>
        </w:tc>
        <w:tc>
          <w:tcPr>
            <w:tcW w:w="7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148"/>
        </w:trPr>
        <w:tc>
          <w:tcPr>
            <w:tcW w:w="11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Barracks Road</w:t>
            </w:r>
          </w:p>
        </w:tc>
        <w:tc>
          <w:tcPr>
            <w:tcW w:w="1900" w:type="dxa"/>
            <w:vAlign w:val="bottom"/>
          </w:tcPr>
          <w:p>
            <w:pPr>
              <w:ind w:left="54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68,219</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w:t>
            </w: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498,000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27.86</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99,000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2"/>
              </w:rPr>
              <w:t>Harris Teeter</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Anthropologie / Nike / Bed, Bath &amp;</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 Kroger</w:t>
            </w:r>
          </w:p>
        </w:tc>
        <w:tc>
          <w:tcPr>
            <w:tcW w:w="2120" w:type="dxa"/>
            <w:vAlign w:val="bottom"/>
          </w:tcPr>
          <w:p>
            <w:pPr>
              <w:ind w:left="40"/>
              <w:spacing w:after="0"/>
              <w:rPr>
                <w:sz w:val="20"/>
                <w:szCs w:val="20"/>
                <w:color w:val="auto"/>
              </w:rPr>
            </w:pPr>
            <w:r>
              <w:rPr>
                <w:rFonts w:ascii="Arial" w:cs="Arial" w:eastAsia="Arial" w:hAnsi="Arial"/>
                <w:sz w:val="13"/>
                <w:szCs w:val="13"/>
                <w:color w:val="auto"/>
              </w:rPr>
              <w:t>Beyond / Old Navy</w:t>
            </w:r>
          </w:p>
        </w:tc>
      </w:tr>
      <w:tr>
        <w:trPr>
          <w:trHeight w:val="156"/>
        </w:trPr>
        <w:tc>
          <w:tcPr>
            <w:tcW w:w="11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1900" w:type="dxa"/>
            <w:vAlign w:val="bottom"/>
            <w:shd w:val="clear" w:color="auto" w:fill="CCEEFF"/>
          </w:tcPr>
          <w:p>
            <w:pPr>
              <w:ind w:left="540"/>
              <w:spacing w:after="0"/>
              <w:rPr>
                <w:sz w:val="20"/>
                <w:szCs w:val="20"/>
                <w:color w:val="auto"/>
              </w:rPr>
            </w:pPr>
            <w:r>
              <w:rPr>
                <w:rFonts w:ascii="Arial" w:cs="Arial" w:eastAsia="Arial" w:hAnsi="Arial"/>
                <w:sz w:val="13"/>
                <w:szCs w:val="13"/>
                <w:color w:val="auto"/>
                <w:w w:val="98"/>
              </w:rPr>
              <w:t>Hartford-West Hartford-</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31,971</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13.93</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74,000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Stop &amp; Shop</w:t>
            </w:r>
          </w:p>
        </w:tc>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East Hartford, CT</w:t>
            </w: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r>
      <w:tr>
        <w:trPr>
          <w:trHeight w:val="173"/>
        </w:trPr>
        <w:tc>
          <w:tcPr>
            <w:tcW w:w="1160" w:type="dxa"/>
            <w:vAlign w:val="bottom"/>
            <w:gridSpan w:val="3"/>
          </w:tcPr>
          <w:p>
            <w:pPr>
              <w:ind w:left="40"/>
              <w:spacing w:after="0"/>
              <w:rPr>
                <w:sz w:val="20"/>
                <w:szCs w:val="20"/>
                <w:color w:val="auto"/>
              </w:rPr>
            </w:pPr>
            <w:r>
              <w:rPr>
                <w:rFonts w:ascii="Arial" w:cs="Arial" w:eastAsia="Arial" w:hAnsi="Arial"/>
                <w:sz w:val="13"/>
                <w:szCs w:val="13"/>
                <w:color w:val="auto"/>
              </w:rPr>
              <w:t>Eastgate Crossing</w:t>
            </w:r>
          </w:p>
        </w:tc>
        <w:tc>
          <w:tcPr>
            <w:tcW w:w="1900" w:type="dxa"/>
            <w:vAlign w:val="bottom"/>
          </w:tcPr>
          <w:p>
            <w:pPr>
              <w:ind w:left="540"/>
              <w:spacing w:after="0"/>
              <w:rPr>
                <w:sz w:val="20"/>
                <w:szCs w:val="20"/>
                <w:color w:val="auto"/>
              </w:rPr>
            </w:pPr>
            <w:r>
              <w:rPr>
                <w:rFonts w:ascii="Arial" w:cs="Arial" w:eastAsia="Arial" w:hAnsi="Arial"/>
                <w:sz w:val="13"/>
                <w:szCs w:val="13"/>
                <w:color w:val="auto"/>
                <w:w w:val="96"/>
              </w:rPr>
              <w:t>Durham-Chapel Hill, NC</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34,576</w:t>
            </w:r>
          </w:p>
        </w:tc>
        <w:tc>
          <w:tcPr>
            <w:tcW w:w="66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159,000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jc w:val="right"/>
              <w:spacing w:after="0"/>
              <w:rPr>
                <w:sz w:val="20"/>
                <w:szCs w:val="20"/>
                <w:color w:val="auto"/>
              </w:rPr>
            </w:pPr>
            <w:r>
              <w:rPr>
                <w:rFonts w:ascii="Arial" w:cs="Arial" w:eastAsia="Arial" w:hAnsi="Arial"/>
                <w:sz w:val="13"/>
                <w:szCs w:val="13"/>
                <w:color w:val="auto"/>
              </w:rPr>
              <w:t>91%</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27.38</w:t>
            </w:r>
          </w:p>
        </w:tc>
        <w:tc>
          <w:tcPr>
            <w:tcW w:w="70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auto"/>
              </w:rPr>
              <w:t>13,000</w:t>
            </w:r>
          </w:p>
        </w:tc>
        <w:tc>
          <w:tcPr>
            <w:tcW w:w="760" w:type="dxa"/>
            <w:vAlign w:val="bottom"/>
          </w:tcPr>
          <w:p>
            <w:pPr>
              <w:ind w:left="40"/>
              <w:spacing w:after="0"/>
              <w:rPr>
                <w:sz w:val="20"/>
                <w:szCs w:val="20"/>
                <w:color w:val="auto"/>
              </w:rPr>
            </w:pPr>
            <w:r>
              <w:rPr>
                <w:rFonts w:ascii="Arial" w:cs="Arial" w:eastAsia="Arial" w:hAnsi="Arial"/>
                <w:sz w:val="13"/>
                <w:szCs w:val="13"/>
                <w:color w:val="auto"/>
                <w:w w:val="97"/>
              </w:rPr>
              <w:t>Trader Joe's</w:t>
            </w:r>
          </w:p>
        </w:tc>
        <w:tc>
          <w:tcPr>
            <w:tcW w:w="2120" w:type="dxa"/>
            <w:vAlign w:val="bottom"/>
          </w:tcPr>
          <w:p>
            <w:pPr>
              <w:ind w:left="40"/>
              <w:spacing w:after="0"/>
              <w:rPr>
                <w:sz w:val="20"/>
                <w:szCs w:val="20"/>
                <w:color w:val="auto"/>
              </w:rPr>
            </w:pPr>
            <w:r>
              <w:rPr>
                <w:rFonts w:ascii="Arial" w:cs="Arial" w:eastAsia="Arial" w:hAnsi="Arial"/>
                <w:sz w:val="13"/>
                <w:szCs w:val="13"/>
                <w:color w:val="auto"/>
              </w:rPr>
              <w:t>Ulta / Stein Mart / Petco</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148"/>
        </w:trPr>
        <w:tc>
          <w:tcPr>
            <w:tcW w:w="116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Gratiot Plaza</w:t>
            </w:r>
          </w:p>
        </w:tc>
        <w:tc>
          <w:tcPr>
            <w:tcW w:w="1900" w:type="dxa"/>
            <w:vAlign w:val="bottom"/>
            <w:shd w:val="clear" w:color="auto" w:fill="CCEEFF"/>
          </w:tcPr>
          <w:p>
            <w:pPr>
              <w:ind w:left="540"/>
              <w:spacing w:after="0" w:line="148" w:lineRule="exact"/>
              <w:rPr>
                <w:sz w:val="20"/>
                <w:szCs w:val="20"/>
                <w:color w:val="auto"/>
              </w:rPr>
            </w:pPr>
            <w:r>
              <w:rPr>
                <w:rFonts w:ascii="Arial" w:cs="Arial" w:eastAsia="Arial" w:hAnsi="Arial"/>
                <w:sz w:val="13"/>
                <w:szCs w:val="13"/>
                <w:color w:val="auto"/>
                <w:w w:val="90"/>
              </w:rPr>
              <w:t>Detroit-Warren-Dearborn,</w:t>
            </w:r>
          </w:p>
        </w:tc>
        <w:tc>
          <w:tcPr>
            <w:tcW w:w="7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19,966</w:t>
            </w: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20</w:t>
            </w: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217,000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12.32</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69,000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Kroger</w:t>
            </w:r>
          </w:p>
        </w:tc>
        <w:tc>
          <w:tcPr>
            <w:tcW w:w="21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Bed, Bath &amp; Beyond / Best Buy / DSW</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MI</w:t>
            </w: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r>
      <w:tr>
        <w:trPr>
          <w:trHeight w:val="173"/>
        </w:trPr>
        <w:tc>
          <w:tcPr>
            <w:tcW w:w="1160" w:type="dxa"/>
            <w:vAlign w:val="bottom"/>
            <w:gridSpan w:val="3"/>
          </w:tcPr>
          <w:p>
            <w:pPr>
              <w:ind w:left="40"/>
              <w:spacing w:after="0"/>
              <w:rPr>
                <w:sz w:val="20"/>
                <w:szCs w:val="20"/>
                <w:color w:val="auto"/>
              </w:rPr>
            </w:pPr>
            <w:r>
              <w:rPr>
                <w:rFonts w:ascii="Arial" w:cs="Arial" w:eastAsia="Arial" w:hAnsi="Arial"/>
                <w:sz w:val="13"/>
                <w:szCs w:val="13"/>
                <w:color w:val="auto"/>
              </w:rPr>
              <w:t>Lancaster</w:t>
            </w:r>
          </w:p>
        </w:tc>
        <w:tc>
          <w:tcPr>
            <w:tcW w:w="1900" w:type="dxa"/>
            <w:vAlign w:val="bottom"/>
          </w:tcPr>
          <w:p>
            <w:pPr>
              <w:ind w:left="220"/>
              <w:spacing w:after="0"/>
              <w:rPr>
                <w:sz w:val="20"/>
                <w:szCs w:val="20"/>
                <w:color w:val="auto"/>
              </w:rPr>
            </w:pPr>
            <w:r>
              <w:rPr>
                <w:rFonts w:ascii="Arial" w:cs="Arial" w:eastAsia="Arial" w:hAnsi="Arial"/>
                <w:sz w:val="13"/>
                <w:szCs w:val="13"/>
                <w:color w:val="auto"/>
              </w:rPr>
              <w:t>(7)   Lancaster, PA</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13,717</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4,907</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127,000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18.58</w:t>
            </w:r>
          </w:p>
        </w:tc>
        <w:tc>
          <w:tcPr>
            <w:tcW w:w="70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auto"/>
              </w:rPr>
              <w:t>75,000</w:t>
            </w:r>
          </w:p>
        </w:tc>
        <w:tc>
          <w:tcPr>
            <w:tcW w:w="760" w:type="dxa"/>
            <w:vAlign w:val="bottom"/>
          </w:tcPr>
          <w:p>
            <w:pPr>
              <w:ind w:left="40"/>
              <w:spacing w:after="0"/>
              <w:rPr>
                <w:sz w:val="20"/>
                <w:szCs w:val="20"/>
                <w:color w:val="auto"/>
              </w:rPr>
            </w:pPr>
            <w:r>
              <w:rPr>
                <w:rFonts w:ascii="Arial" w:cs="Arial" w:eastAsia="Arial" w:hAnsi="Arial"/>
                <w:sz w:val="13"/>
                <w:szCs w:val="13"/>
                <w:color w:val="auto"/>
              </w:rPr>
              <w:t>Giant Food</w:t>
            </w:r>
          </w:p>
        </w:tc>
        <w:tc>
          <w:tcPr>
            <w:tcW w:w="212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148"/>
        </w:trPr>
        <w:tc>
          <w:tcPr>
            <w:tcW w:w="116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29th Place</w:t>
            </w:r>
          </w:p>
        </w:tc>
        <w:tc>
          <w:tcPr>
            <w:tcW w:w="1900" w:type="dxa"/>
            <w:vAlign w:val="bottom"/>
            <w:shd w:val="clear" w:color="auto" w:fill="CCEEFF"/>
          </w:tcPr>
          <w:p>
            <w:pPr>
              <w:ind w:left="54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40,851</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4,117</w:t>
            </w: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18.71</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HomeGoods / DSW / Stein Mart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Staples</w:t>
            </w:r>
          </w:p>
        </w:tc>
      </w:tr>
      <w:tr>
        <w:trPr>
          <w:trHeight w:val="148"/>
        </w:trPr>
        <w:tc>
          <w:tcPr>
            <w:tcW w:w="11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Willow Lawn</w:t>
            </w:r>
          </w:p>
        </w:tc>
        <w:tc>
          <w:tcPr>
            <w:tcW w:w="1900" w:type="dxa"/>
            <w:vAlign w:val="bottom"/>
          </w:tcPr>
          <w:p>
            <w:pPr>
              <w:ind w:left="540"/>
              <w:spacing w:after="0" w:line="148" w:lineRule="exact"/>
              <w:rPr>
                <w:sz w:val="20"/>
                <w:szCs w:val="20"/>
                <w:color w:val="auto"/>
              </w:rPr>
            </w:pPr>
            <w:r>
              <w:rPr>
                <w:rFonts w:ascii="Arial" w:cs="Arial" w:eastAsia="Arial" w:hAnsi="Arial"/>
                <w:sz w:val="13"/>
                <w:szCs w:val="13"/>
                <w:color w:val="auto"/>
              </w:rPr>
              <w:t>Richmond, VA</w:t>
            </w:r>
          </w:p>
        </w:tc>
        <w:tc>
          <w:tcPr>
            <w:tcW w:w="7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103,233</w:t>
            </w:r>
          </w:p>
        </w:tc>
        <w:tc>
          <w:tcPr>
            <w:tcW w:w="6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19.36</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66,000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Kroger</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w w:val="88"/>
              </w:rPr>
              <w:t>Old Navy / Ross Dress For Less / Gold's</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Gym / DSW</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Other</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312,533</w:t>
            </w: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162</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1,899,000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20.54</w:t>
            </w: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r>
      <w:tr>
        <w:trPr>
          <w:trHeight w:val="215"/>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19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7"/>
              </w:rPr>
              <w:t>$ 7,819,472</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w w:val="89"/>
              </w:rPr>
              <w:t>$ 546,827</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1,974</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24,127,000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w:t>
            </w:r>
          </w:p>
        </w:tc>
        <w:tc>
          <w:tcPr>
            <w:tcW w:w="11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94% $ 27.77</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2,669</w:t>
            </w:r>
          </w:p>
        </w:tc>
        <w:tc>
          <w:tcPr>
            <w:tcW w:w="5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260" w:hanging="222"/>
        <w:spacing w:after="0"/>
        <w:tabs>
          <w:tab w:leader="none" w:pos="2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premium, and/or debt issuance costs on certain mortgages payable.</w:t>
      </w:r>
    </w:p>
    <w:p>
      <w:pPr>
        <w:spacing w:after="0" w:line="51" w:lineRule="exact"/>
        <w:rPr>
          <w:rFonts w:ascii="Arial" w:cs="Arial" w:eastAsia="Arial" w:hAnsi="Arial"/>
          <w:sz w:val="12"/>
          <w:szCs w:val="12"/>
          <w:color w:val="auto"/>
        </w:rPr>
      </w:pPr>
    </w:p>
    <w:p>
      <w:pPr>
        <w:ind w:left="260" w:right="260" w:hanging="222"/>
        <w:spacing w:after="0" w:line="237" w:lineRule="auto"/>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GLA and the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28" w:lineRule="exact"/>
        <w:rPr>
          <w:rFonts w:ascii="Arial" w:cs="Arial" w:eastAsia="Arial" w:hAnsi="Arial"/>
          <w:sz w:val="13"/>
          <w:szCs w:val="13"/>
          <w:color w:val="auto"/>
        </w:rPr>
      </w:pPr>
    </w:p>
    <w:p>
      <w:pPr>
        <w:ind w:left="260" w:right="40" w:hanging="222"/>
        <w:spacing w:after="0" w:line="237" w:lineRule="auto"/>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(defined as cash basis excluding rent abatements) minimum rent for all occupied spaces divided by the aggregate GLA of all occupied spaces. Average rent PSF is for commercial leases only.</w:t>
      </w:r>
    </w:p>
    <w:p>
      <w:pPr>
        <w:spacing w:after="0" w:line="28" w:lineRule="exact"/>
        <w:rPr>
          <w:rFonts w:ascii="Arial" w:cs="Arial" w:eastAsia="Arial" w:hAnsi="Arial"/>
          <w:sz w:val="13"/>
          <w:szCs w:val="13"/>
          <w:color w:val="auto"/>
        </w:rPr>
      </w:pPr>
    </w:p>
    <w:p>
      <w:pPr>
        <w:ind w:left="260" w:hanging="222"/>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260" w:hanging="222"/>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39" w:lineRule="exact"/>
        <w:rPr>
          <w:rFonts w:ascii="Arial" w:cs="Arial" w:eastAsia="Arial" w:hAnsi="Arial"/>
          <w:sz w:val="13"/>
          <w:szCs w:val="13"/>
          <w:color w:val="auto"/>
        </w:rPr>
      </w:pPr>
    </w:p>
    <w:p>
      <w:pPr>
        <w:ind w:left="260" w:hanging="222"/>
        <w:spacing w:after="0"/>
        <w:tabs>
          <w:tab w:leader="none" w:pos="2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 or a portion of the property is owned in a "downREIT" partnership, of which a wholly owned subsidiary of the Trust is the sole general partner, with third party partners holding operating partnership units.</w:t>
      </w:r>
    </w:p>
    <w:p>
      <w:pPr>
        <w:spacing w:after="0" w:line="51" w:lineRule="exact"/>
        <w:rPr>
          <w:rFonts w:ascii="Arial" w:cs="Arial" w:eastAsia="Arial" w:hAnsi="Arial"/>
          <w:sz w:val="12"/>
          <w:szCs w:val="12"/>
          <w:color w:val="auto"/>
        </w:rPr>
      </w:pPr>
    </w:p>
    <w:p>
      <w:pPr>
        <w:ind w:left="260" w:hanging="222"/>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jc w:val="both"/>
        <w:ind w:left="260" w:right="100" w:hanging="222"/>
        <w:spacing w:after="0" w:line="247" w:lineRule="auto"/>
        <w:tabs>
          <w:tab w:leader="none" w:pos="2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 June 15, 2018, we formed a new joint venture to develop Jordan Downs Plaza, which when completed, will be an approximately 113,000 square foot grocery anchored shopping center located in Los Angeles County, California. We initially invested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See further discussion in the Summary of Redevelopments Opportunities schedule, as well as Note 3 of our December 31, 2018 Form 10-K.</w:t>
      </w:r>
    </w:p>
    <w:p>
      <w:pPr>
        <w:spacing w:after="0" w:line="26" w:lineRule="exact"/>
        <w:rPr>
          <w:rFonts w:ascii="Arial" w:cs="Arial" w:eastAsia="Arial" w:hAnsi="Arial"/>
          <w:sz w:val="12"/>
          <w:szCs w:val="12"/>
          <w:color w:val="auto"/>
        </w:rPr>
      </w:pPr>
    </w:p>
    <w:p>
      <w:pPr>
        <w:ind w:left="260" w:hanging="222"/>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property includes interests in five buildings in addition to our initial acquisition.</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2018 Property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Dispositions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Property</w:t>
            </w:r>
          </w:p>
        </w:tc>
        <w:tc>
          <w:tcPr>
            <w:tcW w:w="1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City/State</w:t>
            </w:r>
          </w:p>
        </w:tc>
        <w:tc>
          <w:tcPr>
            <w:tcW w:w="30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tcPr>
          <w:p>
            <w:pPr>
              <w:jc w:val="right"/>
              <w:ind w:right="5968"/>
              <w:spacing w:after="0"/>
              <w:rPr>
                <w:sz w:val="20"/>
                <w:szCs w:val="20"/>
                <w:color w:val="auto"/>
              </w:rPr>
            </w:pPr>
            <w:r>
              <w:rPr>
                <w:rFonts w:ascii="Arial" w:cs="Arial" w:eastAsia="Arial" w:hAnsi="Arial"/>
                <w:sz w:val="14"/>
                <w:szCs w:val="14"/>
                <w:b w:val="1"/>
                <w:bCs w:val="1"/>
                <w:color w:val="auto"/>
                <w:w w:val="98"/>
              </w:rPr>
              <w:t>Sales Price</w:t>
            </w:r>
          </w:p>
        </w:tc>
      </w:tr>
      <w:tr>
        <w:trPr>
          <w:trHeight w:val="264"/>
        </w:trPr>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0" w:type="dxa"/>
            <w:vAlign w:val="bottom"/>
          </w:tcPr>
          <w:p>
            <w:pPr>
              <w:jc w:val="right"/>
              <w:ind w:right="5928"/>
              <w:spacing w:after="0"/>
              <w:rPr>
                <w:sz w:val="20"/>
                <w:szCs w:val="20"/>
                <w:color w:val="auto"/>
              </w:rPr>
            </w:pPr>
            <w:r>
              <w:rPr>
                <w:rFonts w:ascii="Arial" w:cs="Arial" w:eastAsia="Arial" w:hAnsi="Arial"/>
                <w:sz w:val="14"/>
                <w:szCs w:val="14"/>
                <w:b w:val="1"/>
                <w:bCs w:val="1"/>
                <w:color w:val="auto"/>
                <w:w w:val="99"/>
              </w:rPr>
              <w:t>(in millions)</w:t>
            </w:r>
          </w:p>
        </w:tc>
      </w:tr>
      <w:tr>
        <w:trPr>
          <w:trHeight w:val="163"/>
        </w:trPr>
        <w:tc>
          <w:tcPr>
            <w:tcW w:w="138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Chelsea</w:t>
            </w:r>
          </w:p>
        </w:tc>
        <w:tc>
          <w:tcPr>
            <w:tcW w:w="1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r>
      <w:tr>
        <w:trPr>
          <w:trHeight w:val="19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August 16, 2018</w:t>
            </w:r>
          </w:p>
        </w:tc>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Residential</w:t>
            </w:r>
          </w:p>
        </w:tc>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Chelsea, Massachusetts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0" w:type="dxa"/>
            <w:vAlign w:val="bottom"/>
            <w:shd w:val="clear" w:color="auto" w:fill="CCEEFF"/>
          </w:tcPr>
          <w:p>
            <w:pPr>
              <w:jc w:val="right"/>
              <w:ind w:right="5848"/>
              <w:spacing w:after="0"/>
              <w:rPr>
                <w:sz w:val="20"/>
                <w:szCs w:val="20"/>
                <w:color w:val="auto"/>
              </w:rPr>
            </w:pPr>
            <w:r>
              <w:rPr>
                <w:rFonts w:ascii="Arial" w:cs="Arial" w:eastAsia="Arial" w:hAnsi="Arial"/>
                <w:sz w:val="14"/>
                <w:szCs w:val="14"/>
                <w:color w:val="auto"/>
              </w:rPr>
              <w:t>15.0</w:t>
            </w:r>
          </w:p>
        </w:tc>
      </w:tr>
      <w:tr>
        <w:trPr>
          <w:trHeight w:val="157"/>
        </w:trPr>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00" w:type="dxa"/>
            <w:vAlign w:val="bottom"/>
          </w:tcPr>
          <w:p>
            <w:pPr>
              <w:ind w:left="180"/>
              <w:spacing w:after="0" w:line="157" w:lineRule="exact"/>
              <w:rPr>
                <w:sz w:val="20"/>
                <w:szCs w:val="20"/>
                <w:color w:val="auto"/>
              </w:rPr>
            </w:pPr>
            <w:r>
              <w:rPr>
                <w:rFonts w:ascii="Arial" w:cs="Arial" w:eastAsia="Arial" w:hAnsi="Arial"/>
                <w:sz w:val="14"/>
                <w:szCs w:val="14"/>
                <w:color w:val="auto"/>
              </w:rPr>
              <w:t>North Reading,</w:t>
            </w:r>
          </w:p>
        </w:tc>
        <w:tc>
          <w:tcPr>
            <w:tcW w:w="300" w:type="dxa"/>
            <w:vAlign w:val="bottom"/>
          </w:tcPr>
          <w:p>
            <w:pPr>
              <w:spacing w:after="0"/>
              <w:rPr>
                <w:sz w:val="13"/>
                <w:szCs w:val="13"/>
                <w:color w:val="auto"/>
              </w:rPr>
            </w:pPr>
          </w:p>
        </w:tc>
        <w:tc>
          <w:tcPr>
            <w:tcW w:w="6800" w:type="dxa"/>
            <w:vAlign w:val="bottom"/>
          </w:tcPr>
          <w:p>
            <w:pPr>
              <w:spacing w:after="0"/>
              <w:rPr>
                <w:sz w:val="13"/>
                <w:szCs w:val="13"/>
                <w:color w:val="auto"/>
              </w:rPr>
            </w:pPr>
          </w:p>
        </w:tc>
      </w:tr>
      <w:tr>
        <w:trPr>
          <w:trHeight w:val="182"/>
        </w:trPr>
        <w:tc>
          <w:tcPr>
            <w:tcW w:w="1380" w:type="dxa"/>
            <w:vAlign w:val="bottom"/>
          </w:tcPr>
          <w:p>
            <w:pPr>
              <w:ind w:left="40"/>
              <w:spacing w:after="0"/>
              <w:rPr>
                <w:sz w:val="20"/>
                <w:szCs w:val="20"/>
                <w:color w:val="auto"/>
              </w:rPr>
            </w:pPr>
            <w:r>
              <w:rPr>
                <w:rFonts w:ascii="Arial" w:cs="Arial" w:eastAsia="Arial" w:hAnsi="Arial"/>
                <w:sz w:val="14"/>
                <w:szCs w:val="14"/>
                <w:color w:val="auto"/>
              </w:rPr>
              <w:t>November 9, 2018</w:t>
            </w:r>
          </w:p>
        </w:tc>
        <w:tc>
          <w:tcPr>
            <w:tcW w:w="1240" w:type="dxa"/>
            <w:vAlign w:val="bottom"/>
          </w:tcPr>
          <w:p>
            <w:pPr>
              <w:ind w:left="260"/>
              <w:spacing w:after="0"/>
              <w:rPr>
                <w:sz w:val="20"/>
                <w:szCs w:val="20"/>
                <w:color w:val="auto"/>
              </w:rPr>
            </w:pPr>
            <w:r>
              <w:rPr>
                <w:rFonts w:ascii="Arial" w:cs="Arial" w:eastAsia="Arial" w:hAnsi="Arial"/>
                <w:sz w:val="14"/>
                <w:szCs w:val="14"/>
                <w:color w:val="auto"/>
              </w:rPr>
              <w:t>Atlantic Plaza</w:t>
            </w:r>
          </w:p>
        </w:tc>
        <w:tc>
          <w:tcPr>
            <w:tcW w:w="1700" w:type="dxa"/>
            <w:vAlign w:val="bottom"/>
          </w:tcPr>
          <w:p>
            <w:pPr>
              <w:ind w:left="180"/>
              <w:spacing w:after="0"/>
              <w:rPr>
                <w:sz w:val="20"/>
                <w:szCs w:val="20"/>
                <w:color w:val="auto"/>
              </w:rPr>
            </w:pPr>
            <w:r>
              <w:rPr>
                <w:rFonts w:ascii="Arial" w:cs="Arial" w:eastAsia="Arial" w:hAnsi="Arial"/>
                <w:sz w:val="14"/>
                <w:szCs w:val="14"/>
                <w:color w:val="auto"/>
              </w:rPr>
              <w:t>Massachusetts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0" w:type="dxa"/>
            <w:vAlign w:val="bottom"/>
          </w:tcPr>
          <w:p>
            <w:pPr>
              <w:jc w:val="right"/>
              <w:ind w:right="5848"/>
              <w:spacing w:after="0"/>
              <w:rPr>
                <w:sz w:val="20"/>
                <w:szCs w:val="20"/>
                <w:color w:val="auto"/>
              </w:rPr>
            </w:pPr>
            <w:r>
              <w:rPr>
                <w:rFonts w:ascii="Arial" w:cs="Arial" w:eastAsia="Arial" w:hAnsi="Arial"/>
                <w:sz w:val="14"/>
                <w:szCs w:val="14"/>
                <w:color w:val="auto"/>
              </w:rPr>
              <w:t>27.2</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7"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2018</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573,923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32.16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2,409,987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14,280,002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24.88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447,765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38.31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$ 36.22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938,618</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11,600,019</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25.91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449,247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1,410,856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17,466,295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38.88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403,250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31.51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$ 25.91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2,258,454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7,422,889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18.41</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1,874,185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34.11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7,017,915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50,769,205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27.09</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53"/>
        </w:trPr>
        <w:tc>
          <w:tcPr>
            <w:tcW w:w="3160" w:type="dxa"/>
            <w:vAlign w:val="bottom"/>
            <w:gridSpan w:val="8"/>
          </w:tcPr>
          <w:p>
            <w:pPr>
              <w:ind w:left="40"/>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237,691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33.94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2,086,574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13,537,346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56.95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151,703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43.71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$ 38.82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741,449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11,219,487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73.96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203,883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38.18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1,030,413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16,706,322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81.94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203,038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28.44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$ 19.61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1,792,929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7,127,676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35.11</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796,315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35.48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$ 28.39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5,651,365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48,590,831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61.02</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80"/>
        </w:trPr>
        <w:tc>
          <w:tcPr>
            <w:tcW w:w="3160" w:type="dxa"/>
            <w:vAlign w:val="bottom"/>
            <w:gridSpan w:val="8"/>
          </w:tcPr>
          <w:p>
            <w:pPr>
              <w:ind w:left="40"/>
              <w:spacing w:after="0"/>
              <w:rPr>
                <w:sz w:val="20"/>
                <w:szCs w:val="20"/>
                <w:color w:val="auto"/>
              </w:rPr>
            </w:pPr>
            <w:r>
              <w:rPr>
                <w:rFonts w:ascii="Arial" w:cs="Arial" w:eastAsia="Arial" w:hAnsi="Arial"/>
                <w:sz w:val="14"/>
                <w:szCs w:val="14"/>
                <w:b w:val="1"/>
                <w:bCs w:val="1"/>
                <w:color w:val="auto"/>
              </w:rPr>
              <w:t>Renewal Lease Summary - Comparable (2) (8)</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336,232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30.90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$ 29.93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323,413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742,656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2.21</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296,062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$ 34.88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197,169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380,532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1.29</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245,364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31.90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380,443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759,973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3.10</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200,212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34.62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465,525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295,213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1.47</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1,077,870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$ 31.83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1,366,550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2,178,374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2.02</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40"/>
        </w:trPr>
        <w:tc>
          <w:tcPr>
            <w:tcW w:w="4100" w:type="dxa"/>
            <w:vAlign w:val="bottom"/>
            <w:gridSpan w:val="11"/>
          </w:tcPr>
          <w:p>
            <w:pPr>
              <w:ind w:left="40"/>
              <w:spacing w:after="0"/>
              <w:rPr>
                <w:sz w:val="20"/>
                <w:szCs w:val="20"/>
                <w:color w:val="auto"/>
              </w:rPr>
            </w:pPr>
            <w:r>
              <w:rPr>
                <w:rFonts w:ascii="Arial" w:cs="Arial" w:eastAsia="Arial" w:hAnsi="Arial"/>
                <w:sz w:val="14"/>
                <w:szCs w:val="14"/>
                <w:b w:val="1"/>
                <w:bCs w:val="1"/>
                <w:color w:val="auto"/>
                <w:w w:val="95"/>
              </w:rPr>
              <w:t>Total Lease Summary - Comparable and Non-comparable (2) (9)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46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2018</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622,234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32.72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18,728,152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30.10</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469,214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38.73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12,336,651</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26.29</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474,578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17,912,856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37.74</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405,556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31.69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7,831,363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19.31</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1,971,582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34.58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56,809,022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28.81</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Information reflects activity in retail spaces only; office and residential spaces are not included.</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Weighted average is determined on the basis of contractual rent for the first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109" w:lineRule="exact"/>
        <w:rPr>
          <w:rFonts w:ascii="Arial" w:cs="Arial" w:eastAsia="Arial" w:hAnsi="Arial"/>
          <w:sz w:val="14"/>
          <w:szCs w:val="14"/>
          <w:color w:val="auto"/>
        </w:rPr>
      </w:pPr>
    </w:p>
    <w:p>
      <w:pPr>
        <w:ind w:left="840" w:right="200" w:hanging="805"/>
        <w:spacing w:after="0" w:line="238"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Approximately $4.1 million ($5.48 per square foot) in 4th Quarter 2018, $1.7 million ($3.06 per square foot) in 3rd Quarter 2018, and $5.4 million ($9.80 per square foot) in 2nd Quarter 2018 of the Tenant Improvements &amp; Incentives are for properties under active redevelopment and are included in the Projected Cost for those properties on the Summary of Redevelopment Opportunities.</w:t>
      </w:r>
    </w:p>
    <w:p>
      <w:pPr>
        <w:spacing w:after="0" w:line="20" w:lineRule="exact"/>
        <w:rPr>
          <w:rFonts w:ascii="Arial" w:cs="Arial" w:eastAsia="Arial" w:hAnsi="Arial"/>
          <w:sz w:val="14"/>
          <w:szCs w:val="14"/>
          <w:color w:val="auto"/>
        </w:rPr>
      </w:pPr>
    </w:p>
    <w:p>
      <w:pPr>
        <w:ind w:left="840" w:hanging="805"/>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109" w:lineRule="exact"/>
        <w:rPr>
          <w:rFonts w:ascii="Arial" w:cs="Arial" w:eastAsia="Arial" w:hAnsi="Arial"/>
          <w:sz w:val="14"/>
          <w:szCs w:val="14"/>
          <w:color w:val="auto"/>
        </w:rPr>
      </w:pPr>
    </w:p>
    <w:p>
      <w:pPr>
        <w:ind w:left="840" w:right="40" w:hanging="805"/>
        <w:spacing w:after="0" w:line="234"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Number of Leases Signed, GLA Signed, Contractual Rent Per Sq. Ft. and Weighted Average Lease Term columns include information for leases signed at Phase 2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of Assembly Row and Pike &amp; Rose are included in the Projected Cost column for those projects shown on the Assembly Row and Pike &amp; Rose schedule.</w:t>
      </w:r>
    </w:p>
    <w:p>
      <w:pPr>
        <w:sectPr>
          <w:pgSz w:w="11900" w:h="16838" w:orient="portrait"/>
          <w:cols w:equalWidth="0" w:num="1">
            <w:col w:w="11420"/>
          </w:cols>
          <w:pgMar w:left="240" w:top="760" w:right="239" w:bottom="717"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60" w:right="239" w:bottom="717"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1,264,000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16.92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959,000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39.76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2,223,000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2,066,000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18.24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969,000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42.12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3,036,000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45.08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2,219,000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17.41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676,000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45.90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2,895,000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574,000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368,000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46.07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738,000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393,000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50.76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1,132,000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15,434,000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20.64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7,076,000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43.32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22,510,000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298,000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642,000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38.73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47.39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347,000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23.07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569,000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41.44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666,000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20.62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397,000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44.75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1,063,000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465,000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26.61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612,000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17.96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47.34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1,015,000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12,868,000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15,434,000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20.64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7,076,000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43.32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22,510,000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retail tenant leasing 10,000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December 31, 2018.</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December 31, 2018.</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30" w:name="page31"/>
    <w:bookmarkEnd w:id="30"/>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2018</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Commercial Properties (2) (3) (4) (sf)</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24,127,000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22,832,000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24,206,000</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23,066,000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95.3%</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2,669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2,557</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2,342</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2,195</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93.7%</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Properties (2) (4) (sf)</w:t>
            </w:r>
          </w:p>
        </w:tc>
        <w:tc>
          <w:tcPr>
            <w:tcW w:w="2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22,690,000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21,588,000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95.1%</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22,677,000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21,739,000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70"/>
        </w:trPr>
        <w:tc>
          <w:tcPr>
            <w:tcW w:w="3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1,350</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1,288</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1,350</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r>
      <w:tr>
        <w:trPr>
          <w:trHeight w:val="33"/>
        </w:trPr>
        <w:tc>
          <w:tcPr>
            <w:tcW w:w="3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December 31, 2018 leased percentage was 97.6% for anchor tenants and 88.7% for small shop tenants.</w:t>
      </w:r>
    </w:p>
    <w:p>
      <w:pPr>
        <w:spacing w:after="0" w:line="72" w:lineRule="exact"/>
        <w:rPr>
          <w:rFonts w:ascii="Arial" w:cs="Arial" w:eastAsia="Arial" w:hAnsi="Arial"/>
          <w:sz w:val="16"/>
          <w:szCs w:val="16"/>
          <w:color w:val="auto"/>
        </w:rPr>
      </w:pPr>
    </w:p>
    <w:p>
      <w:pPr>
        <w:ind w:left="700" w:right="200" w:hanging="665"/>
        <w:spacing w:after="0" w:line="293"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Occupied percentage was 93.6% and 93.9% at December 31, 2018 and 2017, respectively, and comparable property occupied percentage was 94.1% and 94.4% at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000" w:type="dxa"/>
            <w:vAlign w:val="bottom"/>
            <w:vMerge w:val="restart"/>
          </w:tcPr>
          <w:p>
            <w:pPr>
              <w:jc w:val="center"/>
              <w:ind w:left="1108"/>
              <w:spacing w:after="0"/>
              <w:rPr>
                <w:sz w:val="20"/>
                <w:szCs w:val="20"/>
                <w:color w:val="auto"/>
              </w:rPr>
            </w:pPr>
            <w:r>
              <w:rPr>
                <w:rFonts w:ascii="Arial" w:cs="Arial" w:eastAsia="Arial" w:hAnsi="Arial"/>
                <w:sz w:val="14"/>
                <w:szCs w:val="14"/>
                <w:b w:val="1"/>
                <w:bCs w:val="1"/>
                <w:color w:val="auto"/>
                <w:w w:val="94"/>
              </w:rPr>
              <w:t>Credit Ratings</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Percentage of Total</w:t>
            </w:r>
          </w:p>
        </w:tc>
        <w:tc>
          <w:tcPr>
            <w:tcW w:w="2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2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Rank   Tenant Name</w:t>
            </w:r>
          </w:p>
        </w:tc>
        <w:tc>
          <w:tcPr>
            <w:tcW w:w="30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4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Annualized Base</w:t>
            </w:r>
          </w:p>
        </w:tc>
        <w:tc>
          <w:tcPr>
            <w:tcW w:w="2020" w:type="dxa"/>
            <w:vAlign w:val="bottom"/>
            <w:vMerge w:val="continue"/>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of Stores</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088"/>
              <w:spacing w:after="0"/>
              <w:rPr>
                <w:sz w:val="20"/>
                <w:szCs w:val="20"/>
                <w:color w:val="auto"/>
              </w:rPr>
            </w:pPr>
            <w:r>
              <w:rPr>
                <w:rFonts w:ascii="Arial" w:cs="Arial" w:eastAsia="Arial" w:hAnsi="Arial"/>
                <w:sz w:val="14"/>
                <w:szCs w:val="14"/>
                <w:b w:val="1"/>
                <w:bCs w:val="1"/>
                <w:color w:val="auto"/>
                <w:w w:val="97"/>
              </w:rPr>
              <w:t>(S&amp;P/Moody's/Fitch) (1)</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Rent (3)</w:t>
            </w:r>
          </w:p>
        </w:tc>
        <w:tc>
          <w:tcPr>
            <w:tcW w:w="2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 GLA  Total GLA (3)</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50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8"/>
              </w:rPr>
              <w:t>A+ / 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50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6"/>
              </w:rPr>
              <w:t>BBB / Baa1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50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BB+ / Baa2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50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BB+ / Baa3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350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350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6"/>
              </w:rPr>
              <w:t>B+ / B2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50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5"/>
              </w:rPr>
              <w:t>BBB / Baa2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50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7"/>
              </w:rPr>
              <w:t>B / B2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350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6"/>
              </w:rPr>
              <w:t>BBB / Baa1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10</w:t>
            </w:r>
          </w:p>
        </w:tc>
        <w:tc>
          <w:tcPr>
            <w:tcW w:w="350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11</w:t>
            </w:r>
          </w:p>
        </w:tc>
        <w:tc>
          <w:tcPr>
            <w:tcW w:w="350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BB- / Ba2 / NR</w:t>
            </w:r>
          </w:p>
        </w:tc>
      </w:tr>
      <w:tr>
        <w:trPr>
          <w:trHeight w:val="266"/>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12</w:t>
            </w:r>
          </w:p>
        </w:tc>
        <w:tc>
          <w:tcPr>
            <w:tcW w:w="3500" w:type="dxa"/>
            <w:vAlign w:val="bottom"/>
          </w:tcPr>
          <w:p>
            <w:pPr>
              <w:ind w:left="120"/>
              <w:spacing w:after="0"/>
              <w:rPr>
                <w:sz w:val="20"/>
                <w:szCs w:val="20"/>
                <w:color w:val="auto"/>
              </w:rPr>
            </w:pPr>
            <w:r>
              <w:rPr>
                <w:rFonts w:ascii="Arial" w:cs="Arial" w:eastAsia="Arial" w:hAnsi="Arial"/>
                <w:sz w:val="16"/>
                <w:szCs w:val="16"/>
                <w:color w:val="auto"/>
                <w:w w:val="97"/>
              </w:rPr>
              <w:t>Ascena Retail Group, Inc. (Dress Barn, Loft, Lou</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4"/>
              </w:rPr>
              <w:t>B / Ba3 / NR</w:t>
            </w:r>
          </w:p>
        </w:tc>
      </w:tr>
      <w:tr>
        <w:trPr>
          <w:trHeight w:val="203"/>
        </w:trPr>
        <w:tc>
          <w:tcPr>
            <w:tcW w:w="280" w:type="dxa"/>
            <w:vAlign w:val="bottom"/>
          </w:tcPr>
          <w:p>
            <w:pPr>
              <w:spacing w:after="0"/>
              <w:rPr>
                <w:sz w:val="17"/>
                <w:szCs w:val="17"/>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&amp; Grey, Ann Taylor, Catherine's, Justice, Lane</w:t>
            </w:r>
          </w:p>
        </w:tc>
        <w:tc>
          <w:tcPr>
            <w:tcW w:w="158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Bryant)</w:t>
            </w:r>
          </w:p>
        </w:tc>
        <w:tc>
          <w:tcPr>
            <w:tcW w:w="1580" w:type="dxa"/>
            <w:vAlign w:val="bottom"/>
          </w:tcPr>
          <w:p>
            <w:pPr>
              <w:spacing w:after="0"/>
              <w:rPr>
                <w:sz w:val="17"/>
                <w:szCs w:val="17"/>
                <w:color w:val="auto"/>
              </w:rPr>
            </w:pPr>
          </w:p>
        </w:tc>
      </w:tr>
      <w:tr>
        <w:trPr>
          <w:trHeight w:val="257"/>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13</w:t>
            </w:r>
          </w:p>
        </w:tc>
        <w:tc>
          <w:tcPr>
            <w:tcW w:w="350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5"/>
              </w:rPr>
              <w:t>BBB / Baa1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14</w:t>
            </w:r>
          </w:p>
        </w:tc>
        <w:tc>
          <w:tcPr>
            <w:tcW w:w="350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A / A2 / A</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15</w:t>
            </w:r>
          </w:p>
        </w:tc>
        <w:tc>
          <w:tcPr>
            <w:tcW w:w="350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8"/>
              </w:rPr>
              <w:t>A- / A3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16</w:t>
            </w:r>
          </w:p>
        </w:tc>
        <w:tc>
          <w:tcPr>
            <w:tcW w:w="350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A- / A3 / A+</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17</w:t>
            </w:r>
          </w:p>
        </w:tc>
        <w:tc>
          <w:tcPr>
            <w:tcW w:w="350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18</w:t>
            </w:r>
          </w:p>
        </w:tc>
        <w:tc>
          <w:tcPr>
            <w:tcW w:w="3500" w:type="dxa"/>
            <w:vAlign w:val="bottom"/>
          </w:tcPr>
          <w:p>
            <w:pPr>
              <w:ind w:left="120"/>
              <w:spacing w:after="0"/>
              <w:rPr>
                <w:sz w:val="20"/>
                <w:szCs w:val="20"/>
                <w:color w:val="auto"/>
              </w:rPr>
            </w:pPr>
            <w:r>
              <w:rPr>
                <w:rFonts w:ascii="Arial" w:cs="Arial" w:eastAsia="Arial" w:hAnsi="Arial"/>
                <w:sz w:val="16"/>
                <w:szCs w:val="16"/>
                <w:color w:val="auto"/>
              </w:rPr>
              <w:t>Hudson's Bay Company (Saks, Lord &amp; Taylor)</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7"/>
              </w:rPr>
              <w:t>B / B3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19</w:t>
            </w:r>
          </w:p>
        </w:tc>
        <w:tc>
          <w:tcPr>
            <w:tcW w:w="350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6"/>
              </w:rPr>
              <w:t>BBB+ / Baa1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20</w:t>
            </w:r>
          </w:p>
        </w:tc>
        <w:tc>
          <w:tcPr>
            <w:tcW w:w="350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21</w:t>
            </w:r>
          </w:p>
        </w:tc>
        <w:tc>
          <w:tcPr>
            <w:tcW w:w="350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8"/>
              </w:rPr>
              <w:t>A+ / A3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22</w:t>
            </w:r>
          </w:p>
        </w:tc>
        <w:tc>
          <w:tcPr>
            <w:tcW w:w="350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23</w:t>
            </w:r>
          </w:p>
        </w:tc>
        <w:tc>
          <w:tcPr>
            <w:tcW w:w="350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A- / A2 / A+</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24</w:t>
            </w:r>
          </w:p>
        </w:tc>
        <w:tc>
          <w:tcPr>
            <w:tcW w:w="350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6"/>
              </w:rPr>
              <w:t>BBB+ / Baa1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25</w:t>
            </w:r>
          </w:p>
        </w:tc>
        <w:tc>
          <w:tcPr>
            <w:tcW w:w="350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7"/>
              </w:rPr>
              <w:t>B / B1 / NR</w:t>
            </w:r>
          </w:p>
        </w:tc>
      </w:tr>
      <w:tr>
        <w:trPr>
          <w:trHeight w:val="270"/>
        </w:trPr>
        <w:tc>
          <w:tcPr>
            <w:tcW w:w="280" w:type="dxa"/>
            <w:vAlign w:val="bottom"/>
          </w:tcPr>
          <w:p>
            <w:pPr>
              <w:spacing w:after="0"/>
              <w:rPr>
                <w:sz w:val="23"/>
                <w:szCs w:val="23"/>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-4335145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-3991610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-3648710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-3305810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-2962910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-2028190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-1685290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-1341755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-998855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18,647,000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1,020,000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3.83%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16,575,000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971,000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3.64%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13,416,000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366,000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1.37%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12,706,000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718,000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2.69%</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10,902,000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10,227,000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431,000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1.62%</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9,333,000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248,000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0.93%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7,267,000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1.19%</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6,633,000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0.94%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6,425,000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6,290,000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6,199,000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198,000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0.74%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6,066,000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1.98%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6,014,000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1.65%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5,882,000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321,000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5,679,000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105,000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0.39%</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5,539,000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5,380,000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5,374,000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195,000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0.73%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4,812,000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140,000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0.53%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4,772,000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0.63%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4,523,000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0.78%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4,236,000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53,000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0.20%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4,180,000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69,000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0.26%</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4,175,000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1.55%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47"/>
        </w:trPr>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191,252,000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27.21%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8,434,000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31.64%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60" w:space="240"/>
            <w:col w:w="5520"/>
          </w:cols>
          <w:pgMar w:left="240" w:top="742" w:right="239" w:bottom="1440" w:gutter="0" w:footer="0" w:header="0"/>
          <w:type w:val="continuous"/>
        </w:sectPr>
      </w:pPr>
    </w:p>
    <w:p>
      <w:pPr>
        <w:spacing w:after="0" w:line="87"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Total (5):</w:t>
            </w:r>
          </w:p>
        </w:tc>
        <w:tc>
          <w:tcPr>
            <w:tcW w:w="4440" w:type="dxa"/>
            <w:vAlign w:val="bottom"/>
          </w:tcPr>
          <w:p>
            <w:pPr>
              <w:jc w:val="right"/>
              <w:ind w:right="619"/>
              <w:spacing w:after="0"/>
              <w:rPr>
                <w:sz w:val="20"/>
                <w:szCs w:val="20"/>
                <w:color w:val="auto"/>
              </w:rPr>
            </w:pPr>
            <w:r>
              <w:rPr>
                <w:rFonts w:ascii="Arial" w:cs="Arial" w:eastAsia="Arial" w:hAnsi="Arial"/>
                <w:sz w:val="16"/>
                <w:szCs w:val="16"/>
                <w:color w:val="auto"/>
              </w:rPr>
              <w:t>$   702,803,000  (2)</w:t>
            </w:r>
          </w:p>
        </w:tc>
        <w:tc>
          <w:tcPr>
            <w:tcW w:w="1720" w:type="dxa"/>
            <w:vAlign w:val="bottom"/>
          </w:tcPr>
          <w:p>
            <w:pPr>
              <w:jc w:val="right"/>
              <w:spacing w:after="0"/>
              <w:rPr>
                <w:sz w:val="20"/>
                <w:szCs w:val="20"/>
                <w:color w:val="auto"/>
              </w:rPr>
            </w:pPr>
            <w:r>
              <w:rPr>
                <w:rFonts w:ascii="Arial" w:cs="Arial" w:eastAsia="Arial" w:hAnsi="Arial"/>
                <w:sz w:val="16"/>
                <w:szCs w:val="16"/>
                <w:color w:val="auto"/>
              </w:rPr>
              <w:t>26,657,000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Credit Ratings are as of December 31, 2018. Subsequent rating changes have not been reflected.</w:t>
      </w:r>
    </w:p>
    <w:p>
      <w:pPr>
        <w:spacing w:after="0" w:line="86" w:lineRule="exact"/>
        <w:rPr>
          <w:rFonts w:ascii="Arial" w:cs="Arial" w:eastAsia="Arial" w:hAnsi="Arial"/>
          <w:sz w:val="16"/>
          <w:szCs w:val="16"/>
          <w:color w:val="auto"/>
        </w:rPr>
      </w:pPr>
    </w:p>
    <w:p>
      <w:pPr>
        <w:ind w:left="700" w:right="380" w:hanging="665"/>
        <w:spacing w:after="0" w:line="293"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excluding rent abatements) minimum rent for all occupied spaces as of December 31, 2018.</w:t>
      </w:r>
    </w:p>
    <w:p>
      <w:pPr>
        <w:spacing w:after="0" w:line="23" w:lineRule="exact"/>
        <w:rPr>
          <w:rFonts w:ascii="Arial" w:cs="Arial" w:eastAsia="Arial" w:hAnsi="Arial"/>
          <w:sz w:val="16"/>
          <w:szCs w:val="16"/>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ectPr>
          <w:pgSz w:w="11900" w:h="16838" w:orient="portrait"/>
          <w:cols w:equalWidth="0" w:num="1">
            <w:col w:w="11420"/>
          </w:cols>
          <w:pgMar w:left="240" w:top="7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42" w:right="239"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2019.</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177165</wp:posOffset>
            </wp:positionV>
            <wp:extent cx="1732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81"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Full Year 2019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41910</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Low</w:t>
            </w:r>
          </w:p>
        </w:tc>
        <w:tc>
          <w:tcPr>
            <w:tcW w:w="4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3.14</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8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8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FFO per diluted share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6.30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EBITDA for Real Estate ("EBITDAre"): </w:t>
      </w:r>
      <w:r>
        <w:rPr>
          <w:rFonts w:ascii="Arial" w:cs="Arial" w:eastAsia="Arial" w:hAnsi="Arial"/>
          <w:sz w:val="17"/>
          <w:szCs w:val="17"/>
          <w:color w:val="auto"/>
        </w:rPr>
        <w:t>EBITDAre is a non-GAAP measure that the National Association of Real Estate Investment Trusts ("NAREIT")</w:t>
      </w:r>
      <w:r>
        <w:rPr>
          <w:rFonts w:ascii="Arial" w:cs="Arial" w:eastAsia="Arial" w:hAnsi="Arial"/>
          <w:sz w:val="17"/>
          <w:szCs w:val="17"/>
          <w:b w:val="1"/>
          <w:bCs w:val="1"/>
          <w:color w:val="auto"/>
        </w:rPr>
        <w:t xml:space="preserve"> </w:t>
      </w:r>
      <w:r>
        <w:rPr>
          <w:rFonts w:ascii="Arial" w:cs="Arial" w:eastAsia="Arial" w:hAnsi="Arial"/>
          <w:sz w:val="17"/>
          <w:szCs w:val="17"/>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 ended December 31, 2018 and 2017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56,382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249,026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28,038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110,154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100,125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12,273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 (1)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66,976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244,245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216,050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5,114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151,406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140,281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595,558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549,107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For the periods noted above, the provision for income tax primarily relates to condominium sales gains.</w:t>
      </w:r>
    </w:p>
    <w:p>
      <w:pPr>
        <w:spacing w:after="0" w:line="2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2019-12-28T16:27:34Z</dcterms:created>
  <dcterms:modified xsi:type="dcterms:W3CDTF">2019-12-28T16:27:34Z</dcterms:modified>
</cp:coreProperties>
</file>