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(Date of earliest event reported) May 01, 2024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share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ans-serif" w:hAnsi="Times New Roman;sans-serif"/>
          <w:b/>
          <w:color w:val="000000"/>
          <w:sz w:val="20"/>
        </w:rPr>
        <w:t>Item 5.07</w:t>
      </w:r>
      <w:r>
        <w:rPr>
          <w:rFonts w:ascii="Times New Roman;sans-serif" w:hAnsi="Times New Roman;sans-serif"/>
          <w:b w:val="false"/>
          <w:color w:val="000000"/>
          <w:sz w:val="20"/>
        </w:rPr>
        <w:t xml:space="preserve">. </w:t>
      </w:r>
      <w:r>
        <w:rPr>
          <w:rFonts w:ascii="Times New Roman;sans-serif" w:hAnsi="Times New Roman;sans-serif"/>
          <w:b/>
          <w:color w:val="000000"/>
          <w:sz w:val="20"/>
        </w:rPr>
        <w:t>Submission of Matters to a Vote of Security Holders.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meeting of shareholders of Federal Realty Investment Trust was held on May 1, 2024. The following table sets forth the matters presented for a vote by the shareholders and the voting results with respect to such matters: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48"/>
        <w:gridCol w:w="1074"/>
        <w:gridCol w:w="1082"/>
        <w:gridCol w:w="109"/>
        <w:gridCol w:w="109"/>
        <w:gridCol w:w="109"/>
        <w:gridCol w:w="540"/>
        <w:gridCol w:w="541"/>
        <w:gridCol w:w="213"/>
        <w:gridCol w:w="109"/>
        <w:gridCol w:w="109"/>
        <w:gridCol w:w="109"/>
        <w:gridCol w:w="488"/>
        <w:gridCol w:w="488"/>
        <w:gridCol w:w="282"/>
        <w:gridCol w:w="109"/>
        <w:gridCol w:w="109"/>
        <w:gridCol w:w="109"/>
        <w:gridCol w:w="412"/>
        <w:gridCol w:w="414"/>
        <w:gridCol w:w="361"/>
        <w:gridCol w:w="109"/>
        <w:gridCol w:w="109"/>
        <w:gridCol w:w="109"/>
        <w:gridCol w:w="492"/>
        <w:gridCol w:w="485"/>
        <w:gridCol w:w="477"/>
      </w:tblGrid>
      <w:tr>
        <w:trPr/>
        <w:tc>
          <w:tcPr>
            <w:tcW w:w="154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1: Election of Trustees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David W. Faeder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67,709,267 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3,182,421 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4,819,430 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69,613,470 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1,286,074 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4,819,430 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70,545,141 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350,747 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4,819,431 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70,609,585 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4,819,431 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69,823,251 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1,071,899 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4,819,429 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Gail P. Steinel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67,781,484 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3,111,032 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4,819,432 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Donald C.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70,609,019 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280,591 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4,819,429 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2: Advisory vote on 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64,798,873 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6,009,165 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4,819,436 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Proposal 5: Ratification of the appointment of Grant Thornton LLP as the Trust’s independent registered public accounting firm for the year ending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73,045,980 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2,665,638 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68" w:before="0" w:after="0"/>
        <w:ind w:left="0" w:right="0" w:hanging="144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ind w:left="0" w:right="0" w:hanging="1440"/>
        <w:jc w:val="both"/>
        <w:rPr/>
      </w:pPr>
      <w:r>
        <w:rPr/>
      </w:r>
    </w:p>
    <w:p>
      <w:pPr>
        <w:pStyle w:val="TextBody"/>
        <w:bidi w:val="0"/>
        <w:spacing w:lineRule="auto" w:line="268" w:before="0" w:after="0"/>
        <w:ind w:left="0" w:right="0" w:hanging="1440"/>
        <w:jc w:val="both"/>
        <w:rPr/>
      </w:pPr>
      <w:r>
        <w:rPr>
          <w:rFonts w:ascii="Times New Roman;sans-serif" w:hAnsi="Times New Roman;sans-serif"/>
          <w:b w:val="false"/>
          <w:color w:val="000000"/>
          <w:sz w:val="20"/>
        </w:rPr>
        <w:t xml:space="preserve">(d) </w:t>
      </w:r>
      <w:r>
        <w:rPr>
          <w:rFonts w:ascii="Times New Roman;sans-serif" w:hAnsi="Times New Roman;sans-serif"/>
          <w:b w:val="false"/>
          <w:i/>
          <w:color w:val="000000"/>
          <w:sz w:val="20"/>
        </w:rPr>
        <w:t>Exhibits.</w:t>
      </w:r>
    </w:p>
    <w:p>
      <w:pPr>
        <w:pStyle w:val="TextBody"/>
        <w:bidi w:val="0"/>
        <w:spacing w:before="0" w:after="0"/>
        <w:ind w:left="0" w:right="0" w:hanging="1440"/>
        <w:jc w:val="both"/>
        <w:rPr/>
      </w:pPr>
      <w:r>
        <w:rPr/>
      </w:r>
    </w:p>
    <w:tbl>
      <w:tblPr>
        <w:tblW w:w="8352"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3"/>
        <w:gridCol w:w="1933"/>
        <w:gridCol w:w="273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6761"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87"/>
        <w:gridCol w:w="1387"/>
        <w:gridCol w:w="19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u w:val="single"/>
              </w:rPr>
              <w:t>/s/ 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President-General Counsel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3474</Characters>
  <CharactersWithSpaces>4051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