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8-K/A</w:t>
      </w:r>
    </w:p>
    <w:p>
      <w:pPr>
        <w:spacing w:after="0" w:line="10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(Amendment No. 1)</w:t>
      </w:r>
    </w:p>
    <w:p>
      <w:pPr>
        <w:spacing w:after="0" w:line="292"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(Date of earliest event reported) May 6, 2020</w:t>
      </w:r>
    </w:p>
    <w:p>
      <w:pPr>
        <w:spacing w:after="0" w:line="200" w:lineRule="exact"/>
        <w:rPr>
          <w:sz w:val="24"/>
          <w:szCs w:val="24"/>
          <w:color w:val="auto"/>
        </w:rPr>
      </w:pPr>
    </w:p>
    <w:p>
      <w:pPr>
        <w:spacing w:after="0" w:line="368"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4000" w:type="dxa"/>
            <w:vAlign w:val="bottom"/>
            <w:gridSpan w:val="3"/>
          </w:tcPr>
          <w:p>
            <w:pPr>
              <w:jc w:val="center"/>
              <w:ind w:right="610"/>
              <w:spacing w:after="0"/>
              <w:rPr>
                <w:sz w:val="20"/>
                <w:szCs w:val="20"/>
                <w:color w:val="auto"/>
              </w:rPr>
            </w:pPr>
            <w:r>
              <w:rPr>
                <w:rFonts w:ascii="Arial" w:cs="Arial" w:eastAsia="Arial" w:hAnsi="Arial"/>
                <w:sz w:val="18"/>
                <w:szCs w:val="18"/>
                <w:b w:val="1"/>
                <w:bCs w:val="1"/>
                <w:color w:val="auto"/>
                <w:w w:val="98"/>
              </w:rPr>
              <w:t>Maryland</w:t>
            </w:r>
          </w:p>
        </w:tc>
        <w:tc>
          <w:tcPr>
            <w:tcW w:w="920" w:type="dxa"/>
            <w:vAlign w:val="bottom"/>
          </w:tcPr>
          <w:p>
            <w:pPr>
              <w:spacing w:after="0"/>
              <w:rPr>
                <w:sz w:val="20"/>
                <w:szCs w:val="20"/>
                <w:color w:val="auto"/>
              </w:rPr>
            </w:pPr>
          </w:p>
        </w:tc>
        <w:tc>
          <w:tcPr>
            <w:tcW w:w="110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1-07533</w:t>
            </w:r>
          </w:p>
        </w:tc>
        <w:tc>
          <w:tcPr>
            <w:tcW w:w="1140" w:type="dxa"/>
            <w:vAlign w:val="bottom"/>
          </w:tcPr>
          <w:p>
            <w:pPr>
              <w:spacing w:after="0"/>
              <w:rPr>
                <w:sz w:val="20"/>
                <w:szCs w:val="20"/>
                <w:color w:val="auto"/>
              </w:rPr>
            </w:pPr>
          </w:p>
        </w:tc>
        <w:tc>
          <w:tcPr>
            <w:tcW w:w="3220" w:type="dxa"/>
            <w:vAlign w:val="bottom"/>
          </w:tcPr>
          <w:p>
            <w:pPr>
              <w:jc w:val="center"/>
              <w:ind w:left="844"/>
              <w:spacing w:after="0"/>
              <w:rPr>
                <w:sz w:val="20"/>
                <w:szCs w:val="20"/>
                <w:color w:val="auto"/>
              </w:rPr>
            </w:pPr>
            <w:r>
              <w:rPr>
                <w:rFonts w:ascii="Arial" w:cs="Arial" w:eastAsia="Arial" w:hAnsi="Arial"/>
                <w:sz w:val="18"/>
                <w:szCs w:val="18"/>
                <w:b w:val="1"/>
                <w:bCs w:val="1"/>
                <w:color w:val="auto"/>
                <w:w w:val="89"/>
              </w:rPr>
              <w:t>52-0782497</w:t>
            </w:r>
          </w:p>
        </w:tc>
      </w:tr>
      <w:tr>
        <w:trPr>
          <w:trHeight w:val="171"/>
        </w:trPr>
        <w:tc>
          <w:tcPr>
            <w:tcW w:w="4000" w:type="dxa"/>
            <w:vAlign w:val="bottom"/>
            <w:gridSpan w:val="3"/>
          </w:tcPr>
          <w:p>
            <w:pPr>
              <w:jc w:val="center"/>
              <w:ind w:right="610"/>
              <w:spacing w:after="0"/>
              <w:rPr>
                <w:sz w:val="20"/>
                <w:szCs w:val="20"/>
                <w:color w:val="auto"/>
              </w:rPr>
            </w:pPr>
            <w:r>
              <w:rPr>
                <w:rFonts w:ascii="Arial" w:cs="Arial" w:eastAsia="Arial" w:hAnsi="Arial"/>
                <w:sz w:val="13"/>
                <w:szCs w:val="13"/>
                <w:b w:val="1"/>
                <w:bCs w:val="1"/>
                <w:color w:val="auto"/>
                <w:w w:val="87"/>
              </w:rPr>
              <w:t>(State or other jurisdiction</w:t>
            </w:r>
          </w:p>
        </w:tc>
        <w:tc>
          <w:tcPr>
            <w:tcW w:w="920" w:type="dxa"/>
            <w:vAlign w:val="bottom"/>
          </w:tcPr>
          <w:p>
            <w:pPr>
              <w:spacing w:after="0"/>
              <w:rPr>
                <w:sz w:val="14"/>
                <w:szCs w:val="14"/>
                <w:color w:val="auto"/>
              </w:rPr>
            </w:pPr>
          </w:p>
        </w:tc>
        <w:tc>
          <w:tcPr>
            <w:tcW w:w="2240" w:type="dxa"/>
            <w:vAlign w:val="bottom"/>
            <w:gridSpan w:val="2"/>
          </w:tcPr>
          <w:p>
            <w:pPr>
              <w:jc w:val="center"/>
              <w:ind w:right="1220"/>
              <w:spacing w:after="0"/>
              <w:rPr>
                <w:sz w:val="20"/>
                <w:szCs w:val="20"/>
                <w:color w:val="auto"/>
              </w:rPr>
            </w:pPr>
            <w:r>
              <w:rPr>
                <w:rFonts w:ascii="Arial" w:cs="Arial" w:eastAsia="Arial" w:hAnsi="Arial"/>
                <w:sz w:val="13"/>
                <w:szCs w:val="13"/>
                <w:b w:val="1"/>
                <w:bCs w:val="1"/>
                <w:color w:val="auto"/>
                <w:w w:val="84"/>
              </w:rPr>
              <w:t>(Commission</w:t>
            </w:r>
          </w:p>
        </w:tc>
        <w:tc>
          <w:tcPr>
            <w:tcW w:w="3220" w:type="dxa"/>
            <w:vAlign w:val="bottom"/>
          </w:tcPr>
          <w:p>
            <w:pPr>
              <w:jc w:val="center"/>
              <w:ind w:left="844"/>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000" w:type="dxa"/>
            <w:vAlign w:val="bottom"/>
            <w:gridSpan w:val="3"/>
          </w:tcPr>
          <w:p>
            <w:pPr>
              <w:jc w:val="center"/>
              <w:ind w:right="590"/>
              <w:spacing w:after="0"/>
              <w:rPr>
                <w:sz w:val="20"/>
                <w:szCs w:val="20"/>
                <w:color w:val="auto"/>
              </w:rPr>
            </w:pPr>
            <w:r>
              <w:rPr>
                <w:rFonts w:ascii="Arial" w:cs="Arial" w:eastAsia="Arial" w:hAnsi="Arial"/>
                <w:sz w:val="13"/>
                <w:szCs w:val="13"/>
                <w:b w:val="1"/>
                <w:bCs w:val="1"/>
                <w:color w:val="auto"/>
                <w:w w:val="88"/>
              </w:rPr>
              <w:t>of incorporation)</w:t>
            </w:r>
          </w:p>
        </w:tc>
        <w:tc>
          <w:tcPr>
            <w:tcW w:w="920" w:type="dxa"/>
            <w:vAlign w:val="bottom"/>
          </w:tcPr>
          <w:p>
            <w:pPr>
              <w:spacing w:after="0"/>
              <w:rPr>
                <w:sz w:val="14"/>
                <w:szCs w:val="14"/>
                <w:color w:val="auto"/>
              </w:rPr>
            </w:pPr>
          </w:p>
        </w:tc>
        <w:tc>
          <w:tcPr>
            <w:tcW w:w="2240" w:type="dxa"/>
            <w:vAlign w:val="bottom"/>
            <w:gridSpan w:val="2"/>
          </w:tcPr>
          <w:p>
            <w:pPr>
              <w:jc w:val="center"/>
              <w:ind w:right="1240"/>
              <w:spacing w:after="0"/>
              <w:rPr>
                <w:sz w:val="20"/>
                <w:szCs w:val="20"/>
                <w:color w:val="auto"/>
              </w:rPr>
            </w:pPr>
            <w:r>
              <w:rPr>
                <w:rFonts w:ascii="Arial" w:cs="Arial" w:eastAsia="Arial" w:hAnsi="Arial"/>
                <w:sz w:val="13"/>
                <w:szCs w:val="13"/>
                <w:b w:val="1"/>
                <w:bCs w:val="1"/>
                <w:color w:val="auto"/>
                <w:w w:val="90"/>
              </w:rPr>
              <w:t>File Number)</w:t>
            </w:r>
          </w:p>
        </w:tc>
        <w:tc>
          <w:tcPr>
            <w:tcW w:w="3220" w:type="dxa"/>
            <w:vAlign w:val="bottom"/>
          </w:tcPr>
          <w:p>
            <w:pPr>
              <w:jc w:val="center"/>
              <w:ind w:left="844"/>
              <w:spacing w:after="0"/>
              <w:rPr>
                <w:sz w:val="20"/>
                <w:szCs w:val="20"/>
                <w:color w:val="auto"/>
              </w:rPr>
            </w:pPr>
            <w:r>
              <w:rPr>
                <w:rFonts w:ascii="Arial" w:cs="Arial" w:eastAsia="Arial" w:hAnsi="Arial"/>
                <w:sz w:val="13"/>
                <w:szCs w:val="13"/>
                <w:b w:val="1"/>
                <w:bCs w:val="1"/>
                <w:color w:val="auto"/>
                <w:w w:val="89"/>
              </w:rPr>
              <w:t>Identification No.)</w:t>
            </w:r>
          </w:p>
        </w:tc>
      </w:tr>
      <w:tr>
        <w:trPr>
          <w:trHeight w:val="596"/>
        </w:trPr>
        <w:tc>
          <w:tcPr>
            <w:tcW w:w="1500" w:type="dxa"/>
            <w:vAlign w:val="bottom"/>
          </w:tcPr>
          <w:p>
            <w:pPr>
              <w:spacing w:after="0"/>
              <w:rPr>
                <w:sz w:val="24"/>
                <w:szCs w:val="24"/>
                <w:color w:val="auto"/>
              </w:rPr>
            </w:pPr>
          </w:p>
        </w:tc>
        <w:tc>
          <w:tcPr>
            <w:tcW w:w="250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1626 East Jefferson Street,</w:t>
            </w:r>
          </w:p>
        </w:tc>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Rockville,</w:t>
            </w:r>
          </w:p>
        </w:tc>
        <w:tc>
          <w:tcPr>
            <w:tcW w:w="2240" w:type="dxa"/>
            <w:vAlign w:val="bottom"/>
            <w:gridSpan w:val="2"/>
          </w:tcPr>
          <w:p>
            <w:pPr>
              <w:ind w:left="240"/>
              <w:spacing w:after="0"/>
              <w:rPr>
                <w:sz w:val="20"/>
                <w:szCs w:val="20"/>
                <w:color w:val="auto"/>
              </w:rPr>
            </w:pPr>
            <w:r>
              <w:rPr>
                <w:rFonts w:ascii="Arial" w:cs="Arial" w:eastAsia="Arial" w:hAnsi="Arial"/>
                <w:sz w:val="18"/>
                <w:szCs w:val="18"/>
                <w:b w:val="1"/>
                <w:bCs w:val="1"/>
                <w:color w:val="auto"/>
              </w:rPr>
              <w:t>Maryland</w:t>
            </w:r>
          </w:p>
        </w:tc>
        <w:tc>
          <w:tcPr>
            <w:tcW w:w="3220" w:type="dxa"/>
            <w:vAlign w:val="bottom"/>
          </w:tcPr>
          <w:p>
            <w:pPr>
              <w:jc w:val="right"/>
              <w:ind w:right="2044"/>
              <w:spacing w:after="0"/>
              <w:rPr>
                <w:sz w:val="20"/>
                <w:szCs w:val="20"/>
                <w:color w:val="auto"/>
              </w:rPr>
            </w:pPr>
            <w:r>
              <w:rPr>
                <w:rFonts w:ascii="Arial" w:cs="Arial" w:eastAsia="Arial" w:hAnsi="Arial"/>
                <w:sz w:val="18"/>
                <w:szCs w:val="18"/>
                <w:b w:val="1"/>
                <w:bCs w:val="1"/>
                <w:color w:val="auto"/>
              </w:rPr>
              <w:t>20852-4041</w:t>
            </w:r>
          </w:p>
        </w:tc>
      </w:tr>
      <w:tr>
        <w:trPr>
          <w:trHeight w:val="281"/>
        </w:trPr>
        <w:tc>
          <w:tcPr>
            <w:tcW w:w="1500" w:type="dxa"/>
            <w:vAlign w:val="bottom"/>
          </w:tcPr>
          <w:p>
            <w:pPr>
              <w:spacing w:after="0"/>
              <w:rPr>
                <w:sz w:val="24"/>
                <w:szCs w:val="24"/>
                <w:color w:val="auto"/>
              </w:rPr>
            </w:pPr>
          </w:p>
        </w:tc>
        <w:tc>
          <w:tcPr>
            <w:tcW w:w="3420" w:type="dxa"/>
            <w:vAlign w:val="bottom"/>
            <w:gridSpan w:val="3"/>
          </w:tcPr>
          <w:p>
            <w:pPr>
              <w:ind w:left="130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jc w:val="center"/>
              <w:ind w:right="1804"/>
              <w:spacing w:after="0"/>
              <w:rPr>
                <w:sz w:val="20"/>
                <w:szCs w:val="20"/>
                <w:color w:val="auto"/>
              </w:rPr>
            </w:pPr>
            <w:r>
              <w:rPr>
                <w:rFonts w:ascii="Arial" w:cs="Arial" w:eastAsia="Arial" w:hAnsi="Arial"/>
                <w:sz w:val="13"/>
                <w:szCs w:val="13"/>
                <w:b w:val="1"/>
                <w:bCs w:val="1"/>
                <w:color w:val="auto"/>
                <w:w w:val="90"/>
              </w:rPr>
              <w:t>(Zip Code)</w:t>
            </w:r>
          </w:p>
        </w:tc>
      </w:tr>
      <w:tr>
        <w:trPr>
          <w:trHeight w:val="39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80" w:type="dxa"/>
            <w:vAlign w:val="bottom"/>
            <w:gridSpan w:val="5"/>
          </w:tcPr>
          <w:p>
            <w:pPr>
              <w:jc w:val="center"/>
              <w:ind w:right="2164"/>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405"/>
        </w:trPr>
        <w:tc>
          <w:tcPr>
            <w:tcW w:w="1500" w:type="dxa"/>
            <w:vAlign w:val="bottom"/>
          </w:tcPr>
          <w:p>
            <w:pPr>
              <w:spacing w:after="0"/>
              <w:rPr>
                <w:sz w:val="24"/>
                <w:szCs w:val="24"/>
                <w:color w:val="auto"/>
              </w:rPr>
            </w:pPr>
          </w:p>
        </w:tc>
        <w:tc>
          <w:tcPr>
            <w:tcW w:w="2500" w:type="dxa"/>
            <w:vAlign w:val="bottom"/>
            <w:gridSpan w:val="2"/>
          </w:tcPr>
          <w:p>
            <w:pPr>
              <w:jc w:val="center"/>
              <w:ind w:right="1110"/>
              <w:spacing w:after="0"/>
              <w:rPr>
                <w:sz w:val="20"/>
                <w:szCs w:val="20"/>
                <w:color w:val="auto"/>
              </w:rPr>
            </w:pPr>
            <w:r>
              <w:rPr>
                <w:rFonts w:ascii="Arial" w:cs="Arial" w:eastAsia="Arial" w:hAnsi="Arial"/>
                <w:sz w:val="16"/>
                <w:szCs w:val="16"/>
                <w:b w:val="1"/>
                <w:bCs w:val="1"/>
                <w:color w:val="auto"/>
                <w:w w:val="91"/>
              </w:rPr>
              <w:t>Title of Each Class</w:t>
            </w:r>
          </w:p>
        </w:tc>
        <w:tc>
          <w:tcPr>
            <w:tcW w:w="920" w:type="dxa"/>
            <w:vAlign w:val="bottom"/>
          </w:tcPr>
          <w:p>
            <w:pPr>
              <w:spacing w:after="0"/>
              <w:rPr>
                <w:sz w:val="24"/>
                <w:szCs w:val="24"/>
                <w:color w:val="auto"/>
              </w:rPr>
            </w:pPr>
          </w:p>
        </w:tc>
        <w:tc>
          <w:tcPr>
            <w:tcW w:w="2240" w:type="dxa"/>
            <w:vAlign w:val="bottom"/>
            <w:gridSpan w:val="2"/>
          </w:tcPr>
          <w:p>
            <w:pPr>
              <w:jc w:val="center"/>
              <w:ind w:right="1140"/>
              <w:spacing w:after="0"/>
              <w:rPr>
                <w:sz w:val="20"/>
                <w:szCs w:val="20"/>
                <w:color w:val="auto"/>
              </w:rPr>
            </w:pPr>
            <w:r>
              <w:rPr>
                <w:rFonts w:ascii="Arial" w:cs="Arial" w:eastAsia="Arial" w:hAnsi="Arial"/>
                <w:sz w:val="16"/>
                <w:szCs w:val="16"/>
                <w:b w:val="1"/>
                <w:bCs w:val="1"/>
                <w:color w:val="auto"/>
                <w:w w:val="90"/>
              </w:rPr>
              <w:t>Trading Symbol</w:t>
            </w:r>
          </w:p>
        </w:tc>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91"/>
        </w:trPr>
        <w:tc>
          <w:tcPr>
            <w:tcW w:w="4000" w:type="dxa"/>
            <w:vAlign w:val="bottom"/>
            <w:gridSpan w:val="3"/>
          </w:tcPr>
          <w:p>
            <w:pPr>
              <w:jc w:val="center"/>
              <w:ind w:left="244"/>
              <w:spacing w:after="0"/>
              <w:rPr>
                <w:sz w:val="20"/>
                <w:szCs w:val="20"/>
                <w:color w:val="auto"/>
              </w:rPr>
            </w:pPr>
            <w:r>
              <w:rPr>
                <w:rFonts w:ascii="Arial" w:cs="Arial" w:eastAsia="Arial" w:hAnsi="Arial"/>
                <w:sz w:val="16"/>
                <w:szCs w:val="16"/>
                <w:color w:val="auto"/>
                <w:w w:val="92"/>
              </w:rPr>
              <w:t>Common Shares of Beneficial Interest</w:t>
            </w:r>
          </w:p>
        </w:tc>
        <w:tc>
          <w:tcPr>
            <w:tcW w:w="920" w:type="dxa"/>
            <w:vAlign w:val="bottom"/>
          </w:tcPr>
          <w:p>
            <w:pPr>
              <w:spacing w:after="0"/>
              <w:rPr>
                <w:sz w:val="24"/>
                <w:szCs w:val="24"/>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8"/>
                <w:szCs w:val="18"/>
                <w:color w:val="auto"/>
                <w:w w:val="91"/>
              </w:rPr>
              <w:t>FRT</w:t>
            </w: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47"/>
        </w:trPr>
        <w:tc>
          <w:tcPr>
            <w:tcW w:w="4920" w:type="dxa"/>
            <w:vAlign w:val="bottom"/>
            <w:gridSpan w:val="4"/>
          </w:tcPr>
          <w:p>
            <w:pPr>
              <w:jc w:val="center"/>
              <w:ind w:right="530"/>
              <w:spacing w:after="0"/>
              <w:rPr>
                <w:sz w:val="20"/>
                <w:szCs w:val="20"/>
                <w:color w:val="auto"/>
              </w:rPr>
            </w:pPr>
            <w:r>
              <w:rPr>
                <w:rFonts w:ascii="Arial" w:cs="Arial" w:eastAsia="Arial" w:hAnsi="Arial"/>
                <w:sz w:val="16"/>
                <w:szCs w:val="16"/>
                <w:color w:val="auto"/>
                <w:w w:val="89"/>
              </w:rPr>
              <w:t>$.01 par value per share, with associated Common Share Purchase</w:t>
            </w: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06"/>
        </w:trPr>
        <w:tc>
          <w:tcPr>
            <w:tcW w:w="1500" w:type="dxa"/>
            <w:vAlign w:val="bottom"/>
          </w:tcPr>
          <w:p>
            <w:pPr>
              <w:spacing w:after="0"/>
              <w:rPr>
                <w:sz w:val="17"/>
                <w:szCs w:val="17"/>
                <w:color w:val="auto"/>
              </w:rPr>
            </w:pPr>
          </w:p>
        </w:tc>
        <w:tc>
          <w:tcPr>
            <w:tcW w:w="2500" w:type="dxa"/>
            <w:vAlign w:val="bottom"/>
            <w:gridSpan w:val="2"/>
          </w:tcPr>
          <w:p>
            <w:pPr>
              <w:jc w:val="center"/>
              <w:ind w:right="1110"/>
              <w:spacing w:after="0"/>
              <w:rPr>
                <w:sz w:val="20"/>
                <w:szCs w:val="20"/>
                <w:color w:val="auto"/>
              </w:rPr>
            </w:pPr>
            <w:r>
              <w:rPr>
                <w:rFonts w:ascii="Arial" w:cs="Arial" w:eastAsia="Arial" w:hAnsi="Arial"/>
                <w:sz w:val="16"/>
                <w:szCs w:val="16"/>
                <w:color w:val="auto"/>
                <w:w w:val="92"/>
              </w:rPr>
              <w:t>Rights</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452"/>
        </w:trPr>
        <w:tc>
          <w:tcPr>
            <w:tcW w:w="4000" w:type="dxa"/>
            <w:vAlign w:val="bottom"/>
            <w:gridSpan w:val="3"/>
          </w:tcPr>
          <w:p>
            <w:pPr>
              <w:jc w:val="center"/>
              <w:ind w:left="244"/>
              <w:spacing w:after="0"/>
              <w:rPr>
                <w:sz w:val="20"/>
                <w:szCs w:val="20"/>
                <w:color w:val="auto"/>
              </w:rPr>
            </w:pPr>
            <w:r>
              <w:rPr>
                <w:rFonts w:ascii="Arial" w:cs="Arial" w:eastAsia="Arial" w:hAnsi="Arial"/>
                <w:sz w:val="16"/>
                <w:szCs w:val="16"/>
                <w:color w:val="auto"/>
                <w:w w:val="89"/>
              </w:rPr>
              <w:t>Depositary Shares, each representing 1/1000 of a share</w:t>
            </w:r>
          </w:p>
        </w:tc>
        <w:tc>
          <w:tcPr>
            <w:tcW w:w="920" w:type="dxa"/>
            <w:vAlign w:val="bottom"/>
          </w:tcPr>
          <w:p>
            <w:pPr>
              <w:spacing w:after="0"/>
              <w:rPr>
                <w:sz w:val="24"/>
                <w:szCs w:val="24"/>
                <w:color w:val="auto"/>
              </w:rPr>
            </w:pPr>
          </w:p>
        </w:tc>
        <w:tc>
          <w:tcPr>
            <w:tcW w:w="2240" w:type="dxa"/>
            <w:vAlign w:val="bottom"/>
            <w:gridSpan w:val="2"/>
          </w:tcPr>
          <w:p>
            <w:pPr>
              <w:jc w:val="center"/>
              <w:ind w:right="1140"/>
              <w:spacing w:after="0"/>
              <w:rPr>
                <w:sz w:val="20"/>
                <w:szCs w:val="20"/>
                <w:color w:val="auto"/>
              </w:rPr>
            </w:pPr>
            <w:r>
              <w:rPr>
                <w:rFonts w:ascii="Arial" w:cs="Arial" w:eastAsia="Arial" w:hAnsi="Arial"/>
                <w:sz w:val="18"/>
                <w:szCs w:val="18"/>
                <w:color w:val="auto"/>
                <w:w w:val="92"/>
              </w:rPr>
              <w:t>FRT-C</w:t>
            </w: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44" w:lineRule="exact"/>
        <w:rPr>
          <w:sz w:val="24"/>
          <w:szCs w:val="24"/>
          <w:color w:val="auto"/>
        </w:rPr>
      </w:pPr>
    </w:p>
    <w:p>
      <w:pPr>
        <w:jc w:val="center"/>
        <w:ind w:right="636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34" w:lineRule="exact"/>
        <w:rPr>
          <w:sz w:val="24"/>
          <w:szCs w:val="24"/>
          <w:color w:val="auto"/>
        </w:rPr>
      </w:pPr>
    </w:p>
    <w:p>
      <w:pPr>
        <w:jc w:val="center"/>
        <w:ind w:right="6360"/>
        <w:spacing w:after="0"/>
        <w:rPr>
          <w:sz w:val="20"/>
          <w:szCs w:val="20"/>
          <w:color w:val="auto"/>
        </w:rPr>
      </w:pPr>
      <w:r>
        <w:rPr>
          <w:rFonts w:ascii="Arial" w:cs="Arial" w:eastAsia="Arial" w:hAnsi="Arial"/>
          <w:sz w:val="16"/>
          <w:szCs w:val="16"/>
          <w:color w:val="auto"/>
        </w:rPr>
        <w:t>value per share</w:t>
      </w:r>
    </w:p>
    <w:p>
      <w:pPr>
        <w:spacing w:after="0" w:line="361" w:lineRule="exact"/>
        <w:rPr>
          <w:sz w:val="24"/>
          <w:szCs w:val="24"/>
          <w:color w:val="auto"/>
        </w:rPr>
      </w:pPr>
    </w:p>
    <w:p>
      <w:pPr>
        <w:jc w:val="both"/>
        <w:ind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500" w:hanging="465"/>
        <w:spacing w:after="0" w:line="277"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320" w:top="652" w:right="5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This amendment No. 1 to the Current Report on Form 8-K amends </w:t>
      </w:r>
      <w:hyperlink r:id="rId8">
        <w:r>
          <w:rPr>
            <w:rFonts w:ascii="Arial" w:cs="Arial" w:eastAsia="Arial" w:hAnsi="Arial"/>
            <w:sz w:val="18"/>
            <w:szCs w:val="18"/>
            <w:u w:val="single" w:color="auto"/>
            <w:color w:val="0000FF"/>
          </w:rPr>
          <w:t>Exhibit 99.1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furnished on May 6, 2020 solely to correct the row label in the "Year" column in the chart "Lease Expirations" on page 25. No other changes have been made to original Form 8-K. The information in the following chart replaces in its entirety the comparable chart in the exhibit furnished on May 6, 2020.</w:t>
      </w:r>
    </w:p>
    <w:p>
      <w:pPr>
        <w:spacing w:after="0" w:line="19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777490" cy="179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2777490" cy="179705"/>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2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2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2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0" w:type="dxa"/>
            <w:vAlign w:val="bottom"/>
          </w:tcPr>
          <w:p>
            <w:pPr>
              <w:spacing w:after="0"/>
              <w:rPr>
                <w:sz w:val="1"/>
                <w:szCs w:val="1"/>
                <w:color w:val="auto"/>
              </w:rPr>
            </w:pPr>
          </w:p>
        </w:tc>
      </w:tr>
      <w:tr>
        <w:trPr>
          <w:trHeight w:val="192"/>
        </w:trPr>
        <w:tc>
          <w:tcPr>
            <w:tcW w:w="11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SF</w:t>
            </w:r>
          </w:p>
        </w:tc>
        <w:tc>
          <w:tcPr>
            <w:tcW w:w="22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Total SF</w:t>
            </w:r>
          </w:p>
        </w:tc>
        <w:tc>
          <w:tcPr>
            <w:tcW w:w="200" w:type="dxa"/>
            <w:vAlign w:val="bottom"/>
          </w:tcPr>
          <w:p>
            <w:pPr>
              <w:spacing w:after="0"/>
              <w:rPr>
                <w:sz w:val="16"/>
                <w:szCs w:val="16"/>
                <w:color w:val="auto"/>
              </w:rPr>
            </w:pPr>
          </w:p>
        </w:tc>
        <w:tc>
          <w:tcPr>
            <w:tcW w:w="90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23"/>
        </w:trPr>
        <w:tc>
          <w:tcPr>
            <w:tcW w:w="1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2020</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595,000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17.52</w:t>
            </w:r>
          </w:p>
        </w:tc>
        <w:tc>
          <w:tcPr>
            <w:tcW w:w="200" w:type="dxa"/>
            <w:vAlign w:val="bottom"/>
          </w:tcPr>
          <w:p>
            <w:pPr>
              <w:spacing w:after="0"/>
              <w:rPr>
                <w:sz w:val="19"/>
                <w:szCs w:val="19"/>
                <w:color w:val="auto"/>
              </w:rPr>
            </w:pPr>
          </w:p>
        </w:tc>
        <w:tc>
          <w:tcPr>
            <w:tcW w:w="12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537,000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35.96</w:t>
            </w:r>
          </w:p>
        </w:tc>
        <w:tc>
          <w:tcPr>
            <w:tcW w:w="220" w:type="dxa"/>
            <w:vAlign w:val="bottom"/>
          </w:tcPr>
          <w:p>
            <w:pPr>
              <w:spacing w:after="0"/>
              <w:rPr>
                <w:sz w:val="19"/>
                <w:szCs w:val="19"/>
                <w:color w:val="auto"/>
              </w:rPr>
            </w:pP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1,131,000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26.27</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844,000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44.53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2,264,000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29.07</w:t>
            </w:r>
          </w:p>
        </w:tc>
        <w:tc>
          <w:tcPr>
            <w:tcW w:w="0" w:type="dxa"/>
            <w:vAlign w:val="bottom"/>
          </w:tcPr>
          <w:p>
            <w:pPr>
              <w:spacing w:after="0"/>
              <w:rPr>
                <w:sz w:val="1"/>
                <w:szCs w:val="1"/>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6"/>
                <w:szCs w:val="16"/>
                <w:b w:val="1"/>
                <w:bCs w:val="1"/>
                <w:color w:val="auto"/>
              </w:rPr>
              <w:t>2022</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1,970,000</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17.92</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974,000</w:t>
            </w: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43.70</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2,944,000</w:t>
            </w: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26.45</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2023</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903,000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46.25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2,427,000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30.76</w:t>
            </w:r>
          </w:p>
        </w:tc>
        <w:tc>
          <w:tcPr>
            <w:tcW w:w="0" w:type="dxa"/>
            <w:vAlign w:val="bottom"/>
          </w:tcPr>
          <w:p>
            <w:pPr>
              <w:spacing w:after="0"/>
              <w:rPr>
                <w:sz w:val="1"/>
                <w:szCs w:val="1"/>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6"/>
                <w:szCs w:val="16"/>
                <w:b w:val="1"/>
                <w:bCs w:val="1"/>
                <w:color w:val="auto"/>
              </w:rPr>
              <w:t>2024</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2,403,000</w:t>
            </w: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18.48</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915,000</w:t>
            </w: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46.54</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3,318,000</w:t>
            </w: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26.21</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2025</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779,000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43.03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2,296,000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6"/>
                <w:szCs w:val="16"/>
                <w:b w:val="1"/>
                <w:bCs w:val="1"/>
                <w:color w:val="auto"/>
              </w:rPr>
              <w:t>2026</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813,000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21.87</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427,000</w:t>
            </w: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50.21</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1,241,000</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31.64</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2027</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483,000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47.67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1,315,000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39.28</w:t>
            </w:r>
          </w:p>
        </w:tc>
        <w:tc>
          <w:tcPr>
            <w:tcW w:w="0" w:type="dxa"/>
            <w:vAlign w:val="bottom"/>
          </w:tcPr>
          <w:p>
            <w:pPr>
              <w:spacing w:after="0"/>
              <w:rPr>
                <w:sz w:val="1"/>
                <w:szCs w:val="1"/>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6"/>
                <w:szCs w:val="16"/>
                <w:b w:val="1"/>
                <w:bCs w:val="1"/>
                <w:color w:val="auto"/>
              </w:rPr>
              <w:t>2028</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791,000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22.94</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412,000</w:t>
            </w: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53.28</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1,203,000</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33.34</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2029</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389,000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45.76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1,321,000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31.49</w:t>
            </w:r>
          </w:p>
        </w:tc>
        <w:tc>
          <w:tcPr>
            <w:tcW w:w="0" w:type="dxa"/>
            <w:vAlign w:val="bottom"/>
          </w:tcPr>
          <w:p>
            <w:pPr>
              <w:spacing w:after="0"/>
              <w:rPr>
                <w:sz w:val="1"/>
                <w:szCs w:val="1"/>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6"/>
                <w:szCs w:val="16"/>
                <w:b w:val="1"/>
                <w:bCs w:val="1"/>
                <w:color w:val="auto"/>
              </w:rPr>
              <w:t>Thereafter</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2,252,000</w:t>
            </w: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25.54</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353,000</w:t>
            </w: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46.47</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2,604,000</w:t>
            </w: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33"/>
        </w:trPr>
        <w:tc>
          <w:tcPr>
            <w:tcW w:w="1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(3)</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15,048,000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7,016,000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45.32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22,064,000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0"/>
        </w:trPr>
        <w:tc>
          <w:tcPr>
            <w:tcW w:w="3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00" w:type="dxa"/>
            <w:vAlign w:val="bottom"/>
            <w:tcBorders>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260" w:type="dxa"/>
            <w:vAlign w:val="bottom"/>
            <w:tcBorders>
              <w:lef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Assumes all lease options are exercised</w:t>
            </w:r>
          </w:p>
        </w:tc>
        <w:tc>
          <w:tcPr>
            <w:tcW w:w="2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00" w:type="dxa"/>
            <w:vAlign w:val="bottom"/>
            <w:tcBorders>
              <w:left w:val="single" w:sz="8" w:color="auto"/>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0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2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2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2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0" w:type="dxa"/>
            <w:vAlign w:val="bottom"/>
          </w:tcPr>
          <w:p>
            <w:pPr>
              <w:spacing w:after="0"/>
              <w:rPr>
                <w:sz w:val="1"/>
                <w:szCs w:val="1"/>
                <w:color w:val="auto"/>
              </w:rPr>
            </w:pPr>
          </w:p>
        </w:tc>
      </w:tr>
      <w:tr>
        <w:trPr>
          <w:trHeight w:val="192"/>
        </w:trPr>
        <w:tc>
          <w:tcPr>
            <w:tcW w:w="11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SF</w:t>
            </w:r>
          </w:p>
        </w:tc>
        <w:tc>
          <w:tcPr>
            <w:tcW w:w="22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Total SF</w:t>
            </w:r>
          </w:p>
        </w:tc>
        <w:tc>
          <w:tcPr>
            <w:tcW w:w="200" w:type="dxa"/>
            <w:vAlign w:val="bottom"/>
          </w:tcPr>
          <w:p>
            <w:pPr>
              <w:spacing w:after="0"/>
              <w:rPr>
                <w:sz w:val="16"/>
                <w:szCs w:val="16"/>
                <w:color w:val="auto"/>
              </w:rPr>
            </w:pPr>
          </w:p>
        </w:tc>
        <w:tc>
          <w:tcPr>
            <w:tcW w:w="90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23"/>
        </w:trPr>
        <w:tc>
          <w:tcPr>
            <w:tcW w:w="1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2020</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351,000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20.09</w:t>
            </w:r>
          </w:p>
        </w:tc>
        <w:tc>
          <w:tcPr>
            <w:tcW w:w="200" w:type="dxa"/>
            <w:vAlign w:val="bottom"/>
          </w:tcPr>
          <w:p>
            <w:pPr>
              <w:spacing w:after="0"/>
              <w:rPr>
                <w:sz w:val="19"/>
                <w:szCs w:val="19"/>
                <w:color w:val="auto"/>
              </w:rPr>
            </w:pPr>
          </w:p>
        </w:tc>
        <w:tc>
          <w:tcPr>
            <w:tcW w:w="12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508,000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35.59</w:t>
            </w:r>
          </w:p>
        </w:tc>
        <w:tc>
          <w:tcPr>
            <w:tcW w:w="220" w:type="dxa"/>
            <w:vAlign w:val="bottom"/>
          </w:tcPr>
          <w:p>
            <w:pPr>
              <w:spacing w:after="0"/>
              <w:rPr>
                <w:sz w:val="19"/>
                <w:szCs w:val="19"/>
                <w:color w:val="auto"/>
              </w:rPr>
            </w:pP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859,000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29.26</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534,000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46.79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903,000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33.72</w:t>
            </w:r>
          </w:p>
        </w:tc>
        <w:tc>
          <w:tcPr>
            <w:tcW w:w="0" w:type="dxa"/>
            <w:vAlign w:val="bottom"/>
          </w:tcPr>
          <w:p>
            <w:pPr>
              <w:spacing w:after="0"/>
              <w:rPr>
                <w:sz w:val="1"/>
                <w:szCs w:val="1"/>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6"/>
                <w:szCs w:val="16"/>
                <w:b w:val="1"/>
                <w:bCs w:val="1"/>
                <w:color w:val="auto"/>
              </w:rPr>
              <w:t>2022</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254,000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22.42</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583,000</w:t>
            </w: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43.02</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837,000</w:t>
            </w: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36.77</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2023</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24.28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563,000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949,000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35.10</w:t>
            </w:r>
          </w:p>
        </w:tc>
        <w:tc>
          <w:tcPr>
            <w:tcW w:w="0" w:type="dxa"/>
            <w:vAlign w:val="bottom"/>
          </w:tcPr>
          <w:p>
            <w:pPr>
              <w:spacing w:after="0"/>
              <w:rPr>
                <w:sz w:val="1"/>
                <w:szCs w:val="1"/>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6"/>
                <w:szCs w:val="16"/>
                <w:b w:val="1"/>
                <w:bCs w:val="1"/>
                <w:color w:val="auto"/>
              </w:rPr>
              <w:t>2024</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581,000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22.78</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456,000</w:t>
            </w: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45.68</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1,036,000</w:t>
            </w: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32.85</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2025</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420,000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43.20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754,000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33.71</w:t>
            </w:r>
          </w:p>
        </w:tc>
        <w:tc>
          <w:tcPr>
            <w:tcW w:w="0" w:type="dxa"/>
            <w:vAlign w:val="bottom"/>
          </w:tcPr>
          <w:p>
            <w:pPr>
              <w:spacing w:after="0"/>
              <w:rPr>
                <w:sz w:val="1"/>
                <w:szCs w:val="1"/>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6"/>
                <w:szCs w:val="16"/>
                <w:b w:val="1"/>
                <w:bCs w:val="1"/>
                <w:color w:val="auto"/>
              </w:rPr>
              <w:t>2026</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537,000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23.51</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354,000</w:t>
            </w: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46.88</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891,000</w:t>
            </w: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32.80</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2027</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466,000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1,211,000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31.47</w:t>
            </w:r>
          </w:p>
        </w:tc>
        <w:tc>
          <w:tcPr>
            <w:tcW w:w="0" w:type="dxa"/>
            <w:vAlign w:val="bottom"/>
          </w:tcPr>
          <w:p>
            <w:pPr>
              <w:spacing w:after="0"/>
              <w:rPr>
                <w:sz w:val="1"/>
                <w:szCs w:val="1"/>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6"/>
                <w:szCs w:val="16"/>
                <w:b w:val="1"/>
                <w:bCs w:val="1"/>
                <w:color w:val="auto"/>
              </w:rPr>
              <w:t>2028</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626,000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18.64</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414,000</w:t>
            </w: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49.87</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1,040,000</w:t>
            </w: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31.07</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2029</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367,000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44.12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1,162,000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6"/>
                <w:szCs w:val="16"/>
                <w:b w:val="1"/>
                <w:bCs w:val="1"/>
                <w:color w:val="auto"/>
              </w:rPr>
              <w:t>Thereafter</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10,071,000</w:t>
            </w:r>
          </w:p>
        </w:tc>
        <w:tc>
          <w:tcPr>
            <w:tcW w:w="960" w:type="dxa"/>
            <w:vAlign w:val="bottom"/>
          </w:tcPr>
          <w:p>
            <w:pPr>
              <w:jc w:val="right"/>
              <w:spacing w:after="0"/>
              <w:rPr>
                <w:sz w:val="20"/>
                <w:szCs w:val="20"/>
                <w:color w:val="auto"/>
              </w:rPr>
            </w:pPr>
            <w:r>
              <w:rPr>
                <w:rFonts w:ascii="Arial" w:cs="Arial" w:eastAsia="Arial" w:hAnsi="Arial"/>
                <w:sz w:val="16"/>
                <w:szCs w:val="16"/>
                <w:color w:val="auto"/>
              </w:rPr>
              <w:t>67%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22.19</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2,351,000</w:t>
            </w:r>
          </w:p>
        </w:tc>
        <w:tc>
          <w:tcPr>
            <w:tcW w:w="92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47.53</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12,422,000</w:t>
            </w:r>
          </w:p>
        </w:tc>
        <w:tc>
          <w:tcPr>
            <w:tcW w:w="720" w:type="dxa"/>
            <w:vAlign w:val="bottom"/>
          </w:tcPr>
          <w:p>
            <w:pPr>
              <w:jc w:val="right"/>
              <w:spacing w:after="0"/>
              <w:rPr>
                <w:sz w:val="20"/>
                <w:szCs w:val="20"/>
                <w:color w:val="auto"/>
              </w:rPr>
            </w:pPr>
            <w:r>
              <w:rPr>
                <w:rFonts w:ascii="Arial" w:cs="Arial" w:eastAsia="Arial" w:hAnsi="Arial"/>
                <w:sz w:val="16"/>
                <w:szCs w:val="16"/>
                <w:color w:val="auto"/>
              </w:rPr>
              <w:t>56%</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26.98</w:t>
            </w:r>
          </w:p>
        </w:tc>
        <w:tc>
          <w:tcPr>
            <w:tcW w:w="0" w:type="dxa"/>
            <w:vAlign w:val="bottom"/>
          </w:tcPr>
          <w:p>
            <w:pPr>
              <w:spacing w:after="0"/>
              <w:rPr>
                <w:sz w:val="1"/>
                <w:szCs w:val="1"/>
                <w:color w:val="auto"/>
              </w:rPr>
            </w:pPr>
          </w:p>
        </w:tc>
      </w:tr>
      <w:tr>
        <w:trPr>
          <w:trHeight w:val="33"/>
        </w:trPr>
        <w:tc>
          <w:tcPr>
            <w:tcW w:w="1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1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(3)</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15,048,000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7,016,000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45.32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22,064,000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Notes:</w:t>
      </w:r>
    </w:p>
    <w:p>
      <w:pPr>
        <w:spacing w:after="0" w:line="63" w:lineRule="exact"/>
        <w:rPr>
          <w:sz w:val="20"/>
          <w:szCs w:val="20"/>
          <w:color w:val="auto"/>
        </w:rPr>
      </w:pPr>
    </w:p>
    <w:p>
      <w:pPr>
        <w:ind w:left="840" w:hanging="805"/>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Anchor is defined as a commercial tenant leasing 10,000 square feet or more.</w:t>
      </w:r>
    </w:p>
    <w:p>
      <w:pPr>
        <w:spacing w:after="0" w:line="63" w:lineRule="exact"/>
        <w:rPr>
          <w:rFonts w:ascii="Arial" w:cs="Arial" w:eastAsia="Arial" w:hAnsi="Arial"/>
          <w:sz w:val="18"/>
          <w:szCs w:val="18"/>
          <w:color w:val="auto"/>
        </w:rPr>
      </w:pPr>
    </w:p>
    <w:p>
      <w:pPr>
        <w:ind w:left="840" w:hanging="805"/>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Minimum Rent reflects in-place contractual (defined as cash-basis excluding rent abatements) rent as of March 31, 2020.</w:t>
      </w:r>
    </w:p>
    <w:p>
      <w:pPr>
        <w:spacing w:after="0" w:line="63" w:lineRule="exact"/>
        <w:rPr>
          <w:rFonts w:ascii="Arial" w:cs="Arial" w:eastAsia="Arial" w:hAnsi="Arial"/>
          <w:sz w:val="18"/>
          <w:szCs w:val="18"/>
          <w:color w:val="auto"/>
        </w:rPr>
      </w:pPr>
    </w:p>
    <w:p>
      <w:pPr>
        <w:ind w:left="840" w:hanging="805"/>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occupied square footage of the commercial portion of our portfolio as of March 31, 2020.</w:t>
      </w:r>
    </w:p>
    <w:p>
      <w:pPr>
        <w:spacing w:after="0" w:line="63" w:lineRule="exact"/>
        <w:rPr>
          <w:rFonts w:ascii="Arial" w:cs="Arial" w:eastAsia="Arial" w:hAnsi="Arial"/>
          <w:sz w:val="18"/>
          <w:szCs w:val="18"/>
          <w:color w:val="auto"/>
        </w:rPr>
      </w:pPr>
    </w:p>
    <w:p>
      <w:pPr>
        <w:ind w:left="840" w:hanging="805"/>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26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foregoing information is being furnished under Item 2.02- Results of Operations and Financial Condition. This information shall not be deemed "filed" for any purpose, including for the purposes of Section 18 of the Securities Exchange Act of 1934, as amended (the "Exchnage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ectPr>
          <w:pgSz w:w="11900" w:h="16838" w:orient="portrait"/>
          <w:cols w:equalWidth="0" w:num="1">
            <w:col w:w="11240"/>
          </w:cols>
          <w:pgMar w:left="320" w:top="553" w:right="3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6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FEDERAL REALTY INVESTMENT TRUST</w:t>
      </w:r>
    </w:p>
    <w:p>
      <w:pPr>
        <w:spacing w:after="0" w:line="384" w:lineRule="exact"/>
        <w:rPr>
          <w:sz w:val="20"/>
          <w:szCs w:val="20"/>
          <w:color w:val="auto"/>
        </w:rPr>
      </w:pPr>
    </w:p>
    <w:p>
      <w:pPr>
        <w:ind w:left="1040"/>
        <w:spacing w:after="0"/>
        <w:tabs>
          <w:tab w:leader="none" w:pos="1700" w:val="left"/>
          <w:tab w:leader="none" w:pos="4860" w:val="left"/>
        </w:tabs>
        <w:rPr>
          <w:sz w:val="20"/>
          <w:szCs w:val="20"/>
          <w:color w:val="auto"/>
        </w:rPr>
      </w:pPr>
      <w:r>
        <w:rPr>
          <w:rFonts w:ascii="Arial" w:cs="Arial" w:eastAsia="Arial" w:hAnsi="Arial"/>
          <w:sz w:val="20"/>
          <w:szCs w:val="20"/>
          <w:color w:val="auto"/>
        </w:rPr>
        <w:t>Date:</w:t>
        <w:tab/>
        <w:t>May 7, 2020</w:t>
      </w:r>
      <w:r>
        <w:rPr>
          <w:sz w:val="20"/>
          <w:szCs w:val="20"/>
          <w:color w:val="auto"/>
        </w:rPr>
        <w:tab/>
      </w:r>
      <w:r>
        <w:rPr>
          <w:rFonts w:ascii="Arial" w:cs="Arial" w:eastAsia="Arial" w:hAnsi="Arial"/>
          <w:sz w:val="18"/>
          <w:szCs w:val="18"/>
          <w:u w:val="single" w:color="auto"/>
          <w:color w:val="auto"/>
        </w:rPr>
        <w:t>/s/ Daniel Guglielmone</w:t>
      </w:r>
    </w:p>
    <w:p>
      <w:pPr>
        <w:spacing w:after="0" w:line="378"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Daniel Guglielmone</w:t>
      </w:r>
    </w:p>
    <w:p>
      <w:pPr>
        <w:spacing w:after="0" w:line="54"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Executive Vice President-</w:t>
      </w:r>
    </w:p>
    <w:p>
      <w:pPr>
        <w:spacing w:after="0" w:line="54"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Chief Financial Officer and Treasurer</w:t>
      </w:r>
    </w:p>
    <w:p>
      <w:pPr>
        <w:sectPr>
          <w:pgSz w:w="11900" w:h="16838" w:orient="portrait"/>
          <w:cols w:equalWidth="0" w:num="1">
            <w:col w:w="10880"/>
          </w:cols>
          <w:pgMar w:left="320" w:top="778" w:right="6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4"/>
        </w:trPr>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320" w:type="dxa"/>
            <w:vAlign w:val="bottom"/>
          </w:tcPr>
          <w:p>
            <w:pPr>
              <w:ind w:left="2900"/>
              <w:spacing w:after="0"/>
              <w:rPr>
                <w:sz w:val="20"/>
                <w:szCs w:val="20"/>
                <w:color w:val="auto"/>
              </w:rPr>
            </w:pPr>
            <w:r>
              <w:rPr>
                <w:rFonts w:ascii="Arial" w:cs="Arial" w:eastAsia="Arial" w:hAnsi="Arial"/>
                <w:sz w:val="22"/>
                <w:szCs w:val="22"/>
                <w:color w:val="auto"/>
              </w:rPr>
              <w:t>EXHIBIT INDEX</w:t>
            </w:r>
          </w:p>
        </w:tc>
      </w:tr>
      <w:tr>
        <w:trPr>
          <w:trHeight w:val="800"/>
        </w:trPr>
        <w:tc>
          <w:tcPr>
            <w:tcW w:w="192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 Number</w:t>
            </w:r>
          </w:p>
        </w:tc>
        <w:tc>
          <w:tcPr>
            <w:tcW w:w="932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jc w:val="right"/>
              <w:ind w:right="1430"/>
              <w:spacing w:after="0"/>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20"/>
                <w:szCs w:val="20"/>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w w:val="98"/>
              </w:rPr>
              <w:t>Cover Page Interactive Data File (the Cover Page Interactive Data File is embedded within the Inline XBRL Document</w:t>
            </w:r>
          </w:p>
        </w:tc>
      </w:tr>
    </w:tbl>
    <w:p>
      <w:pPr>
        <w:spacing w:after="0" w:line="1" w:lineRule="exact"/>
        <w:rPr>
          <w:sz w:val="20"/>
          <w:szCs w:val="20"/>
          <w:color w:val="auto"/>
        </w:rPr>
      </w:pPr>
    </w:p>
    <w:sectPr>
      <w:pgSz w:w="11900" w:h="16838" w:orient="portrait"/>
      <w:cols w:equalWidth="0" w:num="1">
        <w:col w:w="11240"/>
      </w:cols>
      <w:pgMar w:left="320" w:top="5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8" Type="http://schemas.openxmlformats.org/officeDocument/2006/relationships/hyperlink" Target="https://www.sec.gov/Archives/edgar/data/34903/000003490320000019/frt-03312020x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2020-05-07T15:39:49Z</dcterms:created>
  <dcterms:modified xsi:type="dcterms:W3CDTF">2020-05-07T15:39:49Z</dcterms:modified>
</cp:coreProperties>
</file>