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 2007</w:t>
      </w:r>
    </w:p>
    <w:p>
      <w:pPr>
        <w:spacing w:after="0" w:line="21" w:lineRule="exact"/>
        <w:rPr>
          <w:sz w:val="24"/>
          <w:szCs w:val="24"/>
          <w:color w:val="auto"/>
        </w:rPr>
      </w:pPr>
    </w:p>
    <w:p>
      <w:pPr>
        <w:ind w:left="8740"/>
        <w:spacing w:after="0"/>
        <w:rPr>
          <w:sz w:val="20"/>
          <w:szCs w:val="20"/>
          <w:color w:val="auto"/>
        </w:rPr>
      </w:pPr>
      <w:r>
        <w:rPr>
          <w:rFonts w:ascii="Arial" w:cs="Arial" w:eastAsia="Arial" w:hAnsi="Arial"/>
          <w:sz w:val="18"/>
          <w:szCs w:val="18"/>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360" w:type="dxa"/>
            <w:vAlign w:val="bottom"/>
          </w:tcPr>
          <w:p>
            <w:pPr>
              <w:jc w:val="center"/>
              <w:ind w:left="1282"/>
              <w:spacing w:after="0"/>
              <w:rPr>
                <w:sz w:val="20"/>
                <w:szCs w:val="20"/>
                <w:color w:val="auto"/>
              </w:rPr>
            </w:pPr>
            <w:r>
              <w:rPr>
                <w:rFonts w:ascii="Arial" w:cs="Arial" w:eastAsia="Arial" w:hAnsi="Arial"/>
                <w:sz w:val="18"/>
                <w:szCs w:val="18"/>
                <w:b w:val="1"/>
                <w:bCs w:val="1"/>
                <w:color w:val="auto"/>
                <w:w w:val="96"/>
              </w:rPr>
              <w:t>Maryland</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80" w:type="dxa"/>
            <w:vAlign w:val="bottom"/>
            <w:gridSpan w:val="2"/>
          </w:tcPr>
          <w:p>
            <w:pPr>
              <w:jc w:val="center"/>
              <w:ind w:right="568"/>
              <w:spacing w:after="0"/>
              <w:rPr>
                <w:sz w:val="20"/>
                <w:szCs w:val="20"/>
                <w:color w:val="auto"/>
              </w:rPr>
            </w:pPr>
            <w:r>
              <w:rPr>
                <w:rFonts w:ascii="Arial" w:cs="Arial" w:eastAsia="Arial" w:hAnsi="Arial"/>
                <w:sz w:val="18"/>
                <w:szCs w:val="18"/>
                <w:b w:val="1"/>
                <w:bCs w:val="1"/>
                <w:color w:val="auto"/>
                <w:w w:val="87"/>
              </w:rPr>
              <w:t>52-0782497</w:t>
            </w:r>
          </w:p>
        </w:tc>
        <w:tc>
          <w:tcPr>
            <w:tcW w:w="1580" w:type="dxa"/>
            <w:vAlign w:val="bottom"/>
          </w:tcPr>
          <w:p>
            <w:pPr>
              <w:spacing w:after="0"/>
              <w:rPr>
                <w:sz w:val="18"/>
                <w:szCs w:val="18"/>
                <w:color w:val="auto"/>
              </w:rPr>
            </w:pPr>
          </w:p>
        </w:tc>
      </w:tr>
      <w:tr>
        <w:trPr>
          <w:trHeight w:val="149"/>
        </w:trPr>
        <w:tc>
          <w:tcPr>
            <w:tcW w:w="4360" w:type="dxa"/>
            <w:vAlign w:val="bottom"/>
          </w:tcPr>
          <w:p>
            <w:pPr>
              <w:jc w:val="center"/>
              <w:ind w:left="13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80" w:type="dxa"/>
            <w:vAlign w:val="bottom"/>
            <w:gridSpan w:val="2"/>
          </w:tcPr>
          <w:p>
            <w:pPr>
              <w:jc w:val="center"/>
              <w:ind w:right="54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1580" w:type="dxa"/>
            <w:vAlign w:val="bottom"/>
          </w:tcPr>
          <w:p>
            <w:pPr>
              <w:spacing w:after="0"/>
              <w:rPr>
                <w:sz w:val="12"/>
                <w:szCs w:val="12"/>
                <w:color w:val="auto"/>
              </w:rPr>
            </w:pPr>
          </w:p>
        </w:tc>
      </w:tr>
      <w:tr>
        <w:trPr>
          <w:trHeight w:val="174"/>
        </w:trPr>
        <w:tc>
          <w:tcPr>
            <w:tcW w:w="4360" w:type="dxa"/>
            <w:vAlign w:val="bottom"/>
          </w:tcPr>
          <w:p>
            <w:pPr>
              <w:jc w:val="center"/>
              <w:ind w:left="1302"/>
              <w:spacing w:after="0"/>
              <w:rPr>
                <w:sz w:val="20"/>
                <w:szCs w:val="20"/>
                <w:color w:val="auto"/>
              </w:rPr>
            </w:pPr>
            <w:r>
              <w:rPr>
                <w:rFonts w:ascii="Arial" w:cs="Arial" w:eastAsia="Arial" w:hAnsi="Arial"/>
                <w:sz w:val="14"/>
                <w:szCs w:val="14"/>
                <w:b w:val="1"/>
                <w:bCs w:val="1"/>
                <w:color w:val="auto"/>
                <w:w w:val="89"/>
              </w:rPr>
              <w:t>Incorporation or Organization)</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3"/>
          </w:tcPr>
          <w:p>
            <w:pPr>
              <w:jc w:val="center"/>
              <w:ind w:left="369"/>
              <w:spacing w:after="0"/>
              <w:rPr>
                <w:sz w:val="20"/>
                <w:szCs w:val="20"/>
                <w:color w:val="auto"/>
              </w:rPr>
            </w:pPr>
            <w:r>
              <w:rPr>
                <w:rFonts w:ascii="Arial" w:cs="Arial" w:eastAsia="Arial" w:hAnsi="Arial"/>
                <w:sz w:val="14"/>
                <w:szCs w:val="14"/>
                <w:b w:val="1"/>
                <w:bCs w:val="1"/>
                <w:color w:val="auto"/>
                <w:w w:val="90"/>
              </w:rPr>
              <w:t>Identification Number)</w:t>
            </w:r>
          </w:p>
        </w:tc>
        <w:tc>
          <w:tcPr>
            <w:tcW w:w="1580" w:type="dxa"/>
            <w:vAlign w:val="bottom"/>
          </w:tcPr>
          <w:p>
            <w:pPr>
              <w:spacing w:after="0"/>
              <w:rPr>
                <w:sz w:val="15"/>
                <w:szCs w:val="15"/>
                <w:color w:val="auto"/>
              </w:rPr>
            </w:pPr>
          </w:p>
        </w:tc>
      </w:tr>
      <w:tr>
        <w:trPr>
          <w:trHeight w:val="283"/>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7"/>
              </w:rPr>
              <w:t>1626 East Jefferson Street</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Rockville, MD 20852</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8"/>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(301) 998—8100</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74"/>
        </w:trPr>
        <w:tc>
          <w:tcPr>
            <w:tcW w:w="4360" w:type="dxa"/>
            <w:vAlign w:val="bottom"/>
          </w:tcPr>
          <w:p>
            <w:pPr>
              <w:spacing w:after="0"/>
              <w:rPr>
                <w:sz w:val="15"/>
                <w:szCs w:val="15"/>
                <w:color w:val="auto"/>
              </w:rPr>
            </w:pPr>
          </w:p>
        </w:tc>
        <w:tc>
          <w:tcPr>
            <w:tcW w:w="27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70"/>
        </w:trPr>
        <w:tc>
          <w:tcPr>
            <w:tcW w:w="4360" w:type="dxa"/>
            <w:vAlign w:val="bottom"/>
          </w:tcPr>
          <w:p>
            <w:pPr>
              <w:spacing w:after="0"/>
              <w:rPr>
                <w:sz w:val="23"/>
                <w:szCs w:val="23"/>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Federal Realty Investment Trust</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18"/>
        </w:trPr>
        <w:tc>
          <w:tcPr>
            <w:tcW w:w="8160" w:type="dxa"/>
            <w:vAlign w:val="bottom"/>
            <w:gridSpan w:val="7"/>
          </w:tcPr>
          <w:p>
            <w:pPr>
              <w:jc w:val="center"/>
              <w:ind w:left="3202"/>
              <w:spacing w:after="0"/>
              <w:rPr>
                <w:sz w:val="20"/>
                <w:szCs w:val="20"/>
                <w:color w:val="auto"/>
              </w:rPr>
            </w:pPr>
            <w:r>
              <w:rPr>
                <w:rFonts w:ascii="Arial" w:cs="Arial" w:eastAsia="Arial" w:hAnsi="Arial"/>
                <w:sz w:val="18"/>
                <w:szCs w:val="18"/>
                <w:b w:val="1"/>
                <w:bCs w:val="1"/>
                <w:color w:val="auto"/>
                <w:w w:val="88"/>
              </w:rPr>
              <w:t>Amended and Restated 2001 Long-Term Incentive Plan</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74"/>
        </w:trPr>
        <w:tc>
          <w:tcPr>
            <w:tcW w:w="4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(Full title of the Plan)</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70"/>
        </w:trPr>
        <w:tc>
          <w:tcPr>
            <w:tcW w:w="4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Dawn M. Becker</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16"/>
        </w:trPr>
        <w:tc>
          <w:tcPr>
            <w:tcW w:w="8160" w:type="dxa"/>
            <w:vAlign w:val="bottom"/>
            <w:gridSpan w:val="7"/>
          </w:tcPr>
          <w:p>
            <w:pPr>
              <w:jc w:val="center"/>
              <w:ind w:left="3202"/>
              <w:spacing w:after="0"/>
              <w:rPr>
                <w:sz w:val="20"/>
                <w:szCs w:val="20"/>
                <w:color w:val="auto"/>
              </w:rPr>
            </w:pPr>
            <w:r>
              <w:rPr>
                <w:rFonts w:ascii="Arial" w:cs="Arial" w:eastAsia="Arial" w:hAnsi="Arial"/>
                <w:sz w:val="18"/>
                <w:szCs w:val="18"/>
                <w:b w:val="1"/>
                <w:bCs w:val="1"/>
                <w:color w:val="auto"/>
                <w:w w:val="87"/>
              </w:rPr>
              <w:t>Executive Vice President, General Counsel and Secretary</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27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Federal Realty Investment Trust</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7"/>
              </w:rPr>
              <w:t>1626 East Jefferson Street</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8"/>
        </w:trPr>
        <w:tc>
          <w:tcPr>
            <w:tcW w:w="4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Rockville, MD 20852</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74"/>
        </w:trPr>
        <w:tc>
          <w:tcPr>
            <w:tcW w:w="4360" w:type="dxa"/>
            <w:vAlign w:val="bottom"/>
          </w:tcPr>
          <w:p>
            <w:pPr>
              <w:spacing w:after="0"/>
              <w:rPr>
                <w:sz w:val="15"/>
                <w:szCs w:val="15"/>
                <w:color w:val="auto"/>
              </w:rPr>
            </w:pPr>
          </w:p>
        </w:tc>
        <w:tc>
          <w:tcPr>
            <w:tcW w:w="27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5"/>
              </w:rPr>
              <w:t>(Name and Address of agent for service)</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71"/>
        </w:trPr>
        <w:tc>
          <w:tcPr>
            <w:tcW w:w="4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3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8"/>
              </w:rPr>
              <w:t>(301) 998 – 8100</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74"/>
        </w:trPr>
        <w:tc>
          <w:tcPr>
            <w:tcW w:w="8160" w:type="dxa"/>
            <w:vAlign w:val="bottom"/>
            <w:gridSpan w:val="7"/>
          </w:tcPr>
          <w:p>
            <w:pPr>
              <w:jc w:val="center"/>
              <w:ind w:left="3202"/>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6"/>
        </w:trPr>
        <w:tc>
          <w:tcPr>
            <w:tcW w:w="4740" w:type="dxa"/>
            <w:vAlign w:val="bottom"/>
            <w:gridSpan w:val="2"/>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16"/>
        </w:trPr>
        <w:tc>
          <w:tcPr>
            <w:tcW w:w="8160" w:type="dxa"/>
            <w:vAlign w:val="bottom"/>
            <w:gridSpan w:val="7"/>
          </w:tcPr>
          <w:p>
            <w:pPr>
              <w:jc w:val="center"/>
              <w:ind w:left="3182"/>
              <w:spacing w:after="0"/>
              <w:rPr>
                <w:sz w:val="20"/>
                <w:szCs w:val="20"/>
                <w:color w:val="auto"/>
              </w:rPr>
            </w:pPr>
            <w:r>
              <w:rPr>
                <w:rFonts w:ascii="Arial" w:cs="Arial" w:eastAsia="Arial" w:hAnsi="Arial"/>
                <w:sz w:val="18"/>
                <w:szCs w:val="18"/>
                <w:b w:val="1"/>
                <w:bCs w:val="1"/>
                <w:color w:val="auto"/>
                <w:w w:val="99"/>
              </w:rPr>
              <w:t>CALCULATION OF REGISTRATION FEE</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0"/>
        </w:trPr>
        <w:tc>
          <w:tcPr>
            <w:tcW w:w="43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30"/>
        </w:trPr>
        <w:tc>
          <w:tcPr>
            <w:tcW w:w="4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center"/>
              <w:ind w:left="49"/>
              <w:spacing w:after="0" w:line="130" w:lineRule="exact"/>
              <w:rPr>
                <w:sz w:val="20"/>
                <w:szCs w:val="20"/>
                <w:color w:val="auto"/>
              </w:rPr>
            </w:pPr>
            <w:r>
              <w:rPr>
                <w:rFonts w:ascii="Arial" w:cs="Arial" w:eastAsia="Arial" w:hAnsi="Arial"/>
                <w:sz w:val="14"/>
                <w:szCs w:val="14"/>
                <w:b w:val="1"/>
                <w:bCs w:val="1"/>
                <w:color w:val="auto"/>
                <w:w w:val="83"/>
              </w:rPr>
              <w:t>Proposed</w:t>
            </w:r>
          </w:p>
        </w:tc>
        <w:tc>
          <w:tcPr>
            <w:tcW w:w="28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jc w:val="center"/>
              <w:ind w:left="28"/>
              <w:spacing w:after="0" w:line="130" w:lineRule="exact"/>
              <w:rPr>
                <w:sz w:val="20"/>
                <w:szCs w:val="20"/>
                <w:color w:val="auto"/>
              </w:rPr>
            </w:pPr>
            <w:r>
              <w:rPr>
                <w:rFonts w:ascii="Arial" w:cs="Arial" w:eastAsia="Arial" w:hAnsi="Arial"/>
                <w:sz w:val="14"/>
                <w:szCs w:val="14"/>
                <w:b w:val="1"/>
                <w:bCs w:val="1"/>
                <w:color w:val="auto"/>
                <w:w w:val="83"/>
              </w:rPr>
              <w:t>Proposed</w:t>
            </w:r>
          </w:p>
        </w:tc>
        <w:tc>
          <w:tcPr>
            <w:tcW w:w="1580" w:type="dxa"/>
            <w:vAlign w:val="bottom"/>
          </w:tcPr>
          <w:p>
            <w:pPr>
              <w:spacing w:after="0"/>
              <w:rPr>
                <w:sz w:val="11"/>
                <w:szCs w:val="11"/>
                <w:color w:val="auto"/>
              </w:rPr>
            </w:pPr>
          </w:p>
        </w:tc>
      </w:tr>
      <w:tr>
        <w:trPr>
          <w:trHeight w:val="149"/>
        </w:trPr>
        <w:tc>
          <w:tcPr>
            <w:tcW w:w="4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2"/>
              </w:rPr>
              <w:t>Maximum</w:t>
            </w:r>
          </w:p>
        </w:tc>
        <w:tc>
          <w:tcPr>
            <w:tcW w:w="2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Maximum</w:t>
            </w:r>
          </w:p>
        </w:tc>
        <w:tc>
          <w:tcPr>
            <w:tcW w:w="158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436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86"/>
              </w:rPr>
              <w:t>Title of securities</w:t>
            </w:r>
          </w:p>
        </w:tc>
        <w:tc>
          <w:tcPr>
            <w:tcW w:w="38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gridSpan w:val="2"/>
          </w:tcPr>
          <w:p>
            <w:pPr>
              <w:jc w:val="center"/>
              <w:ind w:left="26"/>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240" w:type="dxa"/>
            <w:vAlign w:val="bottom"/>
          </w:tcPr>
          <w:p>
            <w:pPr>
              <w:spacing w:after="0"/>
              <w:rPr>
                <w:sz w:val="12"/>
                <w:szCs w:val="12"/>
                <w:color w:val="auto"/>
              </w:rPr>
            </w:pPr>
          </w:p>
        </w:tc>
        <w:tc>
          <w:tcPr>
            <w:tcW w:w="106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2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6"/>
              </w:rPr>
              <w:t>Aggregate</w:t>
            </w:r>
          </w:p>
        </w:tc>
        <w:tc>
          <w:tcPr>
            <w:tcW w:w="1580" w:type="dxa"/>
            <w:vAlign w:val="bottom"/>
          </w:tcPr>
          <w:p>
            <w:pPr>
              <w:jc w:val="center"/>
              <w:ind w:left="2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4360" w:type="dxa"/>
            <w:vAlign w:val="bottom"/>
            <w:tcBorders>
              <w:bottom w:val="single" w:sz="8" w:color="auto"/>
            </w:tcBorders>
          </w:tcPr>
          <w:p>
            <w:pPr>
              <w:jc w:val="center"/>
              <w:ind w:left="922"/>
              <w:spacing w:after="0"/>
              <w:rPr>
                <w:sz w:val="20"/>
                <w:szCs w:val="20"/>
                <w:color w:val="auto"/>
              </w:rPr>
            </w:pPr>
            <w:r>
              <w:rPr>
                <w:rFonts w:ascii="Arial" w:cs="Arial" w:eastAsia="Arial" w:hAnsi="Arial"/>
                <w:sz w:val="14"/>
                <w:szCs w:val="14"/>
                <w:b w:val="1"/>
                <w:bCs w:val="1"/>
                <w:color w:val="auto"/>
                <w:w w:val="83"/>
              </w:rPr>
              <w:t>to be registered</w:t>
            </w:r>
          </w:p>
        </w:tc>
        <w:tc>
          <w:tcPr>
            <w:tcW w:w="38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gridSpan w:val="2"/>
          </w:tcPr>
          <w:p>
            <w:pPr>
              <w:jc w:val="center"/>
              <w:ind w:left="46"/>
              <w:spacing w:after="0"/>
              <w:rPr>
                <w:sz w:val="20"/>
                <w:szCs w:val="20"/>
                <w:color w:val="auto"/>
              </w:rPr>
            </w:pPr>
            <w:r>
              <w:rPr>
                <w:rFonts w:ascii="Arial" w:cs="Arial" w:eastAsia="Arial" w:hAnsi="Arial"/>
                <w:sz w:val="14"/>
                <w:szCs w:val="14"/>
                <w:b w:val="1"/>
                <w:bCs w:val="1"/>
                <w:color w:val="auto"/>
                <w:w w:val="85"/>
              </w:rPr>
              <w:t>Registered (1)</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87"/>
              </w:rPr>
              <w:t>Per Share (2)</w:t>
            </w:r>
          </w:p>
        </w:tc>
        <w:tc>
          <w:tcPr>
            <w:tcW w:w="28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Offering Price (2)</w:t>
            </w:r>
          </w:p>
        </w:tc>
        <w:tc>
          <w:tcPr>
            <w:tcW w:w="15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82"/>
              </w:rPr>
              <w:t>Fee</w:t>
            </w:r>
          </w:p>
        </w:tc>
      </w:tr>
      <w:tr>
        <w:trPr>
          <w:trHeight w:val="210"/>
        </w:trPr>
        <w:tc>
          <w:tcPr>
            <w:tcW w:w="4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0"/>
              </w:rPr>
              <w:t>Common Shares of Beneficial Interest, $0.01 par value (3)</w:t>
            </w:r>
          </w:p>
        </w:tc>
        <w:tc>
          <w:tcPr>
            <w:tcW w:w="900" w:type="dxa"/>
            <w:vAlign w:val="bottom"/>
            <w:tcBorders>
              <w:bottom w:val="single" w:sz="8" w:color="auto"/>
              <w:right w:val="single" w:sz="8" w:color="auto"/>
            </w:tcBorders>
            <w:gridSpan w:val="2"/>
          </w:tcPr>
          <w:p>
            <w:pPr>
              <w:spacing w:after="0"/>
              <w:rPr>
                <w:sz w:val="18"/>
                <w:szCs w:val="18"/>
                <w:color w:val="auto"/>
              </w:rPr>
            </w:pPr>
          </w:p>
        </w:tc>
        <w:tc>
          <w:tcPr>
            <w:tcW w:w="1440" w:type="dxa"/>
            <w:vAlign w:val="bottom"/>
            <w:tcBorders>
              <w:bottom w:val="single" w:sz="8" w:color="auto"/>
            </w:tcBorders>
          </w:tcPr>
          <w:p>
            <w:pPr>
              <w:jc w:val="center"/>
              <w:ind w:left="186"/>
              <w:spacing w:after="0"/>
              <w:rPr>
                <w:sz w:val="20"/>
                <w:szCs w:val="20"/>
                <w:color w:val="auto"/>
              </w:rPr>
            </w:pPr>
            <w:r>
              <w:rPr>
                <w:rFonts w:ascii="Arial" w:cs="Arial" w:eastAsia="Arial" w:hAnsi="Arial"/>
                <w:sz w:val="18"/>
                <w:szCs w:val="18"/>
                <w:color w:val="auto"/>
                <w:w w:val="87"/>
              </w:rPr>
              <w:t>1,500,000</w:t>
            </w:r>
          </w:p>
        </w:tc>
        <w:tc>
          <w:tcPr>
            <w:tcW w:w="16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69"/>
              <w:spacing w:after="0"/>
              <w:rPr>
                <w:sz w:val="20"/>
                <w:szCs w:val="20"/>
                <w:color w:val="auto"/>
              </w:rPr>
            </w:pPr>
            <w:r>
              <w:rPr>
                <w:rFonts w:ascii="Arial" w:cs="Arial" w:eastAsia="Arial" w:hAnsi="Arial"/>
                <w:sz w:val="18"/>
                <w:szCs w:val="18"/>
                <w:color w:val="auto"/>
                <w:w w:val="87"/>
              </w:rPr>
              <w:t>$87.90</w:t>
            </w:r>
          </w:p>
        </w:tc>
        <w:tc>
          <w:tcPr>
            <w:tcW w:w="2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8"/>
                <w:szCs w:val="18"/>
                <w:color w:val="auto"/>
                <w:w w:val="94"/>
              </w:rPr>
              <w:t>$131,850,000.00</w:t>
            </w:r>
          </w:p>
        </w:tc>
        <w:tc>
          <w:tcPr>
            <w:tcW w:w="1580" w:type="dxa"/>
            <w:vAlign w:val="bottom"/>
            <w:tcBorders>
              <w:bottom w:val="single" w:sz="8" w:color="auto"/>
            </w:tcBorders>
          </w:tcPr>
          <w:p>
            <w:pPr>
              <w:jc w:val="center"/>
              <w:ind w:left="47"/>
              <w:spacing w:after="0"/>
              <w:rPr>
                <w:sz w:val="20"/>
                <w:szCs w:val="20"/>
                <w:color w:val="auto"/>
              </w:rPr>
            </w:pPr>
            <w:r>
              <w:rPr>
                <w:rFonts w:ascii="Arial" w:cs="Arial" w:eastAsia="Arial" w:hAnsi="Arial"/>
                <w:sz w:val="18"/>
                <w:szCs w:val="18"/>
                <w:color w:val="auto"/>
                <w:w w:val="87"/>
              </w:rPr>
              <w:t>$4,047.80</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120" w:hanging="452"/>
        <w:spacing w:after="0" w:line="303"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416 of the Securities Act of 1933, as amended (the “Securities Act”), this Registration Statement shall also cover any additional common shares of beneficial interest, $0.01 par value, of the registrant (the “Common Shares”) which become issuable under the Federal Realty Investment Trust Amended and Restated 2001 Long-Term Incentive Plan by reason of any share dividend, share split, recapitalization or other similar transaction.</w:t>
      </w:r>
    </w:p>
    <w:p>
      <w:pPr>
        <w:spacing w:after="0" w:line="1" w:lineRule="exact"/>
        <w:rPr>
          <w:rFonts w:ascii="Arial" w:cs="Arial" w:eastAsia="Arial" w:hAnsi="Arial"/>
          <w:sz w:val="15"/>
          <w:szCs w:val="15"/>
          <w:color w:val="auto"/>
        </w:rPr>
      </w:pPr>
    </w:p>
    <w:p>
      <w:pPr>
        <w:ind w:left="460" w:right="80" w:hanging="452"/>
        <w:spacing w:after="0" w:line="300"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registration fee. Pursuant to Rules 457(c) and (h) of the Securities Act, the calculation of the registration fee is based on the average of the high and low prices of the Common Shares reported on the New York Stock Exchange as of October 30, 2007.</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r>
        <w:rPr>
          <w:sz w:val="20"/>
          <w:szCs w:val="20"/>
          <w:color w:val="auto"/>
        </w:rPr>
        <w:tab/>
      </w:r>
      <w:r>
        <w:rPr>
          <w:rFonts w:ascii="Arial" w:cs="Arial" w:eastAsia="Arial" w:hAnsi="Arial"/>
          <w:sz w:val="16"/>
          <w:szCs w:val="16"/>
          <w:b w:val="1"/>
          <w:bCs w:val="1"/>
          <w:color w:val="auto"/>
        </w:rPr>
        <w:t>INFORMATION REQUIRED IN THE SECTION 10(a) PROSPECTUS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information required by Part I is included in documents sent or given to participants in the Federal Realty Investment Trust Amended and Restated 2001 Long-Term Incentive Plan of Federal Realty Investment Trust, a Maryland real estate investment trust (the “Registrant”), pursuant to Rule 428(b)(1) under the Securities Act of 1933, as amended (the “Securities Act”).</w:t>
      </w:r>
    </w:p>
    <w:p>
      <w:pPr>
        <w:spacing w:after="0" w:line="21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6"/>
          <w:szCs w:val="16"/>
          <w:b w:val="1"/>
          <w:bCs w:val="1"/>
          <w:color w:val="auto"/>
        </w:rPr>
        <w:t>INFORMATION REQUIRED IN THE REGISTRATION STATEMENT</w:t>
      </w:r>
    </w:p>
    <w:p>
      <w:pPr>
        <w:spacing w:after="0" w:line="90"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26" w:lineRule="exact"/>
        <w:rPr>
          <w:sz w:val="20"/>
          <w:szCs w:val="20"/>
          <w:color w:val="auto"/>
        </w:rPr>
      </w:pPr>
    </w:p>
    <w:p>
      <w:pPr>
        <w:ind w:left="1160" w:hanging="239"/>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the Form 10-K for the year ended December 31, 2006 filed with the Commission on March 1, 2007.</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quarter ended March 31, 2007 filed with the Commission on May 2, 2007.</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quarter ended June 30, 2007 filed with the Commission on August 1, 2007.</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quarter ended September 30, 2007 filed with the Commission on October 31, 2007.</w:t>
      </w:r>
    </w:p>
    <w:p>
      <w:pPr>
        <w:spacing w:after="0" w:line="113" w:lineRule="exact"/>
        <w:rPr>
          <w:rFonts w:ascii="Arial" w:cs="Arial" w:eastAsia="Arial" w:hAnsi="Arial"/>
          <w:sz w:val="16"/>
          <w:szCs w:val="16"/>
          <w:color w:val="auto"/>
        </w:rPr>
      </w:pPr>
    </w:p>
    <w:p>
      <w:pPr>
        <w:ind w:left="1160" w:hanging="239"/>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March 13, 2007.</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April 23, 2007.</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May 2, 2007.</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July 17, 2007.</w:t>
      </w:r>
    </w:p>
    <w:p>
      <w:pPr>
        <w:spacing w:after="0" w:line="90" w:lineRule="exact"/>
        <w:rPr>
          <w:rFonts w:ascii="Arial" w:cs="Arial" w:eastAsia="Arial" w:hAnsi="Arial"/>
          <w:sz w:val="18"/>
          <w:szCs w:val="18"/>
          <w:color w:val="auto"/>
        </w:rPr>
      </w:pPr>
    </w:p>
    <w:p>
      <w:pPr>
        <w:ind w:right="220" w:firstLine="921"/>
        <w:spacing w:after="0" w:line="332" w:lineRule="auto"/>
        <w:tabs>
          <w:tab w:leader="none" w:pos="112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common shares of the Registrant, $0.0l par value per share, which is contained in the Registration Statement on Form 8-A/A filed with the Commission on June 6, 2002, including any amendment or report filed for the purpose of updating such description.</w:t>
      </w:r>
    </w:p>
    <w:p>
      <w:pPr>
        <w:spacing w:after="0" w:line="4" w:lineRule="exact"/>
        <w:rPr>
          <w:rFonts w:ascii="Arial" w:cs="Arial" w:eastAsia="Arial" w:hAnsi="Arial"/>
          <w:sz w:val="16"/>
          <w:szCs w:val="16"/>
          <w:color w:val="auto"/>
        </w:rPr>
      </w:pPr>
    </w:p>
    <w:p>
      <w:pPr>
        <w:ind w:right="420" w:firstLine="921"/>
        <w:spacing w:after="0" w:line="306" w:lineRule="auto"/>
        <w:tabs>
          <w:tab w:leader="none" w:pos="1123"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common share purchase rights included in the Registration Statement on Form 8-A/A, filed with the Commission on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2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shares offered hereby have been sold or which deregisters all shares then remaining unsold, shall be deemed to be incorporated in this Registration Statement by reference and to be a part hereof from the date of filing of such documents. Any statement contained in a document incorporated or deemed to be incorporated by reference herein shall be deemed to be modified or superseded for the purposes of this Registration Statement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left="460"/>
        <w:spacing w:after="0"/>
        <w:tabs>
          <w:tab w:leader="none" w:pos="11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4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2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15"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immediately preceding the exhibits is attached hereto and incorporated herein by reference.</w:t>
      </w:r>
    </w:p>
    <w:p>
      <w:pPr>
        <w:spacing w:after="0" w:line="246"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440" w:hanging="256"/>
        <w:spacing w:after="0"/>
        <w:tabs>
          <w:tab w:leader="none" w:pos="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right="60" w:firstLine="464"/>
        <w:spacing w:after="0" w:line="291" w:lineRule="auto"/>
        <w:tabs>
          <w:tab w:leader="none" w:pos="715"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0" w:lineRule="exact"/>
        <w:rPr>
          <w:rFonts w:ascii="Arial" w:cs="Arial" w:eastAsia="Arial" w:hAnsi="Arial"/>
          <w:sz w:val="16"/>
          <w:szCs w:val="16"/>
          <w:color w:val="auto"/>
        </w:rPr>
      </w:pPr>
    </w:p>
    <w:p>
      <w:pPr>
        <w:ind w:right="440" w:firstLine="464"/>
        <w:spacing w:after="0" w:line="268" w:lineRule="auto"/>
        <w:tabs>
          <w:tab w:leader="none" w:pos="76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jc w:val="both"/>
        <w:ind w:right="80" w:firstLine="913"/>
        <w:spacing w:after="0" w:line="306"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Registration Statement is on Form S-3, Form S-8 or Form F-3,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required to be included in a post-effective amendment by those paragraphs is contained in periodic reports filed with or furnished to the Commission by the Registrant pursuant to Section 13 or 15(d) of the Exchange Act that are incorporated by reference in the Registration Statement.</w:t>
      </w:r>
    </w:p>
    <w:p>
      <w:pPr>
        <w:spacing w:after="0" w:line="107" w:lineRule="exact"/>
        <w:rPr>
          <w:sz w:val="20"/>
          <w:szCs w:val="20"/>
          <w:color w:val="auto"/>
        </w:rPr>
      </w:pPr>
    </w:p>
    <w:p>
      <w:pPr>
        <w:ind w:left="440" w:hanging="256"/>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shall be deemed to be a new</w:t>
      </w:r>
    </w:p>
    <w:p>
      <w:pPr>
        <w:spacing w:after="0" w:line="38" w:lineRule="exact"/>
        <w:rPr>
          <w:rFonts w:ascii="Arial" w:cs="Arial" w:eastAsia="Arial" w:hAnsi="Arial"/>
          <w:sz w:val="16"/>
          <w:szCs w:val="16"/>
          <w:color w:val="auto"/>
        </w:rPr>
      </w:pPr>
    </w:p>
    <w:p>
      <w:pPr>
        <w:ind w:right="12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ind w:right="100" w:firstLine="184"/>
        <w:spacing w:after="0" w:line="268"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remove from registration by means of a post-effective amendment any of the securities being registered hereby which remain unsold at the termination of the offering.</w:t>
      </w:r>
    </w:p>
    <w:p>
      <w:pPr>
        <w:spacing w:after="0" w:line="131" w:lineRule="exact"/>
        <w:rPr>
          <w:rFonts w:ascii="Arial" w:cs="Arial" w:eastAsia="Arial" w:hAnsi="Arial"/>
          <w:sz w:val="18"/>
          <w:szCs w:val="18"/>
          <w:color w:val="auto"/>
        </w:rPr>
      </w:pPr>
    </w:p>
    <w:p>
      <w:pPr>
        <w:ind w:left="440" w:hanging="25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1" w:lineRule="exact"/>
        <w:rPr>
          <w:rFonts w:ascii="Arial" w:cs="Arial" w:eastAsia="Arial" w:hAnsi="Arial"/>
          <w:sz w:val="18"/>
          <w:szCs w:val="18"/>
          <w:color w:val="auto"/>
        </w:rPr>
      </w:pPr>
    </w:p>
    <w:p>
      <w:pPr>
        <w:ind w:left="460" w:hanging="276"/>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90" w:lineRule="exact"/>
        <w:rPr>
          <w:sz w:val="20"/>
          <w:szCs w:val="20"/>
          <w:color w:val="auto"/>
        </w:rPr>
      </w:pPr>
    </w:p>
    <w:p>
      <w:pPr>
        <w:ind w:right="420" w:firstLine="464"/>
        <w:spacing w:after="0" w:line="268" w:lineRule="auto"/>
        <w:tabs>
          <w:tab w:leader="none" w:pos="744"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firstLine="464"/>
        <w:spacing w:after="0" w:line="286" w:lineRule="auto"/>
        <w:tabs>
          <w:tab w:leader="none" w:pos="734"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46" w:lineRule="exact"/>
        <w:rPr>
          <w:sz w:val="20"/>
          <w:szCs w:val="20"/>
          <w:color w:val="auto"/>
        </w:rPr>
      </w:pPr>
    </w:p>
    <w:p>
      <w:pPr>
        <w:ind w:right="80" w:firstLine="464"/>
        <w:spacing w:after="0" w:line="290" w:lineRule="auto"/>
        <w:tabs>
          <w:tab w:leader="none" w:pos="715"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8" w:lineRule="exact"/>
        <w:rPr>
          <w:rFonts w:ascii="Arial" w:cs="Arial" w:eastAsia="Arial" w:hAnsi="Arial"/>
          <w:sz w:val="16"/>
          <w:szCs w:val="16"/>
          <w:color w:val="auto"/>
        </w:rPr>
      </w:pPr>
    </w:p>
    <w:p>
      <w:pPr>
        <w:ind w:left="440" w:hanging="256"/>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194"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 w:lineRule="exact"/>
        <w:rPr>
          <w:sz w:val="20"/>
          <w:szCs w:val="20"/>
          <w:color w:val="auto"/>
        </w:rPr>
      </w:pPr>
    </w:p>
    <w:p>
      <w:pPr>
        <w:ind w:right="160" w:firstLine="464"/>
        <w:spacing w:after="0" w:line="268"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50" w:lineRule="exact"/>
        <w:rPr>
          <w:rFonts w:ascii="Arial" w:cs="Arial" w:eastAsia="Arial" w:hAnsi="Arial"/>
          <w:sz w:val="18"/>
          <w:szCs w:val="18"/>
          <w:color w:val="auto"/>
        </w:rPr>
      </w:pPr>
    </w:p>
    <w:p>
      <w:pPr>
        <w:ind w:right="260" w:firstLine="464"/>
        <w:spacing w:after="0" w:line="268" w:lineRule="auto"/>
        <w:tabs>
          <w:tab w:leader="none" w:pos="71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right="540" w:firstLine="464"/>
        <w:spacing w:after="0" w:line="268" w:lineRule="auto"/>
        <w:tabs>
          <w:tab w:leader="none" w:pos="7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5" w:name="page6"/>
    <w:bookmarkEnd w:id="5"/>
    <w:p>
      <w:pPr>
        <w:ind w:left="752" w:hanging="296"/>
        <w:spacing w:after="0"/>
        <w:tabs>
          <w:tab w:leader="none" w:pos="752"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8" w:right="40" w:firstLine="8"/>
        <w:spacing w:after="0" w:line="298" w:lineRule="auto"/>
        <w:tabs>
          <w:tab w:leader="none" w:pos="2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13" w:lineRule="exact"/>
        <w:rPr>
          <w:sz w:val="20"/>
          <w:szCs w:val="20"/>
          <w:color w:val="auto"/>
        </w:rPr>
      </w:pPr>
    </w:p>
    <w:p>
      <w:pPr>
        <w:ind w:left="-8" w:firstLine="8"/>
        <w:spacing w:after="0" w:line="290" w:lineRule="auto"/>
        <w:tabs>
          <w:tab w:leader="none" w:pos="2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80"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140" w:firstLine="456"/>
        <w:spacing w:after="0" w:line="28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Rockville, State of Maryland, on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November, 2007.</w:t>
      </w:r>
    </w:p>
    <w:p>
      <w:pPr>
        <w:spacing w:after="0" w:line="2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the undersigned officers and directors of Federal Realty Investment Trust hereby severally constitute Dawn M. Becker and Donald C. Wood,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Federal Realty Investment Trust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r>
      <w:tr>
        <w:trPr>
          <w:trHeight w:val="431"/>
        </w:trPr>
        <w:tc>
          <w:tcPr>
            <w:tcW w:w="4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/s/ Donald Wood</w:t>
            </w:r>
          </w:p>
        </w:tc>
        <w:tc>
          <w:tcPr>
            <w:tcW w:w="220" w:type="dxa"/>
            <w:vAlign w:val="bottom"/>
          </w:tcPr>
          <w:p>
            <w:pPr>
              <w:spacing w:after="0"/>
              <w:rPr>
                <w:sz w:val="24"/>
                <w:szCs w:val="24"/>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President, Chief Executive Officer and Trustee</w:t>
            </w:r>
          </w:p>
        </w:tc>
        <w:tc>
          <w:tcPr>
            <w:tcW w:w="240" w:type="dxa"/>
            <w:vAlign w:val="bottom"/>
          </w:tcPr>
          <w:p>
            <w:pPr>
              <w:spacing w:after="0"/>
              <w:rPr>
                <w:sz w:val="24"/>
                <w:szCs w:val="24"/>
                <w:color w:val="auto"/>
              </w:rPr>
            </w:pPr>
          </w:p>
        </w:tc>
        <w:tc>
          <w:tcPr>
            <w:tcW w:w="17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99"/>
              </w:rPr>
              <w:t>November 1,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Donald Wood</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Larry Finger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Executive Vice President – Chief Financial Officer, Chief Accounting</w:t>
            </w:r>
          </w:p>
        </w:tc>
        <w:tc>
          <w:tcPr>
            <w:tcW w:w="24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99"/>
              </w:rPr>
              <w:t>November 1, 2007</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90"/>
              </w:rPr>
              <w:t>Larry Finger</w:t>
            </w:r>
          </w:p>
        </w:tc>
        <w:tc>
          <w:tcPr>
            <w:tcW w:w="220" w:type="dxa"/>
            <w:vAlign w:val="bottom"/>
          </w:tcPr>
          <w:p>
            <w:pPr>
              <w:spacing w:after="0"/>
              <w:rPr>
                <w:sz w:val="18"/>
                <w:szCs w:val="18"/>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Officer and Treasurer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Jon E. Bortz</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99"/>
              </w:rPr>
              <w:t>November 1,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Jon E. Bortz</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David W. Faeder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99"/>
              </w:rPr>
              <w:t>November 1,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David W. Faeder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Kristin Gamble</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99"/>
              </w:rPr>
              <w:t>November 1,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Kristin Gamble</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Gail P. Steinel</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99"/>
              </w:rPr>
              <w:t>November 1,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Gail P. Steinel</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William M. Thompson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w:t>
            </w:r>
          </w:p>
        </w:tc>
        <w:tc>
          <w:tcPr>
            <w:tcW w:w="24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99"/>
              </w:rPr>
              <w:t>November 1,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Warren M. Thompson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Joseph S. Vassalluzzo</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Trustee, Chairman of the Board</w:t>
            </w:r>
          </w:p>
        </w:tc>
        <w:tc>
          <w:tcPr>
            <w:tcW w:w="240" w:type="dxa"/>
            <w:vAlign w:val="bottom"/>
          </w:tcPr>
          <w:p>
            <w:pPr>
              <w:spacing w:after="0"/>
              <w:rPr>
                <w:sz w:val="24"/>
                <w:szCs w:val="24"/>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w w:val="99"/>
              </w:rPr>
              <w:t>November 1, 2007</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3"/>
              </w:rPr>
              <w:t>Joseph S. Vassalluzzo</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0"/>
        </w:trPr>
        <w:tc>
          <w:tcPr>
            <w:tcW w:w="4240" w:type="dxa"/>
            <w:vAlign w:val="bottom"/>
          </w:tcPr>
          <w:p>
            <w:pPr>
              <w:spacing w:after="0"/>
              <w:rPr>
                <w:sz w:val="24"/>
                <w:szCs w:val="24"/>
                <w:color w:val="auto"/>
              </w:rPr>
            </w:pPr>
          </w:p>
        </w:tc>
        <w:tc>
          <w:tcPr>
            <w:tcW w:w="5240" w:type="dxa"/>
            <w:vAlign w:val="bottom"/>
            <w:gridSpan w:val="2"/>
          </w:tcPr>
          <w:p>
            <w:pPr>
              <w:jc w:val="right"/>
              <w:ind w:right="3634"/>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320" w:lineRule="exact"/>
        <w:rPr>
          <w:sz w:val="20"/>
          <w:szCs w:val="20"/>
          <w:color w:val="auto"/>
        </w:rPr>
      </w:pPr>
    </w:p>
    <w:p>
      <w:pPr>
        <w:ind w:left="700" w:right="460" w:hanging="688"/>
        <w:spacing w:after="0" w:line="268"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Share certificate (filed as Exhibit 4(i) to the Trust’s Annual Report on Form 10-K for the year ended December 31, 1999, and incorporated herein by reference)</w:t>
      </w:r>
    </w:p>
    <w:p>
      <w:pPr>
        <w:spacing w:after="0" w:line="78" w:lineRule="exact"/>
        <w:rPr>
          <w:sz w:val="20"/>
          <w:szCs w:val="20"/>
          <w:color w:val="auto"/>
        </w:rPr>
      </w:pPr>
    </w:p>
    <w:p>
      <w:pPr>
        <w:ind w:left="700" w:right="40" w:hanging="688"/>
        <w:spacing w:after="0" w:line="332"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Amended and Restated Rights Agreement, dated March 11, 1999, between the Trust and American Stock Transfer &amp; Trust Company (filed as Exhibit 1 to the Trust’s Registration Statement No. 1-07533 on Form 8-A/A filed on March 11, 1999, and incorporated herein by reference)</w:t>
      </w:r>
    </w:p>
    <w:p>
      <w:pPr>
        <w:spacing w:after="0" w:line="31" w:lineRule="exact"/>
        <w:rPr>
          <w:sz w:val="20"/>
          <w:szCs w:val="20"/>
          <w:color w:val="auto"/>
        </w:rPr>
      </w:pPr>
    </w:p>
    <w:p>
      <w:pPr>
        <w:ind w:left="700" w:right="200" w:hanging="688"/>
        <w:spacing w:after="0" w:line="259"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First Amendment to Amended and Restated Rights Agreement, dated as of November 2003, between the Trust and American Stock Transfer &amp; Trust Company (filed as Exhibit 4.5 to the Trust’s Annual Report on Form 10-K for the year ended December 31, 2003 filed on March 15, 2004, and incorporated herein by reference)</w:t>
      </w:r>
    </w:p>
    <w:p>
      <w:pPr>
        <w:spacing w:after="0" w:line="86" w:lineRule="exact"/>
        <w:rPr>
          <w:sz w:val="20"/>
          <w:szCs w:val="20"/>
          <w:color w:val="auto"/>
        </w:rPr>
      </w:pPr>
    </w:p>
    <w:p>
      <w:pPr>
        <w:ind w:left="700" w:right="100" w:hanging="688"/>
        <w:spacing w:after="0" w:line="268" w:lineRule="auto"/>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Articles Supplementary relating to the 5.417% Series 1 Cumulative Convertible Preferred Shares (previously filed as Exhibit 4.1 to the Trust’s Current Report on Form 8-K filed on March 13, 2007 and incorporated herein by reference)</w:t>
      </w:r>
    </w:p>
    <w:p>
      <w:pPr>
        <w:spacing w:after="0" w:line="78" w:lineRule="exact"/>
        <w:rPr>
          <w:sz w:val="20"/>
          <w:szCs w:val="20"/>
          <w:color w:val="auto"/>
        </w:rPr>
      </w:pPr>
    </w:p>
    <w:p>
      <w:pPr>
        <w:jc w:val="both"/>
        <w:ind w:left="700" w:hanging="688"/>
        <w:spacing w:after="0" w:line="259" w:lineRule="auto"/>
        <w:tabs>
          <w:tab w:leader="none" w:pos="6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Indenture dated December 13, 1993 related to the Trust’s 7.48% Debentures due August 15, 2026; and 6.82% Medium Term Notes due August 1, 2027 (previously filed as Exhibit 4(a) to the Trust’s Registration Statement on Form S-3 (File No. 33-51029), and amended on Form S-3 (File No. 33-63687), filed on December 13, 1993 and incorporated herein by reference)</w:t>
      </w:r>
    </w:p>
    <w:p>
      <w:pPr>
        <w:spacing w:after="0" w:line="86" w:lineRule="exact"/>
        <w:rPr>
          <w:sz w:val="20"/>
          <w:szCs w:val="20"/>
          <w:color w:val="auto"/>
        </w:rPr>
      </w:pPr>
    </w:p>
    <w:p>
      <w:pPr>
        <w:jc w:val="both"/>
        <w:ind w:left="700" w:right="20" w:hanging="688"/>
        <w:spacing w:after="0" w:line="306" w:lineRule="auto"/>
        <w:tabs>
          <w:tab w:leader="none" w:pos="6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Indenture dated September 1, 1998 related to the Trust’s 8.75% Notes due December 1, 2009; 6 1/8% Notes due November 15, 2007; 4.50% Notes due 2011; 5.65% Notes due 2016; 6.00% Notes due 2012; 6.20% Notes due 2017; and 5.40% Notes due 2013 (previously filed as Exhibit 4(a) to the Trust’s Registration Statement on Form S-3 (File No. 333-63619) filed on September 17, 1998 and incorporated herein by reference)</w:t>
      </w:r>
    </w:p>
    <w:p>
      <w:pPr>
        <w:spacing w:after="0" w:line="53" w:lineRule="exact"/>
        <w:rPr>
          <w:sz w:val="20"/>
          <w:szCs w:val="20"/>
          <w:color w:val="auto"/>
        </w:rPr>
      </w:pPr>
    </w:p>
    <w:p>
      <w:pPr>
        <w:ind w:left="700" w:right="240" w:hanging="688"/>
        <w:spacing w:after="0" w:line="268" w:lineRule="auto"/>
        <w:tabs>
          <w:tab w:leader="none" w:pos="6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regarding the validity of the securities being registered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 independent registered public accounting firm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Pillsbury Winthrop Shaw Pittman LLP (included in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 LETTERHEAD]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acted as counsel to Federal Realty Investment Trust, a Maryland real estate investment trust (the “Company”), in connection with a registration statement on Form S-8 (the “Registration Statement”), which is being filed by the Company with the Securities and Exchange Commission (the “Commission”) under the Securities Act of 1933, as amended (the “Act”). The Registration Statement relates to the offering of up to 1,500,000 of the Company’s common shares of beneficial interest, par value $.01 per share, including rights to acquire common shares that are attached to, or trade with, such common shares (the “Common Shares”), that may be offered and sold from time to time pursuant to the Federal Realty Investment Trust Amended and Restated 2001 Long-Term Incentive Plan (the “Plan”).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we have examined the following documents (each a “Document” and together the “Documents”):</w:t>
      </w:r>
    </w:p>
    <w:p>
      <w:pPr>
        <w:spacing w:after="0" w:line="2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executed copy of the Registration Statement;</w:t>
      </w:r>
    </w:p>
    <w:p>
      <w:pPr>
        <w:spacing w:after="0" w:line="211"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supplemented or modified as of the date hereof (the “Declaration of Trust”), as certified by the Maryland State Department of Assessments and Taxation (the “SDAT”) on October 22, 2007 and as certified to us by an officer of the Company as being in effect as of the date hereof;</w:t>
      </w:r>
    </w:p>
    <w:p>
      <w:pPr>
        <w:spacing w:after="0" w:line="18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Amended and Restated Bylaws of the Company, as amended, supplemented or modified as of the date hereof (the “Bylaws”), as certified to us by an officer of the Company as being in effect as of the date hereof;</w:t>
      </w:r>
    </w:p>
    <w:p>
      <w:pPr>
        <w:spacing w:after="0" w:line="172" w:lineRule="exact"/>
        <w:rPr>
          <w:rFonts w:ascii="Arial" w:cs="Arial" w:eastAsia="Arial" w:hAnsi="Arial"/>
          <w:sz w:val="18"/>
          <w:szCs w:val="18"/>
          <w:color w:val="auto"/>
        </w:rPr>
      </w:pPr>
    </w:p>
    <w:p>
      <w:pPr>
        <w:jc w:val="both"/>
        <w:ind w:left="460" w:right="1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Amended and Restated Rights Agreement, dated March 11, 1999, between the Company and American Stock Transfer &amp; Trust Company, as amended by the First Amendment to Amended and Restated Rights Agreement, dated as of November 2003, between the Company and American Stock Transfer &amp; Trust Company;</w:t>
      </w:r>
    </w:p>
    <w:p>
      <w:pPr>
        <w:spacing w:after="0" w:line="18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resolutions of the Board of Trustees of the Company adopted at meetings held on February 12, 2007 and August 1, 2007, each as certified to us by an officer of the Company as being in effect as of the date hereof (the “Resolutions”);</w:t>
      </w:r>
    </w:p>
    <w:p>
      <w:pPr>
        <w:sectPr>
          <w:pgSz w:w="11900" w:h="16838" w:orient="portrait"/>
          <w:cols w:equalWidth="0" w:num="1">
            <w:col w:w="11420"/>
          </w:cols>
          <w:pgMar w:left="240" w:top="125" w:right="239" w:bottom="1440" w:gutter="0" w:footer="0" w:header="0"/>
        </w:sectPr>
      </w:pPr>
    </w:p>
    <w:bookmarkStart w:id="9" w:name="page10"/>
    <w:bookmarkEnd w:id="9"/>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copy of the Plan;</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copy of a good standing certificate of the Company issued by the SDAT on October 19, 2007; and</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purposes of this opinion letter, we have not reviewed any documents other than the Documents. In particular, we have not reviewed any document (other than the Documents) that is referred to in or incorporated by reference into any Document reviewed by us. We have assumed that there exists no provision in any document that we have not reviewed that is inconsistent with the opinions stated herein.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connection with this opinion letter, we have considered such matters of law and fact as we, in our professional judgment, have deemed necessary or appropriate to render the opinions contained herein.</w:t>
      </w:r>
    </w:p>
    <w:p>
      <w:pPr>
        <w:spacing w:after="0" w:line="132"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In our examination of the aforesaid documents, we have assumed without independent investigation (i) that each entity that is a party to any Document is, and has been at all times relevant to this opinion letter, duly formed or organized, validly existing and in good standing under the laws of the jurisdiction in which each is formed or organized; (ii) the due authorization, execution and delivery of each Document by each of the parties thereto; and (iii)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without independent investigation that, at and prior to the time of the sale and delivery of any Common Shares pursuant to the Registration Statement,</w:t>
      </w:r>
    </w:p>
    <w:p>
      <w:pPr>
        <w:spacing w:after="0" w:line="1" w:lineRule="exact"/>
        <w:rPr>
          <w:sz w:val="20"/>
          <w:szCs w:val="20"/>
          <w:color w:val="auto"/>
        </w:rPr>
      </w:pPr>
    </w:p>
    <w:p>
      <w:pPr>
        <w:ind w:right="20" w:firstLine="8"/>
        <w:spacing w:after="0" w:line="292" w:lineRule="auto"/>
        <w:tabs>
          <w:tab w:leader="none" w:pos="2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contemplated or necessary additional actions shall have been taken and the authorization of the issuance of the Common Shares will not have been modified or rescinded, (ii) the Registration Statement will have been declared effective and no stop order suspending the effectiveness of the Registration Statement will have been issued and no proceedings with respect thereto will have been commenced or threatened, (iii) there will not have occurred any change in law materially and adversely affecting the validity of the Common Shares, and (iv) none of the Common Shares will be transferred in violation of the provisions of the Declaration of Trust relating to restrictions on ownership and transfer of capital stock.</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also assumed without independent investigation that the offer, sale and delivery of any Common Shares, and compliance by the Company with the rights, powers, privileges and preferences and other terms, if any, of such Common Shares will not at the time of such offering, sale and delivery violate or conflict with (i) the Declaration of Trust, as then amended, restated and supplemented, or the Bylaws, as then amended, restated or supplemented,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Common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 and that the consideration received or proposed to be received for the issuance and sale or reservation for issuance of any offering of the Common Shares as contemplated by the Registration Statement and the Plan is not less than the par value per share.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 w:name="page11"/>
    <w:bookmarkEnd w:id="10"/>
    <w:p>
      <w:pPr>
        <w:jc w:val="both"/>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subject to and limited by the foregoing, we are of the opinion that the Common Shares have been duly authorized and, when sold, issued and delivered by the Company in the manner and on the terms described in the Registration Statement and the Plan, the Common Shares will be validly issued, fully paid and nonassessable.</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opinions in the previous paragraph are subject to and limited by the effect of bankruptcy, insolvency, fraudulent conveyance and other similar laws affecting or relating to the rights of creditors generally, and are limited by general equitable principles.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opinion letter is limited to the laws of the State of Maryland, excluding the securities laws, blue sky laws and the choice-of-law provisions thereof. We render no opinions with respect to the law of any other jurisdiction, including federal laws and rules and regulations relating thereto. Our opinions are rendered only with respect to the laws and the rules, regulations and orders thereunder that are currently in effect.</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opinions set forth in this letter are limited to the matters expressly addressed herein and no opinion is to be implied or may be inferred beyond the opinions expressly stated in this letter.</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assume no obligation to advise you of any changes in the foregoing subsequent to the delivery of this opinion. This opinion has been prepared solely for your use in connection with the filing of the Registration Statement, and should not be quoted in whole or in part or otherwise be referred to, nor otherwise be filed with or furnished to, any governmental agency or other person or entity, without our express prior written consent.</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hereby consent to the filing of this opinion as an exhibit to the Registration Statement. The giving of this consent, however, does not constitute an admission that we are “experts” within the meaning of Section 11 of the Act, or within the category of persons whose consent is required by Section 7 of the Act.</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have issued our report dated February 26, 2007, accompanying the consolidated financial statements and schedules (which report expressed an unqualified opinion and contains an explanatory paragraph related to the adoption of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effective January 1, 2006), and our report dated February 26, 2007 on management’s assessment of the effectiveness of internal control over financial reporting, included in the Annual Report of Federal Realty Investment Trust on Form 10-K for the year ended December 31, 2006. We hereby consent to the incorporation by reference of said reports in the Registration Statement of Federal Realty Investment Trust, pertaining to the Federal Realty Investment Trust Amended and Restated 2001 Long-Term Incentive Plan, on Form S-8 to be filed on November 1, 2007 for the registration of 1,500,000 shares of its Common Shares of Beneficial Interest, $0.01 par value.</w:t>
      </w:r>
    </w:p>
    <w:p>
      <w:pPr>
        <w:spacing w:after="0" w:line="12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lvl w:ilvl="1">
      <w:lvlJc w:val="left"/>
      <w:lvlText w:val="(%2)"/>
      <w:numFmt w:val="lowerRoman"/>
      <w:start w:val="1"/>
    </w:lvl>
  </w:abstractNum>
  <w:abstractNum w:abstractNumId="5">
    <w:nsid w:val="216231B"/>
    <w:multiLevelType w:val="hybridMultilevel"/>
    <w:lvl w:ilvl="0">
      <w:lvlJc w:val="left"/>
      <w:lvlText w:val="(%1)"/>
      <w:numFmt w:val="upperLetter"/>
      <w:start w:val="1"/>
    </w:lvl>
  </w:abstractNum>
  <w:abstractNum w:abstractNumId="6">
    <w:nsid w:val="1F16E9E8"/>
    <w:multiLevelType w:val="hybridMultilevel"/>
    <w:lvl w:ilvl="0">
      <w:lvlJc w:val="left"/>
      <w:lvlText w:val="%1"/>
      <w:numFmt w:val="decimal"/>
      <w:start w:val="1"/>
    </w:lvl>
    <w:lvl w:ilvl="1">
      <w:lvlJc w:val="left"/>
      <w:lvlText w:val="(%2)"/>
      <w:numFmt w:val="lowerRoman"/>
      <w:start w:val="2"/>
    </w:lvl>
  </w:abstractNum>
  <w:abstractNum w:abstractNumId="7">
    <w:nsid w:val="1190CDE7"/>
    <w:multiLevelType w:val="hybridMultilevel"/>
    <w:lvl w:ilvl="0">
      <w:lvlJc w:val="left"/>
      <w:lvlText w:val="(%1)"/>
      <w:numFmt w:val="decimal"/>
      <w:start w:val="6"/>
    </w:lvl>
    <w:lvl w:ilvl="1">
      <w:lvlJc w:val="left"/>
      <w:lvlText w:val="%2"/>
      <w:numFmt w:val="lowerRoman"/>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lowerLetter"/>
      <w:start w:val="1"/>
    </w:lvl>
    <w:lvl w:ilvl="1">
      <w:lvlJc w:val="left"/>
      <w:lvlText w:val="(%2)"/>
      <w:numFmt w:val="lowerRoman"/>
      <w:start w:val="4"/>
    </w:lvl>
  </w:abstractNum>
  <w:abstractNum w:abstractNumId="10">
    <w:nsid w:val="3352255A"/>
    <w:multiLevelType w:val="hybridMultilevel"/>
    <w:lvl w:ilvl="0">
      <w:lvlJc w:val="left"/>
      <w:lvlText w:val="(%1)"/>
      <w:numFmt w:val="lowerLetter"/>
      <w:start w:val="2"/>
    </w:lvl>
    <w:lvl w:ilvl="1">
      <w:lvlJc w:val="left"/>
      <w:lvlText w:val="%2"/>
      <w:numFmt w:val="lowerRoman"/>
      <w:start w:val="1"/>
    </w:lvl>
  </w:abstractNum>
  <w:abstractNum w:abstractNumId="11">
    <w:nsid w:val="109CF92E"/>
    <w:multiLevelType w:val="hybridMultilevel"/>
    <w:lvl w:ilvl="0">
      <w:lvlJc w:val="left"/>
      <w:lvlText w:val="(%1)"/>
      <w:numFmt w:val="lowerLetter"/>
      <w:start w:val="8"/>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6"/>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2019-12-13T00:57:18Z</dcterms:created>
  <dcterms:modified xsi:type="dcterms:W3CDTF">2019-12-13T00:57:18Z</dcterms:modified>
</cp:coreProperties>
</file>