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2686050</wp:posOffset>
            </wp:positionH>
            <wp:positionV relativeFrom="paragraph">
              <wp:posOffset>88265</wp:posOffset>
            </wp:positionV>
            <wp:extent cx="18929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5" w:lineRule="exact"/>
        <w:rPr>
          <w:sz w:val="24"/>
          <w:szCs w:val="24"/>
          <w:color w:val="auto"/>
        </w:rPr>
      </w:pPr>
    </w:p>
    <w:p>
      <w:pPr>
        <w:ind w:left="700" w:hanging="665"/>
        <w:spacing w:after="0"/>
        <w:tabs>
          <w:tab w:leader="none" w:pos="70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ANNUAL REPORT PURSUANT TO THE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2686050</wp:posOffset>
            </wp:positionH>
            <wp:positionV relativeFrom="paragraph">
              <wp:posOffset>-235585</wp:posOffset>
            </wp:positionV>
            <wp:extent cx="18929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700" w:hanging="665"/>
        <w:spacing w:after="0" w:line="212" w:lineRule="auto"/>
        <w:tabs>
          <w:tab w:leader="none" w:pos="70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95" w:lineRule="exact"/>
        <w:rPr>
          <w:sz w:val="24"/>
          <w:szCs w:val="24"/>
          <w:color w:val="auto"/>
        </w:rPr>
      </w:pPr>
    </w:p>
    <w:p>
      <w:pPr>
        <w:ind w:left="38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1-07533</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34"/>
          <w:szCs w:val="34"/>
          <w:b w:val="1"/>
          <w:bCs w:val="1"/>
          <w:color w:val="auto"/>
        </w:rPr>
        <w:t>FEDERAL REALTY INVESTMENT TRUST</w:t>
      </w:r>
    </w:p>
    <w:p>
      <w:pPr>
        <w:spacing w:after="0" w:line="31"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(Exact Name of Registrant as Specified in its Declaration of Trust)</w:t>
      </w:r>
    </w:p>
    <w:p>
      <w:pPr>
        <w:spacing w:after="0" w:line="144" w:lineRule="exact"/>
        <w:rPr>
          <w:sz w:val="24"/>
          <w:szCs w:val="24"/>
          <w:color w:val="auto"/>
        </w:rPr>
      </w:pPr>
    </w:p>
    <w:tbl>
      <w:tblPr>
        <w:tblLayout w:type="fixed"/>
        <w:tblInd w:w="760" w:type="dxa"/>
        <w:tblCellMar>
          <w:top w:w="0" w:type="dxa"/>
          <w:left w:w="0" w:type="dxa"/>
          <w:bottom w:w="0" w:type="dxa"/>
          <w:right w:w="0" w:type="dxa"/>
        </w:tblCellMar>
      </w:tblPr>
      <w:tr>
        <w:trPr>
          <w:trHeight w:val="234"/>
        </w:trPr>
        <w:tc>
          <w:tcPr>
            <w:tcW w:w="4020" w:type="dxa"/>
            <w:vAlign w:val="bottom"/>
          </w:tcPr>
          <w:p>
            <w:pPr>
              <w:jc w:val="center"/>
              <w:ind w:right="299"/>
              <w:spacing w:after="0"/>
              <w:rPr>
                <w:sz w:val="20"/>
                <w:szCs w:val="20"/>
                <w:color w:val="auto"/>
              </w:rPr>
            </w:pPr>
            <w:r>
              <w:rPr>
                <w:rFonts w:ascii="Arial" w:cs="Arial" w:eastAsia="Arial" w:hAnsi="Arial"/>
                <w:sz w:val="18"/>
                <w:szCs w:val="18"/>
                <w:b w:val="1"/>
                <w:bCs w:val="1"/>
                <w:color w:val="auto"/>
                <w:w w:val="96"/>
              </w:rPr>
              <w:t>Maryland</w:t>
            </w:r>
          </w:p>
        </w:tc>
        <w:tc>
          <w:tcPr>
            <w:tcW w:w="4660" w:type="dxa"/>
            <w:vAlign w:val="bottom"/>
          </w:tcPr>
          <w:p>
            <w:pPr>
              <w:jc w:val="right"/>
              <w:ind w:right="517"/>
              <w:spacing w:after="0"/>
              <w:rPr>
                <w:sz w:val="20"/>
                <w:szCs w:val="20"/>
                <w:color w:val="auto"/>
              </w:rPr>
            </w:pPr>
            <w:r>
              <w:rPr>
                <w:rFonts w:ascii="Arial" w:cs="Arial" w:eastAsia="Arial" w:hAnsi="Arial"/>
                <w:sz w:val="18"/>
                <w:szCs w:val="18"/>
                <w:b w:val="1"/>
                <w:bCs w:val="1"/>
                <w:color w:val="auto"/>
              </w:rPr>
              <w:t>52-0782497</w:t>
            </w:r>
          </w:p>
        </w:tc>
      </w:tr>
      <w:tr>
        <w:trPr>
          <w:trHeight w:val="217"/>
        </w:trPr>
        <w:tc>
          <w:tcPr>
            <w:tcW w:w="4020" w:type="dxa"/>
            <w:vAlign w:val="bottom"/>
          </w:tcPr>
          <w:p>
            <w:pPr>
              <w:jc w:val="center"/>
              <w:ind w:right="279"/>
              <w:spacing w:after="0"/>
              <w:rPr>
                <w:sz w:val="20"/>
                <w:szCs w:val="20"/>
                <w:color w:val="auto"/>
              </w:rPr>
            </w:pPr>
            <w:r>
              <w:rPr>
                <w:rFonts w:ascii="Arial" w:cs="Arial" w:eastAsia="Arial" w:hAnsi="Arial"/>
                <w:sz w:val="14"/>
                <w:szCs w:val="14"/>
                <w:b w:val="1"/>
                <w:bCs w:val="1"/>
                <w:color w:val="auto"/>
                <w:w w:val="94"/>
              </w:rPr>
              <w:t>(State of Organization)</w:t>
            </w:r>
          </w:p>
        </w:tc>
        <w:tc>
          <w:tcPr>
            <w:tcW w:w="4660" w:type="dxa"/>
            <w:vAlign w:val="bottom"/>
          </w:tcPr>
          <w:p>
            <w:pPr>
              <w:jc w:val="center"/>
              <w:ind w:left="2497"/>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76"/>
        </w:trPr>
        <w:tc>
          <w:tcPr>
            <w:tcW w:w="4020" w:type="dxa"/>
            <w:vAlign w:val="bottom"/>
          </w:tcPr>
          <w:p>
            <w:pPr>
              <w:jc w:val="center"/>
              <w:ind w:right="279"/>
              <w:spacing w:after="0"/>
              <w:rPr>
                <w:sz w:val="20"/>
                <w:szCs w:val="20"/>
                <w:color w:val="auto"/>
              </w:rPr>
            </w:pPr>
            <w:r>
              <w:rPr>
                <w:rFonts w:ascii="Arial" w:cs="Arial" w:eastAsia="Arial" w:hAnsi="Arial"/>
                <w:sz w:val="18"/>
                <w:szCs w:val="18"/>
                <w:b w:val="1"/>
                <w:bCs w:val="1"/>
                <w:color w:val="auto"/>
                <w:w w:val="90"/>
              </w:rPr>
              <w:t>1626 East Jefferson Street, Rockville, Maryland</w:t>
            </w:r>
          </w:p>
        </w:tc>
        <w:tc>
          <w:tcPr>
            <w:tcW w:w="4660" w:type="dxa"/>
            <w:vAlign w:val="bottom"/>
          </w:tcPr>
          <w:p>
            <w:pPr>
              <w:jc w:val="right"/>
              <w:ind w:right="737"/>
              <w:spacing w:after="0"/>
              <w:rPr>
                <w:sz w:val="20"/>
                <w:szCs w:val="20"/>
                <w:color w:val="auto"/>
              </w:rPr>
            </w:pPr>
            <w:r>
              <w:rPr>
                <w:rFonts w:ascii="Arial" w:cs="Arial" w:eastAsia="Arial" w:hAnsi="Arial"/>
                <w:sz w:val="18"/>
                <w:szCs w:val="18"/>
                <w:b w:val="1"/>
                <w:bCs w:val="1"/>
                <w:color w:val="auto"/>
              </w:rPr>
              <w:t>20852</w:t>
            </w:r>
          </w:p>
        </w:tc>
      </w:tr>
      <w:tr>
        <w:trPr>
          <w:trHeight w:val="217"/>
        </w:trPr>
        <w:tc>
          <w:tcPr>
            <w:tcW w:w="4020" w:type="dxa"/>
            <w:vAlign w:val="bottom"/>
          </w:tcPr>
          <w:p>
            <w:pPr>
              <w:jc w:val="center"/>
              <w:ind w:right="2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660" w:type="dxa"/>
            <w:vAlign w:val="bottom"/>
          </w:tcPr>
          <w:p>
            <w:pPr>
              <w:jc w:val="center"/>
              <w:ind w:left="2497"/>
              <w:spacing w:after="0"/>
              <w:rPr>
                <w:sz w:val="20"/>
                <w:szCs w:val="20"/>
                <w:color w:val="auto"/>
              </w:rPr>
            </w:pPr>
            <w:r>
              <w:rPr>
                <w:rFonts w:ascii="Arial" w:cs="Arial" w:eastAsia="Arial" w:hAnsi="Arial"/>
                <w:sz w:val="14"/>
                <w:szCs w:val="14"/>
                <w:b w:val="1"/>
                <w:bCs w:val="1"/>
                <w:color w:val="auto"/>
                <w:w w:val="98"/>
              </w:rPr>
              <w:t>(Zip Code)</w:t>
            </w:r>
          </w:p>
        </w:tc>
      </w:tr>
      <w:tr>
        <w:trPr>
          <w:trHeight w:val="282"/>
        </w:trPr>
        <w:tc>
          <w:tcPr>
            <w:tcW w:w="4020" w:type="dxa"/>
            <w:vAlign w:val="bottom"/>
          </w:tcPr>
          <w:p>
            <w:pPr>
              <w:spacing w:after="0"/>
              <w:rPr>
                <w:sz w:val="24"/>
                <w:szCs w:val="24"/>
                <w:color w:val="auto"/>
              </w:rPr>
            </w:pPr>
          </w:p>
        </w:tc>
        <w:tc>
          <w:tcPr>
            <w:tcW w:w="4660" w:type="dxa"/>
            <w:vAlign w:val="bottom"/>
          </w:tcPr>
          <w:p>
            <w:pPr>
              <w:jc w:val="right"/>
              <w:ind w:right="3077"/>
              <w:spacing w:after="0"/>
              <w:rPr>
                <w:sz w:val="20"/>
                <w:szCs w:val="20"/>
                <w:color w:val="auto"/>
              </w:rPr>
            </w:pPr>
            <w:r>
              <w:rPr>
                <w:rFonts w:ascii="Arial" w:cs="Arial" w:eastAsia="Arial" w:hAnsi="Arial"/>
                <w:sz w:val="18"/>
                <w:szCs w:val="18"/>
                <w:b w:val="1"/>
                <w:bCs w:val="1"/>
                <w:color w:val="auto"/>
              </w:rPr>
              <w:t>(301) 998-8100</w:t>
            </w:r>
          </w:p>
        </w:tc>
      </w:tr>
    </w:tbl>
    <w:p>
      <w:pPr>
        <w:spacing w:after="0" w:line="18"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7"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680" w:type="dxa"/>
            <w:vAlign w:val="bottom"/>
          </w:tcPr>
          <w:p>
            <w:pPr>
              <w:spacing w:after="0"/>
              <w:rPr>
                <w:sz w:val="16"/>
                <w:szCs w:val="16"/>
                <w:color w:val="auto"/>
              </w:rPr>
            </w:pPr>
          </w:p>
        </w:tc>
        <w:tc>
          <w:tcPr>
            <w:tcW w:w="4800" w:type="dxa"/>
            <w:vAlign w:val="bottom"/>
            <w:gridSpan w:val="2"/>
          </w:tcPr>
          <w:p>
            <w:pPr>
              <w:spacing w:after="0"/>
              <w:rPr>
                <w:sz w:val="20"/>
                <w:szCs w:val="20"/>
                <w:color w:val="auto"/>
              </w:rPr>
            </w:pPr>
            <w:r>
              <w:rPr>
                <w:rFonts w:ascii="Arial" w:cs="Arial" w:eastAsia="Arial" w:hAnsi="Arial"/>
                <w:sz w:val="16"/>
                <w:szCs w:val="16"/>
                <w:b w:val="1"/>
                <w:bCs w:val="1"/>
                <w:color w:val="auto"/>
              </w:rPr>
              <w:t>Title of Each Class</w:t>
            </w:r>
          </w:p>
        </w:tc>
        <w:tc>
          <w:tcPr>
            <w:tcW w:w="3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Name of Each Exchange On Which Registered</w:t>
            </w:r>
          </w:p>
        </w:tc>
      </w:tr>
      <w:tr>
        <w:trPr>
          <w:trHeight w:val="20"/>
        </w:trPr>
        <w:tc>
          <w:tcPr>
            <w:tcW w:w="26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220" w:type="dxa"/>
            <w:vAlign w:val="bottom"/>
            <w:gridSpan w:val="2"/>
            <w:shd w:val="clear" w:color="auto" w:fill="000000"/>
          </w:tcPr>
          <w:p>
            <w:pPr>
              <w:spacing w:after="0" w:line="20" w:lineRule="exact"/>
              <w:rPr>
                <w:sz w:val="1"/>
                <w:szCs w:val="1"/>
                <w:color w:val="auto"/>
              </w:rPr>
            </w:pPr>
          </w:p>
        </w:tc>
      </w:tr>
      <w:tr>
        <w:trPr>
          <w:trHeight w:val="267"/>
        </w:trPr>
        <w:tc>
          <w:tcPr>
            <w:tcW w:w="7480" w:type="dxa"/>
            <w:vAlign w:val="bottom"/>
            <w:gridSpan w:val="3"/>
          </w:tcPr>
          <w:p>
            <w:pPr>
              <w:ind w:left="40"/>
              <w:spacing w:after="0"/>
              <w:rPr>
                <w:sz w:val="20"/>
                <w:szCs w:val="20"/>
                <w:color w:val="auto"/>
              </w:rPr>
            </w:pPr>
            <w:r>
              <w:rPr>
                <w:rFonts w:ascii="Arial" w:cs="Arial" w:eastAsia="Arial" w:hAnsi="Arial"/>
                <w:sz w:val="16"/>
                <w:szCs w:val="16"/>
                <w:color w:val="auto"/>
              </w:rPr>
              <w:t>Common Shares of Beneficial Interest, $.01 par value per share, with associated Common Share</w:t>
            </w:r>
          </w:p>
        </w:tc>
        <w:tc>
          <w:tcPr>
            <w:tcW w:w="3220" w:type="dxa"/>
            <w:vAlign w:val="bottom"/>
            <w:gridSpan w:val="2"/>
          </w:tcPr>
          <w:p>
            <w:pPr>
              <w:jc w:val="center"/>
              <w:spacing w:after="0"/>
              <w:rPr>
                <w:sz w:val="20"/>
                <w:szCs w:val="20"/>
                <w:color w:val="auto"/>
              </w:rPr>
            </w:pPr>
            <w:r>
              <w:rPr>
                <w:rFonts w:ascii="Arial" w:cs="Arial" w:eastAsia="Arial" w:hAnsi="Arial"/>
                <w:sz w:val="16"/>
                <w:szCs w:val="16"/>
                <w:color w:val="auto"/>
                <w:w w:val="91"/>
              </w:rPr>
              <w:t>New York Stock Exchange</w:t>
            </w:r>
          </w:p>
        </w:tc>
      </w:tr>
      <w:tr>
        <w:trPr>
          <w:trHeight w:val="206"/>
        </w:trPr>
        <w:tc>
          <w:tcPr>
            <w:tcW w:w="7480" w:type="dxa"/>
            <w:vAlign w:val="bottom"/>
            <w:gridSpan w:val="3"/>
          </w:tcPr>
          <w:p>
            <w:pPr>
              <w:ind w:left="40"/>
              <w:spacing w:after="0"/>
              <w:rPr>
                <w:sz w:val="20"/>
                <w:szCs w:val="20"/>
                <w:color w:val="auto"/>
              </w:rPr>
            </w:pPr>
            <w:r>
              <w:rPr>
                <w:rFonts w:ascii="Arial" w:cs="Arial" w:eastAsia="Arial" w:hAnsi="Arial"/>
                <w:sz w:val="16"/>
                <w:szCs w:val="16"/>
                <w:color w:val="auto"/>
              </w:rPr>
              <w:t>Purchase Rights</w:t>
            </w:r>
          </w:p>
        </w:tc>
        <w:tc>
          <w:tcPr>
            <w:tcW w:w="84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52"/>
        </w:trPr>
        <w:tc>
          <w:tcPr>
            <w:tcW w:w="7480" w:type="dxa"/>
            <w:vAlign w:val="bottom"/>
            <w:gridSpan w:val="3"/>
          </w:tcPr>
          <w:p>
            <w:pPr>
              <w:ind w:left="40"/>
              <w:spacing w:after="0"/>
              <w:rPr>
                <w:sz w:val="20"/>
                <w:szCs w:val="20"/>
                <w:color w:val="auto"/>
              </w:rPr>
            </w:pPr>
            <w:r>
              <w:rPr>
                <w:rFonts w:ascii="Arial" w:cs="Arial" w:eastAsia="Arial" w:hAnsi="Arial"/>
                <w:sz w:val="16"/>
                <w:szCs w:val="16"/>
                <w:color w:val="auto"/>
              </w:rPr>
              <w:t>Depository Shares, each representing 1/1000 of a share of 5.00% Series C Cumulative Redeemable</w:t>
            </w:r>
          </w:p>
        </w:tc>
        <w:tc>
          <w:tcPr>
            <w:tcW w:w="3220" w:type="dxa"/>
            <w:vAlign w:val="bottom"/>
            <w:gridSpan w:val="2"/>
          </w:tcPr>
          <w:p>
            <w:pPr>
              <w:jc w:val="center"/>
              <w:spacing w:after="0"/>
              <w:rPr>
                <w:sz w:val="20"/>
                <w:szCs w:val="20"/>
                <w:color w:val="auto"/>
              </w:rPr>
            </w:pPr>
            <w:r>
              <w:rPr>
                <w:rFonts w:ascii="Arial" w:cs="Arial" w:eastAsia="Arial" w:hAnsi="Arial"/>
                <w:sz w:val="16"/>
                <w:szCs w:val="16"/>
                <w:color w:val="auto"/>
                <w:w w:val="91"/>
              </w:rPr>
              <w:t>New York Stock Exchange</w:t>
            </w:r>
          </w:p>
        </w:tc>
      </w:tr>
      <w:tr>
        <w:trPr>
          <w:trHeight w:val="206"/>
        </w:trPr>
        <w:tc>
          <w:tcPr>
            <w:tcW w:w="7480" w:type="dxa"/>
            <w:vAlign w:val="bottom"/>
            <w:gridSpan w:val="3"/>
          </w:tcPr>
          <w:p>
            <w:pPr>
              <w:ind w:left="40"/>
              <w:spacing w:after="0"/>
              <w:rPr>
                <w:sz w:val="20"/>
                <w:szCs w:val="20"/>
                <w:color w:val="auto"/>
              </w:rPr>
            </w:pPr>
            <w:r>
              <w:rPr>
                <w:rFonts w:ascii="Arial" w:cs="Arial" w:eastAsia="Arial" w:hAnsi="Arial"/>
                <w:sz w:val="16"/>
                <w:szCs w:val="16"/>
                <w:color w:val="auto"/>
              </w:rPr>
              <w:t>Preferred Stock, $.01 par value per share</w:t>
            </w:r>
          </w:p>
        </w:tc>
        <w:tc>
          <w:tcPr>
            <w:tcW w:w="84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83"/>
        </w:trPr>
        <w:tc>
          <w:tcPr>
            <w:tcW w:w="748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12(g) of the Act: None</w:t>
            </w:r>
          </w:p>
        </w:tc>
        <w:tc>
          <w:tcPr>
            <w:tcW w:w="8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49"/>
        </w:trPr>
        <w:tc>
          <w:tcPr>
            <w:tcW w:w="8320" w:type="dxa"/>
            <w:vAlign w:val="bottom"/>
            <w:gridSpan w:val="4"/>
          </w:tcPr>
          <w:p>
            <w:pPr>
              <w:spacing w:after="0" w:line="184" w:lineRule="exact"/>
              <w:rPr>
                <w:sz w:val="20"/>
                <w:szCs w:val="20"/>
                <w:color w:val="auto"/>
              </w:rPr>
            </w:pPr>
            <w:r>
              <w:rPr>
                <w:rFonts w:ascii="Arial" w:cs="Arial" w:eastAsia="Arial" w:hAnsi="Arial"/>
                <w:sz w:val="16"/>
                <w:szCs w:val="16"/>
                <w:color w:val="auto"/>
                <w:w w:val="93"/>
              </w:rPr>
              <w:t xml:space="preserve">Indicate by check mark if the Registrant is a well-known seasoned issuer, as defined in Rule 405 of the Securities Act. </w:t>
            </w:r>
            <w:r>
              <w:rPr>
                <w:rFonts w:ascii="MS PGothic" w:cs="MS PGothic" w:eastAsia="MS PGothic" w:hAnsi="MS PGothic"/>
                <w:sz w:val="16"/>
                <w:szCs w:val="16"/>
                <w:color w:val="auto"/>
                <w:w w:val="93"/>
              </w:rPr>
              <w:t>☒</w:t>
            </w:r>
            <w:r>
              <w:rPr>
                <w:rFonts w:ascii="Arial" w:cs="Arial" w:eastAsia="Arial" w:hAnsi="Arial"/>
                <w:sz w:val="16"/>
                <w:szCs w:val="16"/>
                <w:color w:val="auto"/>
                <w:w w:val="93"/>
              </w:rPr>
              <w:t xml:space="preserve"> Yes</w:t>
            </w:r>
          </w:p>
        </w:tc>
        <w:tc>
          <w:tcPr>
            <w:tcW w:w="2380" w:type="dxa"/>
            <w:vAlign w:val="bottom"/>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r>
      <w:tr>
        <w:trPr>
          <w:trHeight w:val="254"/>
        </w:trPr>
        <w:tc>
          <w:tcPr>
            <w:tcW w:w="8320" w:type="dxa"/>
            <w:vAlign w:val="bottom"/>
            <w:gridSpan w:val="4"/>
          </w:tcPr>
          <w:p>
            <w:pPr>
              <w:spacing w:after="0" w:line="184" w:lineRule="exact"/>
              <w:rPr>
                <w:sz w:val="20"/>
                <w:szCs w:val="20"/>
                <w:color w:val="auto"/>
              </w:rPr>
            </w:pPr>
            <w:r>
              <w:rPr>
                <w:rFonts w:ascii="Arial" w:cs="Arial" w:eastAsia="Arial" w:hAnsi="Arial"/>
                <w:sz w:val="16"/>
                <w:szCs w:val="16"/>
                <w:color w:val="auto"/>
                <w:w w:val="92"/>
              </w:rPr>
              <w:t xml:space="preserve">Indicate by check mark if the Registrant is not required to file reports pursuant to Section 13 or Section 15(d) of the Act. </w:t>
            </w:r>
            <w:r>
              <w:rPr>
                <w:rFonts w:ascii="MS PGothic" w:cs="MS PGothic" w:eastAsia="MS PGothic" w:hAnsi="MS PGothic"/>
                <w:sz w:val="16"/>
                <w:szCs w:val="16"/>
                <w:color w:val="auto"/>
                <w:w w:val="92"/>
              </w:rPr>
              <w:t>☐</w:t>
            </w:r>
            <w:r>
              <w:rPr>
                <w:rFonts w:ascii="Arial" w:cs="Arial" w:eastAsia="Arial" w:hAnsi="Arial"/>
                <w:sz w:val="16"/>
                <w:szCs w:val="16"/>
                <w:color w:val="auto"/>
                <w:w w:val="92"/>
              </w:rPr>
              <w:t xml:space="preserve"> Yes</w:t>
            </w:r>
          </w:p>
        </w:tc>
        <w:tc>
          <w:tcPr>
            <w:tcW w:w="2380" w:type="dxa"/>
            <w:vAlign w:val="bottom"/>
          </w:tcPr>
          <w:p>
            <w:pPr>
              <w:ind w:left="1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r>
    </w:tbl>
    <w:p>
      <w:pPr>
        <w:spacing w:after="0" w:line="19" w:lineRule="exact"/>
        <w:rPr>
          <w:sz w:val="24"/>
          <w:szCs w:val="24"/>
          <w:color w:val="auto"/>
        </w:rPr>
      </w:pPr>
    </w:p>
    <w:p>
      <w:pPr>
        <w:ind w:right="14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51"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w:t>
      </w:r>
    </w:p>
    <w:p>
      <w:pPr>
        <w:spacing w:after="0" w:line="1" w:lineRule="exact"/>
        <w:rPr>
          <w:sz w:val="24"/>
          <w:szCs w:val="24"/>
          <w:color w:val="auto"/>
        </w:rPr>
      </w:pPr>
    </w:p>
    <w:p>
      <w:pPr>
        <w:spacing w:after="0" w:line="184" w:lineRule="exact"/>
        <w:tabs>
          <w:tab w:leader="none" w:pos="520" w:val="left"/>
        </w:tabs>
        <w:rPr>
          <w:sz w:val="20"/>
          <w:szCs w:val="20"/>
          <w:color w:val="auto"/>
        </w:rPr>
      </w:pPr>
      <w:r>
        <w:rPr>
          <w:rFonts w:ascii="Arial" w:cs="Arial" w:eastAsia="Arial" w:hAnsi="Arial"/>
          <w:sz w:val="16"/>
          <w:szCs w:val="16"/>
          <w:color w:val="auto"/>
        </w:rPr>
        <w:t>files).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51" w:lineRule="exact"/>
        <w:rPr>
          <w:sz w:val="24"/>
          <w:szCs w:val="24"/>
          <w:color w:val="auto"/>
        </w:rPr>
      </w:pPr>
    </w:p>
    <w:p>
      <w:pPr>
        <w:ind w:right="220"/>
        <w:spacing w:after="0" w:line="207"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19" w:lineRule="exact"/>
        <w:rPr>
          <w:sz w:val="24"/>
          <w:szCs w:val="24"/>
          <w:color w:val="auto"/>
        </w:rPr>
      </w:pPr>
    </w:p>
    <w:p>
      <w:pPr>
        <w:ind w:right="14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81"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3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400" w:type="dxa"/>
            <w:vAlign w:val="bottom"/>
          </w:tcPr>
          <w:p>
            <w:pPr>
              <w:ind w:left="70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78"/>
        </w:trPr>
        <w:tc>
          <w:tcPr>
            <w:tcW w:w="1940" w:type="dxa"/>
            <w:vAlign w:val="bottom"/>
          </w:tcPr>
          <w:p>
            <w:pPr>
              <w:spacing w:after="0"/>
              <w:rPr>
                <w:sz w:val="20"/>
                <w:szCs w:val="20"/>
                <w:color w:val="auto"/>
              </w:rPr>
            </w:pPr>
            <w:r>
              <w:rPr>
                <w:rFonts w:ascii="Arial" w:cs="Arial" w:eastAsia="Arial" w:hAnsi="Arial"/>
                <w:sz w:val="16"/>
                <w:szCs w:val="16"/>
                <w:color w:val="auto"/>
              </w:rPr>
              <w:t>Non-Accelerated Filer</w:t>
            </w:r>
          </w:p>
        </w:tc>
        <w:tc>
          <w:tcPr>
            <w:tcW w:w="4300" w:type="dxa"/>
            <w:vAlign w:val="bottom"/>
          </w:tcPr>
          <w:p>
            <w:pPr>
              <w:ind w:left="420"/>
              <w:spacing w:after="0"/>
              <w:rPr>
                <w:sz w:val="20"/>
                <w:szCs w:val="20"/>
                <w:color w:val="auto"/>
              </w:rPr>
            </w:pPr>
            <w:r>
              <w:rPr>
                <w:rFonts w:ascii="Arial" w:cs="Arial" w:eastAsia="Arial" w:hAnsi="Arial"/>
                <w:sz w:val="16"/>
                <w:szCs w:val="16"/>
                <w:color w:val="auto"/>
              </w:rPr>
              <w:t>o (Do not check if a smaller reporting company)</w:t>
            </w:r>
          </w:p>
        </w:tc>
        <w:tc>
          <w:tcPr>
            <w:tcW w:w="4400" w:type="dxa"/>
            <w:vAlign w:val="bottom"/>
          </w:tcPr>
          <w:p>
            <w:pPr>
              <w:ind w:left="70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19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400" w:type="dxa"/>
            <w:vAlign w:val="bottom"/>
            <w:vMerge w:val="restart"/>
          </w:tcPr>
          <w:p>
            <w:pPr>
              <w:ind w:left="70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90"/>
        </w:trPr>
        <w:tc>
          <w:tcPr>
            <w:tcW w:w="194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4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10640" w:type="dxa"/>
            <w:vAlign w:val="bottom"/>
            <w:gridSpan w:val="3"/>
          </w:tcPr>
          <w:p>
            <w:pPr>
              <w:spacing w:after="0"/>
              <w:rPr>
                <w:sz w:val="20"/>
                <w:szCs w:val="20"/>
                <w:color w:val="auto"/>
              </w:rPr>
            </w:pPr>
            <w:r>
              <w:rPr>
                <w:rFonts w:ascii="Arial" w:cs="Arial" w:eastAsia="Arial" w:hAnsi="Arial"/>
                <w:sz w:val="16"/>
                <w:szCs w:val="16"/>
                <w:color w:val="auto"/>
                <w:w w:val="93"/>
              </w:rPr>
              <w:t>If an emerging growth company, indicate by checkmark if the registrant has elected not use the extended transition period for complying with any new or revised</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6"/>
          <w:szCs w:val="16"/>
          <w:color w:val="auto"/>
        </w:rPr>
        <w:t>financial accounting standards provided pursuant to Section 13(a) of the Exchange Act.</w:t>
      </w:r>
    </w:p>
    <w:p>
      <w:pPr>
        <w:spacing w:after="0" w:line="28" w:lineRule="exact"/>
        <w:rPr>
          <w:sz w:val="24"/>
          <w:szCs w:val="24"/>
          <w:color w:val="auto"/>
        </w:rPr>
      </w:pPr>
    </w:p>
    <w:p>
      <w:pPr>
        <w:spacing w:after="0" w:line="184" w:lineRule="exact"/>
        <w:tabs>
          <w:tab w:leader="none" w:pos="76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70" w:lineRule="exact"/>
        <w:rPr>
          <w:sz w:val="24"/>
          <w:szCs w:val="24"/>
          <w:color w:val="auto"/>
        </w:rPr>
      </w:pPr>
    </w:p>
    <w:p>
      <w:pPr>
        <w:ind w:right="60"/>
        <w:spacing w:after="0" w:line="264" w:lineRule="auto"/>
        <w:rPr>
          <w:sz w:val="20"/>
          <w:szCs w:val="20"/>
          <w:color w:val="auto"/>
        </w:rPr>
      </w:pPr>
      <w:r>
        <w:rPr>
          <w:rFonts w:ascii="Arial" w:cs="Arial" w:eastAsia="Arial" w:hAnsi="Arial"/>
          <w:sz w:val="16"/>
          <w:szCs w:val="16"/>
          <w:color w:val="auto"/>
        </w:rPr>
        <w:t>The aggregate market value of the Registrant's common shares held by non-affiliates of the Registrant, based upon the closing sales price of the Registrant's common shares on June 30, 2017 was $9.1 billion.</w:t>
      </w:r>
    </w:p>
    <w:p>
      <w:pPr>
        <w:spacing w:after="0" w:line="72" w:lineRule="exact"/>
        <w:rPr>
          <w:sz w:val="24"/>
          <w:szCs w:val="24"/>
          <w:color w:val="auto"/>
        </w:rPr>
      </w:pPr>
    </w:p>
    <w:p>
      <w:pPr>
        <w:spacing w:after="0"/>
        <w:rPr>
          <w:sz w:val="20"/>
          <w:szCs w:val="20"/>
          <w:color w:val="auto"/>
        </w:rPr>
      </w:pPr>
      <w:r>
        <w:rPr>
          <w:rFonts w:ascii="Arial" w:cs="Arial" w:eastAsia="Arial" w:hAnsi="Arial"/>
          <w:sz w:val="16"/>
          <w:szCs w:val="16"/>
          <w:color w:val="auto"/>
        </w:rPr>
        <w:t>The number of Registrant’s common shares outstanding on February 8, 2018 was 73,192,726.</w:t>
      </w:r>
    </w:p>
    <w:p>
      <w:pPr>
        <w:sectPr>
          <w:pgSz w:w="11900" w:h="16838" w:orient="portrait"/>
          <w:cols w:equalWidth="0" w:num="1">
            <w:col w:w="11420"/>
          </w:cols>
          <w:pgMar w:left="240" w:top="234" w:right="23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ANNUAL REPORT ON FORM 10-K</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FISCAL YEAR ENDED DECEMBER 31, 2017</w:t>
      </w:r>
    </w:p>
    <w:p>
      <w:pPr>
        <w:spacing w:after="0" w:line="31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36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Portions of the Registrant’s Proxy Statement to be filed with the Securities and Exchange Commission for the Registrant’s 2017 annual meeting of shareholders to be held in May 2018 will be incorporated by reference into Part III hereof.</w:t>
      </w: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9720" w:type="dxa"/>
            <w:vAlign w:val="bottom"/>
          </w:tcPr>
          <w:p>
            <w:pPr>
              <w:ind w:left="348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1240" w:type="dxa"/>
            <w:vAlign w:val="bottom"/>
          </w:tcPr>
          <w:p>
            <w:pPr>
              <w:spacing w:after="0"/>
              <w:rPr>
                <w:sz w:val="20"/>
                <w:szCs w:val="20"/>
                <w:color w:val="auto"/>
              </w:rPr>
            </w:pPr>
            <w:r>
              <w:rPr>
                <w:rFonts w:ascii="Arial" w:cs="Arial" w:eastAsia="Arial" w:hAnsi="Arial"/>
                <w:sz w:val="18"/>
                <w:szCs w:val="18"/>
                <w:color w:val="auto"/>
              </w:rPr>
              <w:t>PART I</w:t>
            </w:r>
          </w:p>
        </w:tc>
        <w:tc>
          <w:tcPr>
            <w:tcW w:w="9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9"/>
        </w:trPr>
        <w:tc>
          <w:tcPr>
            <w:tcW w:w="1240" w:type="dxa"/>
            <w:vAlign w:val="bottom"/>
          </w:tcPr>
          <w:p>
            <w:pPr>
              <w:spacing w:after="0"/>
              <w:rPr>
                <w:sz w:val="20"/>
                <w:szCs w:val="20"/>
                <w:color w:val="auto"/>
              </w:rPr>
            </w:pPr>
            <w:r>
              <w:rPr>
                <w:rFonts w:ascii="Arial" w:cs="Arial" w:eastAsia="Arial" w:hAnsi="Arial"/>
                <w:sz w:val="18"/>
                <w:szCs w:val="18"/>
                <w:color w:val="auto"/>
              </w:rPr>
              <w:t>Item 1.</w:t>
            </w:r>
          </w:p>
        </w:tc>
        <w:tc>
          <w:tcPr>
            <w:tcW w:w="9720" w:type="dxa"/>
            <w:vAlign w:val="bottom"/>
          </w:tcPr>
          <w:p>
            <w:pPr>
              <w:ind w:left="140"/>
              <w:spacing w:after="0"/>
              <w:rPr>
                <w:sz w:val="20"/>
                <w:szCs w:val="20"/>
                <w:color w:val="auto"/>
              </w:rPr>
            </w:pPr>
            <w:r>
              <w:rPr>
                <w:rFonts w:ascii="Arial" w:cs="Arial" w:eastAsia="Arial" w:hAnsi="Arial"/>
                <w:sz w:val="18"/>
                <w:szCs w:val="18"/>
                <w:color w:val="auto"/>
              </w:rPr>
              <w:t>Business</w:t>
            </w: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80" w:type="dxa"/>
            <w:vAlign w:val="bottom"/>
          </w:tcPr>
          <w:p>
            <w:pPr>
              <w:spacing w:after="0"/>
              <w:rPr>
                <w:sz w:val="19"/>
                <w:szCs w:val="19"/>
                <w:color w:val="auto"/>
              </w:rPr>
            </w:pPr>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1A.</w:t>
            </w:r>
          </w:p>
        </w:tc>
        <w:tc>
          <w:tcPr>
            <w:tcW w:w="972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80" w:type="dxa"/>
            <w:vAlign w:val="bottom"/>
          </w:tcPr>
          <w:p>
            <w:pPr>
              <w:spacing w:after="0"/>
              <w:rPr>
                <w:sz w:val="21"/>
                <w:szCs w:val="21"/>
                <w:color w:val="auto"/>
              </w:rPr>
            </w:pPr>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1B.</w:t>
            </w:r>
          </w:p>
        </w:tc>
        <w:tc>
          <w:tcPr>
            <w:tcW w:w="9720" w:type="dxa"/>
            <w:vAlign w:val="bottom"/>
          </w:tcPr>
          <w:p>
            <w:pPr>
              <w:ind w:left="140"/>
              <w:spacing w:after="0"/>
              <w:rPr>
                <w:sz w:val="20"/>
                <w:szCs w:val="20"/>
                <w:color w:val="auto"/>
              </w:rPr>
            </w:pPr>
            <w:r>
              <w:rPr>
                <w:rFonts w:ascii="Arial" w:cs="Arial" w:eastAsia="Arial" w:hAnsi="Arial"/>
                <w:sz w:val="18"/>
                <w:szCs w:val="18"/>
                <w:color w:val="auto"/>
              </w:rPr>
              <w:t>Unresolved Staff Comments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16</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2.</w:t>
            </w:r>
          </w:p>
        </w:tc>
        <w:tc>
          <w:tcPr>
            <w:tcW w:w="9720" w:type="dxa"/>
            <w:vAlign w:val="bottom"/>
          </w:tcPr>
          <w:p>
            <w:pPr>
              <w:ind w:left="140"/>
              <w:spacing w:after="0"/>
              <w:rPr>
                <w:sz w:val="20"/>
                <w:szCs w:val="20"/>
                <w:color w:val="auto"/>
              </w:rPr>
            </w:pPr>
            <w:r>
              <w:rPr>
                <w:rFonts w:ascii="Arial" w:cs="Arial" w:eastAsia="Arial" w:hAnsi="Arial"/>
                <w:sz w:val="18"/>
                <w:szCs w:val="18"/>
                <w:color w:val="auto"/>
              </w:rPr>
              <w:t>Properties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16</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3.</w:t>
            </w:r>
          </w:p>
        </w:tc>
        <w:tc>
          <w:tcPr>
            <w:tcW w:w="972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4.</w:t>
            </w:r>
          </w:p>
        </w:tc>
        <w:tc>
          <w:tcPr>
            <w:tcW w:w="9720" w:type="dxa"/>
            <w:vAlign w:val="bottom"/>
          </w:tcPr>
          <w:p>
            <w:pPr>
              <w:ind w:left="14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614"/>
        </w:trPr>
        <w:tc>
          <w:tcPr>
            <w:tcW w:w="1240" w:type="dxa"/>
            <w:vAlign w:val="bottom"/>
          </w:tcPr>
          <w:p>
            <w:pPr>
              <w:spacing w:after="0"/>
              <w:rPr>
                <w:sz w:val="20"/>
                <w:szCs w:val="20"/>
                <w:color w:val="auto"/>
              </w:rPr>
            </w:pPr>
            <w:r>
              <w:rPr>
                <w:rFonts w:ascii="Arial" w:cs="Arial" w:eastAsia="Arial" w:hAnsi="Arial"/>
                <w:sz w:val="18"/>
                <w:szCs w:val="18"/>
                <w:color w:val="auto"/>
              </w:rPr>
              <w:t>PART II</w:t>
            </w:r>
          </w:p>
        </w:tc>
        <w:tc>
          <w:tcPr>
            <w:tcW w:w="9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9"/>
        </w:trPr>
        <w:tc>
          <w:tcPr>
            <w:tcW w:w="1240" w:type="dxa"/>
            <w:vAlign w:val="bottom"/>
          </w:tcPr>
          <w:p>
            <w:pPr>
              <w:spacing w:after="0"/>
              <w:rPr>
                <w:sz w:val="20"/>
                <w:szCs w:val="20"/>
                <w:color w:val="auto"/>
              </w:rPr>
            </w:pPr>
            <w:r>
              <w:rPr>
                <w:rFonts w:ascii="Arial" w:cs="Arial" w:eastAsia="Arial" w:hAnsi="Arial"/>
                <w:sz w:val="18"/>
                <w:szCs w:val="18"/>
                <w:color w:val="auto"/>
              </w:rPr>
              <w:t>Item 5.</w:t>
            </w:r>
          </w:p>
        </w:tc>
        <w:tc>
          <w:tcPr>
            <w:tcW w:w="9720" w:type="dxa"/>
            <w:vAlign w:val="bottom"/>
          </w:tcPr>
          <w:p>
            <w:pPr>
              <w:ind w:left="140"/>
              <w:spacing w:after="0"/>
              <w:rPr>
                <w:sz w:val="20"/>
                <w:szCs w:val="20"/>
                <w:color w:val="auto"/>
              </w:rPr>
            </w:pPr>
            <w:r>
              <w:rPr>
                <w:rFonts w:ascii="Arial" w:cs="Arial" w:eastAsia="Arial" w:hAnsi="Arial"/>
                <w:sz w:val="18"/>
                <w:szCs w:val="18"/>
                <w:color w:val="auto"/>
              </w:rPr>
              <w:t>Market for Our Common Equity and Related Shareholder Matters and Issuer Purchases of Equity Securities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6.</w:t>
            </w:r>
          </w:p>
        </w:tc>
        <w:tc>
          <w:tcPr>
            <w:tcW w:w="9720" w:type="dxa"/>
            <w:vAlign w:val="bottom"/>
          </w:tcPr>
          <w:p>
            <w:pPr>
              <w:ind w:left="140"/>
              <w:spacing w:after="0"/>
              <w:rPr>
                <w:sz w:val="20"/>
                <w:szCs w:val="20"/>
                <w:color w:val="auto"/>
              </w:rPr>
            </w:pPr>
            <w:r>
              <w:rPr>
                <w:rFonts w:ascii="Arial" w:cs="Arial" w:eastAsia="Arial" w:hAnsi="Arial"/>
                <w:sz w:val="18"/>
                <w:szCs w:val="18"/>
                <w:color w:val="auto"/>
              </w:rPr>
              <w:t>Selected Financial Data</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7.</w:t>
            </w:r>
          </w:p>
        </w:tc>
        <w:tc>
          <w:tcPr>
            <w:tcW w:w="972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30</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7A.</w:t>
            </w:r>
          </w:p>
        </w:tc>
        <w:tc>
          <w:tcPr>
            <w:tcW w:w="972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51</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8.</w:t>
            </w:r>
          </w:p>
        </w:tc>
        <w:tc>
          <w:tcPr>
            <w:tcW w:w="9720" w:type="dxa"/>
            <w:vAlign w:val="bottom"/>
          </w:tcPr>
          <w:p>
            <w:pPr>
              <w:ind w:left="140"/>
              <w:spacing w:after="0"/>
              <w:rPr>
                <w:sz w:val="20"/>
                <w:szCs w:val="20"/>
                <w:color w:val="auto"/>
              </w:rPr>
            </w:pPr>
            <w:r>
              <w:rPr>
                <w:rFonts w:ascii="Arial" w:cs="Arial" w:eastAsia="Arial" w:hAnsi="Arial"/>
                <w:sz w:val="18"/>
                <w:szCs w:val="18"/>
                <w:color w:val="auto"/>
              </w:rPr>
              <w:t>Financial Statements and Supplementary Data</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51</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9.</w:t>
            </w:r>
          </w:p>
        </w:tc>
        <w:tc>
          <w:tcPr>
            <w:tcW w:w="9720" w:type="dxa"/>
            <w:vAlign w:val="bottom"/>
          </w:tcPr>
          <w:p>
            <w:pPr>
              <w:ind w:left="14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52</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9A.</w:t>
            </w:r>
          </w:p>
        </w:tc>
        <w:tc>
          <w:tcPr>
            <w:tcW w:w="972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52</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9B.</w:t>
            </w:r>
          </w:p>
        </w:tc>
        <w:tc>
          <w:tcPr>
            <w:tcW w:w="972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52</w:t>
              </w:r>
            </w:hyperlink>
          </w:p>
        </w:tc>
      </w:tr>
      <w:tr>
        <w:trPr>
          <w:trHeight w:val="614"/>
        </w:trPr>
        <w:tc>
          <w:tcPr>
            <w:tcW w:w="1240" w:type="dxa"/>
            <w:vAlign w:val="bottom"/>
          </w:tcPr>
          <w:p>
            <w:pPr>
              <w:spacing w:after="0"/>
              <w:rPr>
                <w:sz w:val="20"/>
                <w:szCs w:val="20"/>
                <w:color w:val="auto"/>
              </w:rPr>
            </w:pPr>
            <w:r>
              <w:rPr>
                <w:rFonts w:ascii="Arial" w:cs="Arial" w:eastAsia="Arial" w:hAnsi="Arial"/>
                <w:sz w:val="18"/>
                <w:szCs w:val="18"/>
                <w:color w:val="auto"/>
              </w:rPr>
              <w:t>PART III</w:t>
            </w:r>
          </w:p>
        </w:tc>
        <w:tc>
          <w:tcPr>
            <w:tcW w:w="9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9"/>
        </w:trPr>
        <w:tc>
          <w:tcPr>
            <w:tcW w:w="1240" w:type="dxa"/>
            <w:vAlign w:val="bottom"/>
          </w:tcPr>
          <w:p>
            <w:pPr>
              <w:spacing w:after="0"/>
              <w:rPr>
                <w:sz w:val="20"/>
                <w:szCs w:val="20"/>
                <w:color w:val="auto"/>
              </w:rPr>
            </w:pPr>
            <w:r>
              <w:rPr>
                <w:rFonts w:ascii="Arial" w:cs="Arial" w:eastAsia="Arial" w:hAnsi="Arial"/>
                <w:sz w:val="18"/>
                <w:szCs w:val="18"/>
                <w:color w:val="auto"/>
              </w:rPr>
              <w:t>Item 10.</w:t>
            </w:r>
          </w:p>
        </w:tc>
        <w:tc>
          <w:tcPr>
            <w:tcW w:w="9720" w:type="dxa"/>
            <w:vAlign w:val="bottom"/>
          </w:tcPr>
          <w:p>
            <w:pPr>
              <w:ind w:left="140"/>
              <w:spacing w:after="0"/>
              <w:rPr>
                <w:sz w:val="20"/>
                <w:szCs w:val="20"/>
                <w:color w:val="auto"/>
              </w:rPr>
            </w:pPr>
            <w:r>
              <w:rPr>
                <w:rFonts w:ascii="Arial" w:cs="Arial" w:eastAsia="Arial" w:hAnsi="Arial"/>
                <w:sz w:val="18"/>
                <w:szCs w:val="18"/>
                <w:color w:val="auto"/>
              </w:rPr>
              <w:t>Trustees, Executive Officers and Corporate Governance</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11.</w:t>
            </w:r>
          </w:p>
        </w:tc>
        <w:tc>
          <w:tcPr>
            <w:tcW w:w="9720" w:type="dxa"/>
            <w:vAlign w:val="bottom"/>
          </w:tcPr>
          <w:p>
            <w:pPr>
              <w:ind w:left="140"/>
              <w:spacing w:after="0"/>
              <w:rPr>
                <w:sz w:val="20"/>
                <w:szCs w:val="20"/>
                <w:color w:val="auto"/>
              </w:rPr>
            </w:pPr>
            <w:r>
              <w:rPr>
                <w:rFonts w:ascii="Arial" w:cs="Arial" w:eastAsia="Arial" w:hAnsi="Arial"/>
                <w:sz w:val="18"/>
                <w:szCs w:val="18"/>
                <w:color w:val="auto"/>
              </w:rPr>
              <w:t>Executive Compensation</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12.</w:t>
            </w:r>
          </w:p>
        </w:tc>
        <w:tc>
          <w:tcPr>
            <w:tcW w:w="9720" w:type="dxa"/>
            <w:vAlign w:val="bottom"/>
          </w:tcPr>
          <w:p>
            <w:pPr>
              <w:ind w:left="140"/>
              <w:spacing w:after="0"/>
              <w:rPr>
                <w:sz w:val="20"/>
                <w:szCs w:val="20"/>
                <w:color w:val="auto"/>
              </w:rPr>
            </w:pPr>
            <w:r>
              <w:rPr>
                <w:rFonts w:ascii="Arial" w:cs="Arial" w:eastAsia="Arial" w:hAnsi="Arial"/>
                <w:sz w:val="18"/>
                <w:szCs w:val="18"/>
                <w:color w:val="auto"/>
              </w:rPr>
              <w:t>Security Ownership of Certain Beneficial Owners and Management and Related Shareholder Matters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13.</w:t>
            </w:r>
          </w:p>
        </w:tc>
        <w:tc>
          <w:tcPr>
            <w:tcW w:w="9720" w:type="dxa"/>
            <w:vAlign w:val="bottom"/>
          </w:tcPr>
          <w:p>
            <w:pPr>
              <w:ind w:left="140"/>
              <w:spacing w:after="0"/>
              <w:rPr>
                <w:sz w:val="20"/>
                <w:szCs w:val="20"/>
                <w:color w:val="auto"/>
              </w:rPr>
            </w:pPr>
            <w:r>
              <w:rPr>
                <w:rFonts w:ascii="Arial" w:cs="Arial" w:eastAsia="Arial" w:hAnsi="Arial"/>
                <w:sz w:val="18"/>
                <w:szCs w:val="18"/>
                <w:color w:val="auto"/>
              </w:rPr>
              <w:t>Certain Relationships and Related Transactions, and Trustee Independence</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14.</w:t>
            </w:r>
          </w:p>
        </w:tc>
        <w:tc>
          <w:tcPr>
            <w:tcW w:w="9720" w:type="dxa"/>
            <w:vAlign w:val="bottom"/>
          </w:tcPr>
          <w:p>
            <w:pPr>
              <w:ind w:left="140"/>
              <w:spacing w:after="0"/>
              <w:rPr>
                <w:sz w:val="20"/>
                <w:szCs w:val="20"/>
                <w:color w:val="auto"/>
              </w:rPr>
            </w:pPr>
            <w:r>
              <w:rPr>
                <w:rFonts w:ascii="Arial" w:cs="Arial" w:eastAsia="Arial" w:hAnsi="Arial"/>
                <w:sz w:val="18"/>
                <w:szCs w:val="18"/>
                <w:color w:val="auto"/>
              </w:rPr>
              <w:t>Principal Accountant Fees and Services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614"/>
        </w:trPr>
        <w:tc>
          <w:tcPr>
            <w:tcW w:w="1240" w:type="dxa"/>
            <w:vAlign w:val="bottom"/>
          </w:tcPr>
          <w:p>
            <w:pPr>
              <w:spacing w:after="0"/>
              <w:rPr>
                <w:sz w:val="20"/>
                <w:szCs w:val="20"/>
                <w:color w:val="auto"/>
              </w:rPr>
            </w:pPr>
            <w:r>
              <w:rPr>
                <w:rFonts w:ascii="Arial" w:cs="Arial" w:eastAsia="Arial" w:hAnsi="Arial"/>
                <w:sz w:val="18"/>
                <w:szCs w:val="18"/>
                <w:color w:val="auto"/>
              </w:rPr>
              <w:t>PART IV</w:t>
            </w:r>
          </w:p>
        </w:tc>
        <w:tc>
          <w:tcPr>
            <w:tcW w:w="9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9"/>
        </w:trPr>
        <w:tc>
          <w:tcPr>
            <w:tcW w:w="1240" w:type="dxa"/>
            <w:vAlign w:val="bottom"/>
          </w:tcPr>
          <w:p>
            <w:pPr>
              <w:spacing w:after="0"/>
              <w:rPr>
                <w:sz w:val="20"/>
                <w:szCs w:val="20"/>
                <w:color w:val="auto"/>
              </w:rPr>
            </w:pPr>
            <w:r>
              <w:rPr>
                <w:rFonts w:ascii="Arial" w:cs="Arial" w:eastAsia="Arial" w:hAnsi="Arial"/>
                <w:sz w:val="18"/>
                <w:szCs w:val="18"/>
                <w:color w:val="auto"/>
              </w:rPr>
              <w:t>Item 15.</w:t>
            </w:r>
          </w:p>
        </w:tc>
        <w:tc>
          <w:tcPr>
            <w:tcW w:w="9720" w:type="dxa"/>
            <w:vAlign w:val="bottom"/>
          </w:tcPr>
          <w:p>
            <w:pPr>
              <w:ind w:left="140"/>
              <w:spacing w:after="0"/>
              <w:rPr>
                <w:sz w:val="20"/>
                <w:szCs w:val="20"/>
                <w:color w:val="auto"/>
              </w:rPr>
            </w:pPr>
            <w:r>
              <w:rPr>
                <w:rFonts w:ascii="Arial" w:cs="Arial" w:eastAsia="Arial" w:hAnsi="Arial"/>
                <w:sz w:val="18"/>
                <w:szCs w:val="18"/>
                <w:color w:val="auto"/>
              </w:rPr>
              <w:t>Exhibits and Financial Statement Schedules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16.</w:t>
            </w:r>
          </w:p>
        </w:tc>
        <w:tc>
          <w:tcPr>
            <w:tcW w:w="9720" w:type="dxa"/>
            <w:vAlign w:val="bottom"/>
          </w:tcPr>
          <w:p>
            <w:pPr>
              <w:ind w:left="140"/>
              <w:spacing w:after="0"/>
              <w:rPr>
                <w:sz w:val="20"/>
                <w:szCs w:val="20"/>
                <w:color w:val="auto"/>
              </w:rPr>
            </w:pPr>
            <w:r>
              <w:rPr>
                <w:rFonts w:ascii="Arial" w:cs="Arial" w:eastAsia="Arial" w:hAnsi="Arial"/>
                <w:sz w:val="18"/>
                <w:szCs w:val="18"/>
                <w:color w:val="auto"/>
              </w:rPr>
              <w:t>Form 10-K Summary</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57</w:t>
              </w:r>
            </w:hyperlink>
          </w:p>
        </w:tc>
      </w:tr>
      <w:tr>
        <w:trPr>
          <w:trHeight w:val="574"/>
        </w:trPr>
        <w:tc>
          <w:tcPr>
            <w:tcW w:w="1240" w:type="dxa"/>
            <w:vAlign w:val="bottom"/>
          </w:tcPr>
          <w:p>
            <w:pPr>
              <w:spacing w:after="0"/>
              <w:rPr>
                <w:sz w:val="20"/>
                <w:szCs w:val="20"/>
                <w:color w:val="auto"/>
              </w:rPr>
            </w:pPr>
            <w:r>
              <w:rPr>
                <w:rFonts w:ascii="Arial" w:cs="Arial" w:eastAsia="Arial" w:hAnsi="Arial"/>
                <w:sz w:val="18"/>
                <w:szCs w:val="18"/>
                <w:color w:val="auto"/>
              </w:rPr>
              <w:t>SIGNATURES</w:t>
            </w:r>
          </w:p>
        </w:tc>
        <w:tc>
          <w:tcPr>
            <w:tcW w:w="9720" w:type="dxa"/>
            <w:vAlign w:val="bottom"/>
          </w:tcPr>
          <w:p>
            <w:pPr>
              <w:spacing w:after="0"/>
              <w:rPr>
                <w:sz w:val="24"/>
                <w:szCs w:val="24"/>
                <w:color w:val="auto"/>
              </w:rPr>
            </w:pP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8">
              <w:r>
                <w:rPr>
                  <w:rFonts w:ascii="Arial" w:cs="Arial" w:eastAsia="Arial" w:hAnsi="Arial"/>
                  <w:sz w:val="18"/>
                  <w:szCs w:val="18"/>
                  <w:color w:val="0000EE"/>
                  <w:w w:val="79"/>
                </w:rPr>
                <w:t>58</w:t>
              </w:r>
            </w:hyperlink>
          </w:p>
        </w:tc>
      </w:tr>
      <w:tr>
        <w:trPr>
          <w:trHeight w:val="506"/>
        </w:trPr>
        <w:tc>
          <w:tcPr>
            <w:tcW w:w="1240" w:type="dxa"/>
            <w:vAlign w:val="bottom"/>
          </w:tcPr>
          <w:p>
            <w:pPr>
              <w:spacing w:after="0"/>
              <w:rPr>
                <w:sz w:val="24"/>
                <w:szCs w:val="24"/>
                <w:color w:val="auto"/>
              </w:rPr>
            </w:pPr>
          </w:p>
        </w:tc>
        <w:tc>
          <w:tcPr>
            <w:tcW w:w="9720" w:type="dxa"/>
            <w:vAlign w:val="bottom"/>
          </w:tcPr>
          <w:p>
            <w:pPr>
              <w:ind w:left="43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80"/>
          </w:cols>
          <w:pgMar w:left="240" w:top="126" w:right="47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References to “we,” “us,” “our” or the “Trust” refer to Federal Realty Investment Trust and our business and operations conducted through our directly or indirectly owned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and South Florida. As of December 31, 2017, we owned or had a majority interest in community and neighborhood shopping centers and mixed-use properties which are operated as 104 predominantly retail real estate projects comprising approximately 24.2 million square feet. In total, the real estate projects were 95.3% leased and 93.9% occupied at December 31, 2017. We have paid quarterly dividends to our shareholders continuously since our founding in 1962 and have increased our dividends per common share for 50 consecutive years.</w:t>
      </w:r>
    </w:p>
    <w:p>
      <w:pPr>
        <w:spacing w:after="0" w:line="10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 xml:space="preserve">We were founded in 1962 as a REIT under the laws of the District of Columbia and re-formed as a REIT in the state of Maryland in 1999. We operate in a manner intended to qualify as a REIT for tax purposes pursuant to provisions of the Internal Revenue Code of 1986, as amended (the “Code”). Our principal executive offices are located at 1626 East Jefferson Street, Rockville, Maryland 20852. Our telephone number is (301) 998-8100.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report and is not incorporated herein by reference.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Objectives and Strategies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primary business objective is to own, manage, acquire and redevelop a portfolio of high quality retail focused properties that will:</w:t>
      </w:r>
    </w:p>
    <w:p>
      <w:pPr>
        <w:spacing w:after="0" w:line="2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increasing cash flow for distribution to shareholders;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generate higher internal growth than the shopping center industry over the long term;</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potential for capital appreciation;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 investor capital.</w:t>
      </w:r>
    </w:p>
    <w:p>
      <w:pPr>
        <w:spacing w:after="0" w:line="15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Our portfolio includes, and we continue to acquire and redevelop, high quality retail in many formats ranging from regional, community and neighborhood shopping centers that often are anchored by grocery stores to mixed-use properties that are typically centered around a retail component but also include office, residential and/or hotel components.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Strategies</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core operating strategy is to actively manage our properties to maximize rents and maintain occupancy levels by attracting and retaining a strong and diverse base of tenants and replacing less relevant, weaker, underperforming tenants with stronger ones. Our properties are generally located in some of the most densely populated and affluent areas of the country. These strong demographics help our tenants generate higher sales, which has enabled us to maintain higher occupancy rates, charge higher rental rates, and maintain steady rent growth, all of which increase the value of our portfolio. Our operating strategies also include:</w:t>
      </w:r>
    </w:p>
    <w:p>
      <w:pPr>
        <w:spacing w:after="0" w:line="3" w:lineRule="exact"/>
        <w:rPr>
          <w:sz w:val="20"/>
          <w:szCs w:val="20"/>
          <w:color w:val="auto"/>
        </w:rPr>
      </w:pPr>
    </w:p>
    <w:p>
      <w:pPr>
        <w:ind w:left="660" w:right="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rental rates through the renewal of expiring leases or the leasing of space to new tenants at higher rental rates while limiting vacancy and down-time;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maintaining a diversified tenant base, thereby limiting exposure to any one tenant’s financial or operating difficulties;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monitoring the merchandising mix of our tenant base to achieve a balance of strong national and regional tenants with local specialty tenants;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minimizing overhead and operating costs;</w:t>
      </w:r>
    </w:p>
    <w:p>
      <w:pPr>
        <w:spacing w:after="0" w:line="8" w:lineRule="exact"/>
        <w:rPr>
          <w:rFonts w:ascii="Arial" w:cs="Arial" w:eastAsia="Arial" w:hAnsi="Arial"/>
          <w:sz w:val="18"/>
          <w:szCs w:val="18"/>
          <w:color w:val="auto"/>
        </w:rPr>
      </w:pPr>
    </w:p>
    <w:p>
      <w:pPr>
        <w:ind w:left="660" w:right="320" w:hanging="328"/>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monitoring the physical appearance of our properties and the construction quality, condition and design of the buildings and other improvements located on our properties to maximize our ability to attract customers and thereby generate higher rents and occupancy rates;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developing local and regional market expertise in order to capitalize on market and retailing trends;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leveraging the contacts and experience of our management team to build and maintain long-term relationships with tenants;</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126" w:right="29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4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exceptional customer service; and</w:t>
      </w:r>
    </w:p>
    <w:p>
      <w:pPr>
        <w:spacing w:after="0" w:line="23" w:lineRule="exact"/>
        <w:rPr>
          <w:rFonts w:ascii="Arial" w:cs="Arial" w:eastAsia="Arial" w:hAnsi="Arial"/>
          <w:sz w:val="18"/>
          <w:szCs w:val="18"/>
          <w:color w:val="auto"/>
        </w:rPr>
      </w:pPr>
    </w:p>
    <w:p>
      <w:pPr>
        <w:ind w:left="660" w:right="100" w:hanging="328"/>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creating an experience at many of our properties that is identifiable, unique and serves the surrounding communities to help insulate these properties and the tenants at these properties from the impact of on-line retailing.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Strategies</w:t>
      </w:r>
    </w:p>
    <w:p>
      <w:pPr>
        <w:spacing w:after="0" w:line="90"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Our investment strategy is to deploy capital at risk-adjusted rates of return that exceed our long-term weighted average cost of capital in projects that have potential for future income growth and increased value. Our investments primarily fall into one of the following four categories:</w:t>
      </w:r>
    </w:p>
    <w:p>
      <w:pPr>
        <w:spacing w:after="0" w:line="1" w:lineRule="exact"/>
        <w:rPr>
          <w:sz w:val="20"/>
          <w:szCs w:val="20"/>
          <w:color w:val="auto"/>
        </w:rPr>
      </w:pPr>
    </w:p>
    <w:p>
      <w:pPr>
        <w:ind w:left="660" w:right="8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renovating, expanding, reconfiguring and/or retenanting our existing properties to take advantage of under-utilized land or existing square footage to increase revenue;</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renovating or expanding tenant spaces for tenants capable of producing higher sales, and therefore, paying higher rents;</w:t>
      </w:r>
    </w:p>
    <w:p>
      <w:pPr>
        <w:spacing w:after="0" w:line="8" w:lineRule="exact"/>
        <w:rPr>
          <w:rFonts w:ascii="Arial" w:cs="Arial" w:eastAsia="Arial" w:hAnsi="Arial"/>
          <w:sz w:val="18"/>
          <w:szCs w:val="18"/>
          <w:color w:val="auto"/>
        </w:rPr>
      </w:pPr>
    </w:p>
    <w:p>
      <w:pPr>
        <w:jc w:val="both"/>
        <w:ind w:left="660" w:right="20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acquiring quality retail and mixed-use properties located in densely populated and/or affluent areas where barriers to entry for further development are high, and that have possibilities for enhancing operating performance and creating value through renovation, expansion, reconfiguration and/or retenanting; and</w:t>
      </w:r>
    </w:p>
    <w:p>
      <w:pPr>
        <w:ind w:left="660" w:right="540" w:hanging="328"/>
        <w:spacing w:after="0" w:line="26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the retail portions of mixed-use properties and developing or otherwise investing in non-retail portions of mixed-use properties we already own in order to capitalize on the overall value created in these properties.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Criteria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When we evaluate potential redevelopment, retenanting, expansion, acquisition and development opportunities, we consider such factors as:</w:t>
      </w:r>
    </w:p>
    <w:p>
      <w:pPr>
        <w:spacing w:after="0" w:line="2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expected returns in relation to our short and long-term cost of capital as well as the anticipated risk we will face in achieving the expected returns;</w:t>
      </w:r>
    </w:p>
    <w:p>
      <w:pPr>
        <w:spacing w:after="0" w:line="31"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anticipated growth rate of operating income generated by the property;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increase the long-term value of the property through redevelopment and retenanting;</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tenant mix at the property, tenant sales performance and the creditworthiness of those tenants;</w:t>
      </w:r>
    </w:p>
    <w:p>
      <w:pPr>
        <w:spacing w:after="0" w:line="8"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geographic area in which the property is located, including the population density, household incomes, education levels, as well as the population and income trends in that geographic area;</w:t>
      </w:r>
    </w:p>
    <w:p>
      <w:pPr>
        <w:ind w:left="660" w:right="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competitive conditions in the vicinity of the property, including gross leasable area (GLA) per capita, competition for tenants and the ability of others to create competing properties through redevelopment, new construction or renovation;</w:t>
      </w:r>
    </w:p>
    <w:p>
      <w:pPr>
        <w:ind w:left="660" w:right="1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access to and visibility of the property from existing roadways and the potential for new, widened or realigned, roadways within the property’s trade area, which may affect access and commuting and shopping patterns;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and success of our existing investments in the market area;</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current market value of the land, buildings and other improvements and the potential for increasing those market values;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physical condition of the land, buildings and other improvements, including the structural and environmental condition.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Strategies</w:t>
      </w:r>
    </w:p>
    <w:p>
      <w:pPr>
        <w:spacing w:after="0" w:line="90"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Our financing strategies are designed to enable us to maintain an investment grade balance sheet while retaining sufficient flexibility to fund our operating and investing activities in the most cost-efficient way possible. Our financing strategies include:</w:t>
      </w:r>
    </w:p>
    <w:p>
      <w:pPr>
        <w:spacing w:after="0" w:line="1" w:lineRule="exact"/>
        <w:rPr>
          <w:sz w:val="20"/>
          <w:szCs w:val="20"/>
          <w:color w:val="auto"/>
        </w:rPr>
      </w:pPr>
    </w:p>
    <w:p>
      <w:pPr>
        <w:ind w:left="660" w:right="5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a prudent level of overall leverage and an appropriate pool of unencumbered properties that is sufficient to support our unsecured borrowings;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managing our exposure to variable-rate debt;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an available line of credit to fund operating and investing needs on a short-term basis;</w:t>
      </w:r>
    </w:p>
    <w:p>
      <w:pPr>
        <w:spacing w:after="0" w:line="8"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taking advantage of market opportunities to refinance existing debt, reduce interest costs and manage our debt maturity schedule so that a significant portion of our debt relative to our size does not mature in any one year;</w:t>
      </w:r>
    </w:p>
    <w:p>
      <w:pPr>
        <w:ind w:left="660" w:right="18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selling properties that have limited growth potential or are not a strategic fit within our overall portfolio and redeploying the proceeds to redevelop, renovate, retenant and/or expand our existing properties, acquire new properties or reduce debt; and</w:t>
      </w:r>
    </w:p>
    <w:p>
      <w:pPr>
        <w:ind w:left="660" w:right="52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utilizing the most advantageous long-term source of capital available to us to finance redevelopment and acquisition opportunities, which may include:</w:t>
      </w:r>
    </w:p>
    <w:p>
      <w:pPr>
        <w:ind w:left="1300" w:right="360" w:hanging="321"/>
        <w:spacing w:after="0" w:line="250"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sale of our equity or debt securities through public offerings, including our at-the-market ("ATM") equity program in which we may from time to time offer and sell common shares, or private placements,</w:t>
      </w:r>
    </w:p>
    <w:p>
      <w:pPr>
        <w:ind w:left="1300" w:hanging="321"/>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incurrence of indebtedness through unsecured or secured borrowings,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6" w:right="23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47" w:lineRule="exact"/>
        <w:rPr>
          <w:sz w:val="20"/>
          <w:szCs w:val="20"/>
          <w:color w:val="auto"/>
        </w:rPr>
      </w:pPr>
    </w:p>
    <w:p>
      <w:pPr>
        <w:ind w:left="1300" w:right="40" w:hanging="321"/>
        <w:spacing w:after="0" w:line="25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issuance of operating partnership units in a new or existing “downREIT partnership” that is controlled and consolidated by us (generally operating partnership units in a “downREIT” partnership are issued in exchange for a tax deferred contribution of property; these units receive the same distributions as our common shares and the holders of these units have the right to exchange their units for cash or the same number of our common shares, at our option), or</w:t>
      </w:r>
    </w:p>
    <w:p>
      <w:pPr>
        <w:spacing w:after="0" w:line="1" w:lineRule="exact"/>
        <w:rPr>
          <w:rFonts w:ascii="Arial" w:cs="Arial" w:eastAsia="Arial" w:hAnsi="Arial"/>
          <w:sz w:val="18"/>
          <w:szCs w:val="18"/>
          <w:color w:val="auto"/>
        </w:rPr>
      </w:pPr>
    </w:p>
    <w:p>
      <w:pPr>
        <w:ind w:left="1300" w:hanging="321"/>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use of joint venture arrangements.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At February 8, 2018, we had 311 full-time employees and 15 part-time employees. None of our employees are represented by a collective bargaining unit. We believe that our relationship with our employees is good.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9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elected to be taxed as a REIT under the federal income tax laws when we filed our 1962 tax return. As a REIT, we are generally not subject to federal income tax on taxable income that we distribute to our shareholders. Under the Code, REITs are subject to numerous organizational and operational requirements, including the requirement to generally distribute at least 90% of taxable income each year. We will be subject to federal income tax on our taxable income (including any applicable alternative minimum tax) at regular corporate rates if we fail to qualify as a REIT for tax purposes in any taxable year, or to the extent we distribute less than 100% of our taxable income. We will also generally not qualify for treatment as a REIT for federal income tax purposes for four years following the year during which qualification is lost. Even if we qualify as a REIT for federal income tax purposes, we may be subject to certain state and local income and franchise taxes and to federal income and excise taxes on our undistributed taxable income.</w:t>
      </w:r>
    </w:p>
    <w:p>
      <w:pPr>
        <w:spacing w:after="0" w:line="1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have elected to treat certain of our subsidiaries as taxable REIT subsidiaries, which we refer to as a TRS. In general, a TRS may engage in any real estate business and certain non-real estate businesses, subject to certain limitations under the Code. A TRS is subject to federal and state income taxes. Our TRS activities have not been material.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 Affecting Our Properties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We and our properties are subject to a variety of federal, state and local environmental, health, safety and similar laws, including without limitation:</w:t>
      </w:r>
    </w:p>
    <w:p>
      <w:pPr>
        <w:spacing w:after="0" w:line="3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Comprehensive Environmental Response, Compensation, and Liability Act of 1980, as amended, which we refer to as CERCLA;</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Resource Conservation &amp; Recovery Act;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Clean Water Act;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Clean Air Act;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Toxic Substances Control Act;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Occupational Safety &amp; Health Act;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Americans with Disabilities Act.</w:t>
      </w:r>
    </w:p>
    <w:p>
      <w:pPr>
        <w:spacing w:after="0" w:line="156"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The application of these laws to a specific property that we own depends on a variety of property-specific circumstances, including the current and former uses of the property, the building materials used at the property and the physical layout of the property. Under certain environmental laws, principally CERCLA, we, as the owner or operator of properties currently or previously owned, may be required to investigate and clean up certain hazardous or toxic substances, asbestos-containing materials, or petroleum product releases at the property. We may also be held liable to a governmental entity or third parties for property damage and for investigation and clean up costs incurred in connection with the contamination, whether or not we knew of, or were responsible for, such contamination. In addition, some environmental laws create a lien on the contaminated site in favor of the government for damages and costs it incurs in connection with the contamination. As the owner or operator of real estate, we also may be liable under common law to third parties for damages and injuries resulting from environmental contamination emanating from the real estate. Such costs or liabilities could exceed the value of the affected real estate. The presence of contamination or the failure to remediate contamination may adversely affect our ability to sell or lease real estate or to borrow using the real estate as collateral.</w:t>
      </w:r>
    </w:p>
    <w:p>
      <w:pPr>
        <w:spacing w:after="0" w:line="1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Neither existing environmental, health, safety and similar laws nor the costs of our compliance with these laws has had a material adverse effect on our financial condition or results of operations, and management does not believe they will in the future. In addition, we have not incurred, and do not expect to incur, any material costs or liabilities due to environmental contamination at properties we currently own or have owned in the past. However, we cannot predict the impact of new or changed laws or regulations on properties we currently own or may acquire in the future. We have no current plans for substantial capital expenditures with respect to compliance with environmental, health, safety and similar laws and we carry environmental insurance which covers a number of environmental risks for most of our properties.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6" w:right="23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Numerous commercial developers and real estate companies compete with us with respect to the leasing and the acquisition of properties. Some of these competitors may possess greater capital resources than we do, although we do not believe that any single competitor or group of competitors in any of the primary markets where our properties are located are dominant in that market. This competition may:</w:t>
      </w:r>
    </w:p>
    <w:p>
      <w:pPr>
        <w:spacing w:after="0" w:line="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number of properties available for acquisition;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the cost of properties available for acquisition;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interfere with our ability to attract and retain tenants, leading to increased vacancy rates and/or reduced rents;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adversely affect our ability to minimize expenses of operation.</w:t>
      </w:r>
    </w:p>
    <w:p>
      <w:pPr>
        <w:spacing w:after="0" w:line="156" w:lineRule="exact"/>
        <w:rPr>
          <w:sz w:val="20"/>
          <w:szCs w:val="20"/>
          <w:color w:val="auto"/>
        </w:rPr>
      </w:pPr>
    </w:p>
    <w:p>
      <w:pPr>
        <w:ind w:right="80"/>
        <w:spacing w:after="0" w:line="307" w:lineRule="auto"/>
        <w:rPr>
          <w:sz w:val="20"/>
          <w:szCs w:val="20"/>
          <w:color w:val="auto"/>
        </w:rPr>
      </w:pPr>
      <w:r>
        <w:rPr>
          <w:rFonts w:ascii="Arial" w:cs="Arial" w:eastAsia="Arial" w:hAnsi="Arial"/>
          <w:sz w:val="17"/>
          <w:szCs w:val="17"/>
          <w:color w:val="auto"/>
        </w:rPr>
        <w:t>Retailers at our properties also face increasing competition from online retailers, outlet stores, discount shopping clubs, superstores, and other forms of sales and marketing of goods and services, such as direct mail. This competition could contribute to lease defaults and insolvency of tenants.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Copies of our Annual Report on Form 10-K, Quarterly Reports on Form 10-Q, Current Reports on Form 8-K, and amendments to those reports filed or furnished pursuant to Section 13(a) or 15(d) of the Securities Exchange Act of 1934 (the “Exchange Act”) are available free of charge through the Investors section of our website at </w:t>
      </w:r>
      <w:r>
        <w:rPr>
          <w:rFonts w:ascii="Arial" w:cs="Arial" w:eastAsia="Arial" w:hAnsi="Arial"/>
          <w:sz w:val="18"/>
          <w:szCs w:val="18"/>
          <w:i w:val="1"/>
          <w:iCs w:val="1"/>
          <w:color w:val="auto"/>
        </w:rPr>
        <w:t>www.federalrealty.com</w:t>
      </w:r>
      <w:r>
        <w:rPr>
          <w:rFonts w:ascii="Arial" w:cs="Arial" w:eastAsia="Arial" w:hAnsi="Arial"/>
          <w:sz w:val="18"/>
          <w:szCs w:val="18"/>
          <w:color w:val="auto"/>
        </w:rPr>
        <w:t xml:space="preserve"> as soon as reasonably practicable after we electronically file the material with, or furnish the material to, the Securities and Exchange Commission, or the SEC.</w:t>
      </w:r>
    </w:p>
    <w:p>
      <w:pPr>
        <w:spacing w:after="0" w:line="13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Corporate Governance Guidelines, Code of Business Conduct, Code of Ethics applicable to our Chief Executive Officer and senior financial officers, Whistleblower Policy, organizational documents and the charters of our audit committee, compensation committee and nominating and corporate governance committee are all available in the Corporate Governance section of the Investors section of our website.</w:t>
      </w:r>
    </w:p>
    <w:p>
      <w:pPr>
        <w:spacing w:after="0" w:line="1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Amendments to the Code of Ethics or Code of Business Conduct or waivers that apply to any of our executive officers or our senior financial officers will be disclosed in that section of our website as well.</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You may obtain a printed copy of any of the foregoing materials from us by writing to us at Investor Relations, Federal Realty Investment Trust, 1626 East Jefferson Street, Rockville, Maryland 20852.</w:t>
      </w: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126" w:right="31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Section 21E of the Exchange Act and the Private Securities Litigation Reform Act of 1995. Also, documents that we “incorporate by reference” into this Annual Report on Form 10-K, including documents that we subsequently file with the SEC will contain forward-looking statements. When we refer to forward-looking statements or information, sometimes we use words such as “may,” “will,” “could,” “should,” “plans,” “intends,” “expects,” “believes,” “estimates,” “anticipates” and “continues.” In particular, the below risk factors describe forward-looking information. The risk factors describe risks that may affect these statements but are not all-inclusive, particularly with respect to possible future events. Many things can happen that can cause actual results to be different from those we describe. These factors include, but are not limited to the following: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our properties may be reduced or limited if the retail operations of our tenants are not successful.</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Revenue from our properties depends primarily on the ability of our tenants to pay the full amount of rent and other charges due under their leases on a timely basis. Some of our leases provide for the payment, in addition to base rent, of additional rent above the base amount according to a specified percentage of the gross sales generated by the tenants and generally provide for reimbursement of real estate taxes and expenses of operating the property. Economic and/or competitive conditions may impact the success of our tenants’ retail operations and therefore the amount of rent and expense reimbursements we receive from our tenants. While demand for our retail spaces has been sufficient to increase occupancy, there can be no assurance that this will continue. Any reduction in our tenants' abilities to pay base rent, percentage rent, or other charges on a timely basis, including the filing by any of our tenants for bankruptcy protection, will adversely affect our financial condition and results of operations. In the event of default by a tenant, we may experience delays and unexpected costs in enforcing our rights as landlord under lease terms, which may also adversely affect our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 income depends on the success and continued presence of our “anchor” tenants.</w:t>
      </w:r>
    </w:p>
    <w:p>
      <w:pPr>
        <w:spacing w:after="0" w:line="94"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Our net income could be adversely affected in the event of a downturn in the business, or the bankruptcy or insolvency, of any anchor store or anchor tenant. Anchor tenants generally occupy large amounts of square footage, pay a significant portion of the total rents at a property and contribute to the success of other tenants by drawing significant numbers of customers to a property. The closing of one or more anchor stores at a property could adversely affect that property and result in lease terminations by, or reductions in rent from, other tenants whose leases may permit termination or rent reduction in those circumstances or whose own operations may suffer as a result. We have been experiencing higher levels of anchor vacancy and expect this will persist over the next few years while we are actively releasing vacant space, and in some cases, redeveloping the shopping center. As of December 31, 2017, our anchor tenant space is 98.1% leased and 96.5% occupied. We also have seen an overall decrease in the number of tenants available to fill anchor spaces. Therefore, tenant demand for certain of our anchor spaces may decrease and as a result, we may see an increase in vacancy and/or a decrease in rents for those spaces that could have a negative impact to our net income.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collect balances due from tenants that file for bankruptcy protection.</w:t>
      </w:r>
    </w:p>
    <w:p>
      <w:pPr>
        <w:spacing w:after="0" w:line="9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If a tenant or lease guarantor files for bankruptcy, we may not be able to collect all pre-petition amounts owed by that party. In addition, a tenant that files for bankruptcy protection may terminate our lease in which event we would have a general unsecured claim that would likely be for less than the full amount owed to us for the remainder of the lease term, which could adversely affect our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difficulty or delay in renewing leases or re-leasing space.</w:t>
      </w:r>
    </w:p>
    <w:p>
      <w:pPr>
        <w:spacing w:after="0" w:line="94"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We derive most of our revenue directly or indirectly from rent received from our tenants. We are subject to the risks that, upon expiration or termination of leases, whether by their terms, as a result of a tenant bankruptcy, general economic conditions or otherwise, leases for space in our properties may not be renewed, space may not be re-leased, or the terms of renewal or re-lease, including the cost of required renovations or concessions to tenants, may be less favorable than current lease terms and may include decreases in rental rates. As a result, our net income could be reduced.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amount of debt we have and the restrictions imposed by that debt could adversely affect our business and financial condition.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2017, we had approximately $3.3 billion of debt outstanding. Of that outstanding debt, approximately $491.6 million was secured by all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or a portion of 13 of our real estate projects and approximately $71.6 million represented capital lease obligations on four of our properties. As of</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98.8% of our debt is fixed rate, which includes all of our property secured debt, our unsecured senior notes, our capital lease obligations,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our $275.0 million term loan, as the rate is effectively fixed by two interest rate swap agreements. Our organizational documents do not limit the level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 of</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6" w:right="25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debt that we may incur. The amount of our debt outstanding from time to time could have important consequences to our shareholders. For example, it could:</w:t>
      </w:r>
    </w:p>
    <w:p>
      <w:pPr>
        <w:spacing w:after="0" w:line="46" w:lineRule="exact"/>
        <w:rPr>
          <w:sz w:val="20"/>
          <w:szCs w:val="20"/>
          <w:color w:val="auto"/>
        </w:rPr>
      </w:pPr>
    </w:p>
    <w:p>
      <w:pPr>
        <w:ind w:left="660" w:right="760" w:hanging="328"/>
        <w:spacing w:after="0" w:line="28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debt, thereby reducing funds available for operations, property acquisitions, redevelopments and other appropriate business opportunities that may arise in the future;</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ability to make distributions on our outstanding common shares and preferred shares;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it difficult to satisfy our debt service requirements;</w:t>
      </w:r>
    </w:p>
    <w:p>
      <w:pPr>
        <w:spacing w:after="0" w:line="8"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us to dedicate increased amounts of our cash flow from operations to payments on debt upon refinancing or on our variable rate, unhedged debt, if interest rates rise;</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factors that affect the profitability of our business;</w:t>
      </w:r>
    </w:p>
    <w:p>
      <w:pPr>
        <w:spacing w:after="0" w:line="8" w:lineRule="exact"/>
        <w:rPr>
          <w:rFonts w:ascii="Arial" w:cs="Arial" w:eastAsia="Arial" w:hAnsi="Arial"/>
          <w:sz w:val="18"/>
          <w:szCs w:val="18"/>
          <w:color w:val="auto"/>
        </w:rPr>
      </w:pPr>
    </w:p>
    <w:p>
      <w:pPr>
        <w:ind w:left="660" w:right="860" w:hanging="328"/>
        <w:spacing w:after="0" w:line="28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limit our ability to obtain any additional debt or equity financing we may need in the future for working capital, debt refinancing, capital expenditures, acquisitions, redevelopments or other general corporate purposes or to obtain such financing on favorable terms; and/or</w:t>
      </w:r>
    </w:p>
    <w:p>
      <w:pPr>
        <w:ind w:left="660" w:right="440" w:hanging="328"/>
        <w:spacing w:after="0" w:line="26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flexibility in conducting our business, which may place us at a disadvantage compared to competitors with less debt or debt with less restrictive terms.</w:t>
      </w:r>
    </w:p>
    <w:p>
      <w:pPr>
        <w:spacing w:after="0" w:line="13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ability to make scheduled principal payments of, to pay interest on, or to refinance our indebtedness will depend primarily on our future performance, which to a certain extent is subject to economic, financial, competitive and other factors beyond our control. There can be no assurance that our business will continue to generate sufficient cash flow from operations in the future to service our debt or meet our other cash needs. If we are unable to generate this cash flow from our business, we may be required to refinance all or a portion of our existing debt, sell assets or obtain additional financing to meet our debt obligations and other cash needs, including the payment of dividends required to maintain our status as a real estate investment trust. We cannot assure you that any such refinancing, sale of assets or additional financing would be possible on terms that we would find acceptable.</w:t>
      </w:r>
    </w:p>
    <w:p>
      <w:pPr>
        <w:spacing w:after="0" w:line="186" w:lineRule="exact"/>
        <w:rPr>
          <w:sz w:val="20"/>
          <w:szCs w:val="20"/>
          <w:color w:val="auto"/>
        </w:rPr>
      </w:pPr>
    </w:p>
    <w:p>
      <w:pPr>
        <w:ind w:right="120"/>
        <w:spacing w:after="0" w:line="312" w:lineRule="auto"/>
        <w:rPr>
          <w:sz w:val="20"/>
          <w:szCs w:val="20"/>
          <w:color w:val="auto"/>
        </w:rPr>
      </w:pPr>
      <w:r>
        <w:rPr>
          <w:rFonts w:ascii="Arial" w:cs="Arial" w:eastAsia="Arial" w:hAnsi="Arial"/>
          <w:sz w:val="17"/>
          <w:szCs w:val="17"/>
          <w:b w:val="1"/>
          <w:bCs w:val="1"/>
          <w:color w:val="auto"/>
        </w:rPr>
        <w:t>We are obligated to comply with financial and other covenants pursuant to our debt obligations that could restrict our operating activities, and the failure to comply with such covenants could result in defaults that accelerate payment under our debt agreements.</w:t>
      </w:r>
    </w:p>
    <w:p>
      <w:pPr>
        <w:spacing w:after="0" w:line="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Our revolving credit facility, term loan and certain series of notes include financial covenants that may limit our operating activities in the future. We are also required to comply with additional covenants that include, among other things, provisions:</w:t>
      </w:r>
    </w:p>
    <w:p>
      <w:pPr>
        <w:spacing w:after="0" w:line="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relating to the maintenance of property securing a mortgage;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our ability to pledge assets or create liens;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our ability to incur additional debt;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our ability to amend or modify existing leases at properties securing a mortgage;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our ability to enter into transactions with affiliates;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our ability to consolidate, merge or sell all or substantially all of our assets.</w:t>
      </w:r>
    </w:p>
    <w:p>
      <w:pPr>
        <w:spacing w:after="0" w:line="15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of December 31, 2017, we were in compliance with all of our default related financial covenants. If we were to breach any of our default related debt covenants, including the covenants listed above,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changes in our credit rating could affect our borrowing capacity and borrowing terms</w:t>
      </w:r>
    </w:p>
    <w:p>
      <w:pPr>
        <w:spacing w:after="0" w:line="9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Our credit worthiness is rated by nationally recognized credit rating agencies. The credit ratings assigned are based on our operating performance, liquidity and leverage ratios, financial condition and prospects, and other factors viewed by the credit rating agencies as relevant to our industry and the economic outlook in general. Our credit rating can affect the amount of capital we access, as well as the terms of certain existing and future financing we obtain. Since we depend on debt financing to fund the growth of our business, an adverse change in our credit rating, including actual changes in outlook, or even the initiation of review of our credit rating that could result in an adverse change, could have a material adverse effect on us.</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126" w:right="31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activities have inherent risks.</w:t>
      </w:r>
    </w:p>
    <w:p>
      <w:pPr>
        <w:spacing w:after="0" w:line="9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ground-up development of improvements on real property, as opposed to the renovation and redevelopment of existing improvements, presents substantial risks. We generally do not look to acquire raw land for future development; however, we do intend to complete the development and construction of future phases of projects we already own, such as Assembly Row in Somerville, Massachusetts and Pike &amp; Rose in North Bethesda, Maryland. We may undertake development of these and other projects on our own or bring in third parties if it is justifiable on a risk-adjusted return basis. We may also choose to delay completion of a project if market conditions do not allow an appropriate return. If conditions arise and we are not able or decide not to complete a project or if the expected cash flows of our project do not exceed the book value, an impairment of the project may be required. If additional phases of any of our existing projects or if any new projects are not successful, it may adversely affect our financial condition and results of operations.</w:t>
      </w:r>
    </w:p>
    <w:p>
      <w:pPr>
        <w:spacing w:after="0" w:line="11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During 2017, construction continued on the development of Phase II at both Assembly Row and Pike &amp; Rose, with portions of both projects opening during 2017. At Santana Row, we continue our on-going redevelopment efforts, including construction of an eight story 284,000 square foot office building, which will include an additional 29,000 square feet of retail space and 1,300 parking spaces. A further discussion of these projects, expected costs, and current status can be found in Item 7. Management's Discussion and Analysis of Financial Condition and Results of Operations in the "Outlook" subsection.</w:t>
      </w:r>
    </w:p>
    <w:p>
      <w:pPr>
        <w:spacing w:after="0" w:line="102"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In addition to the risks associated with real estate investment in general, as described elsewhere and the specific risks above, the risks associated with our remaining development activities include:</w:t>
      </w:r>
    </w:p>
    <w:p>
      <w:pPr>
        <w:spacing w:after="0" w:line="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contractor changes may delay the completion of development projects and increase overall costs;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time lag between commencement and stabilization subjects us to greater risks due to fluctuations in the general economy;</w:t>
      </w:r>
    </w:p>
    <w:p>
      <w:pPr>
        <w:spacing w:after="0" w:line="8"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delivery of residential product (both rental units and for sale condominium units) into uncertain residential environments may result in lower rents or sale prices than underwritten or longer time periods to reach economic stabilization;</w:t>
      </w:r>
    </w:p>
    <w:p>
      <w:pPr>
        <w:ind w:left="660" w:right="2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 amount of our investment is related to infrastructure, the value of which may be negatively impacted if we do not complete subsequent phases;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or inability to obtain construction or permanent financing on favorable terms;</w:t>
      </w:r>
    </w:p>
    <w:p>
      <w:pPr>
        <w:spacing w:after="0" w:line="8"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or inability to obtain public funding from governmental agencies to fund infrastructure projects, including public funding in connection with our development at Assembly Row;</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expenditure of money and time on projects that may never be completed;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or inability of partners to perform on hotel joint ventures;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third-party developer of office or other buildings may not deliver or may encounter delays in delivering space as planned;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securing key anchor or other tenants may impact occupancy rates and projected revenue;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achieve projected rental rates or anticipated pace of lease-up;</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than estimated construction or operating costs, including labor and material costs; and</w:t>
      </w:r>
    </w:p>
    <w:p>
      <w:pPr>
        <w:spacing w:after="0" w:line="8" w:lineRule="exact"/>
        <w:rPr>
          <w:rFonts w:ascii="Arial" w:cs="Arial" w:eastAsia="Arial" w:hAnsi="Arial"/>
          <w:sz w:val="18"/>
          <w:szCs w:val="18"/>
          <w:color w:val="auto"/>
        </w:rPr>
      </w:pPr>
    </w:p>
    <w:p>
      <w:pPr>
        <w:ind w:left="660" w:hanging="328"/>
        <w:spacing w:after="0" w:line="289"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possible delay in completion of a project because of a number of factors, including weather, labor disruptions, construction delays or delays in receipt of zoning or other regulatory approvals, acts of terror or other acts of violence, or acts of God (such as fires, earthquakes or floods).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Redevelopments and acquisitions may fail to perform as expected.</w:t>
      </w:r>
    </w:p>
    <w:p>
      <w:pPr>
        <w:spacing w:after="0" w:line="94"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Our investment strategy includes the redevelopment and acquisition of high quality, retail focused properties in densely populated areas with high average household incomes and significant barriers to adding competitive retail supply. The redevelopment and acquisition of properties entail risks that include the following, any of which could adversely affect our results of operations and our ability to meet our obligations:</w:t>
      </w:r>
    </w:p>
    <w:p>
      <w:pPr>
        <w:spacing w:after="0" w:line="2" w:lineRule="exact"/>
        <w:rPr>
          <w:sz w:val="20"/>
          <w:szCs w:val="20"/>
          <w:color w:val="auto"/>
        </w:rPr>
      </w:pPr>
    </w:p>
    <w:p>
      <w:pPr>
        <w:ind w:left="660" w:right="3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estimate of the costs to improve, reposition or redevelop a property may prove to be too low, or the time we estimate to complete the improvement, repositioning or redevelopment may be too short. As a result, the property may fail to achieve the returns we have projected, either temporarily or for a longer time;</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identify suitable properties to acquire or may be unable to complete the acquisition of the properties we identify;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integrate an acquisition into our existing operations successfully;</w:t>
      </w:r>
    </w:p>
    <w:p>
      <w:pPr>
        <w:spacing w:after="0" w:line="8"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properties we redevelop or acquire may fail to achieve the occupancy or rental rates we project, within the time frames we project, at the time we make the decision to invest, which may result in the properties’ failure to achieve the returns we projected;</w:t>
      </w:r>
    </w:p>
    <w:p>
      <w:pPr>
        <w:ind w:left="660" w:right="20" w:hanging="328"/>
        <w:spacing w:after="0" w:line="289"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pre-acquisition evaluation of the physical condition of each new investment may not detect certain defects or identify necessary repairs until after the property is acquired, which could significantly increase our total acquisition costs or decrease cash flow from the property; and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6" w:right="23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47" w:lineRule="exact"/>
        <w:rPr>
          <w:sz w:val="20"/>
          <w:szCs w:val="20"/>
          <w:color w:val="auto"/>
        </w:rPr>
      </w:pPr>
    </w:p>
    <w:p>
      <w:pPr>
        <w:ind w:left="660" w:right="560" w:hanging="328"/>
        <w:spacing w:after="0" w:line="341"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investigation of a property or building prior to our acquisition, and any representations we may receive from the seller of such building or property, may fail to reveal various liabilities, which could reduce the cash flow from the property or increase our acquisition cost.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grow will be limited if we cannot obtain additional capital.</w:t>
      </w:r>
    </w:p>
    <w:p>
      <w:pPr>
        <w:spacing w:after="0" w:line="9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growth strategy is focused on the redevelopment of properties we already own and the acquisition of additional properties. We believe that it will be difficult to fund our expected growth with cash from operating activities because, in addition to other requirements, we are generally required to distribute to our shareholders at least 90% of our taxable income each year to continue to qualify as a REIT for federal income tax purposes. As a result, we must rely primarily upon the availability of debt or equity capital, which may or may not be available on favorable terms or at all. Debt could include the sale of debt securities and mortgage loans from third parties. If economic conditions and conditions in the capital markets are not favorable at the time we need to raise capital, we may need to obtain capital on less favorable terms. Additionally, we cannot guarantee that additional financing, refinancing or other capital will be available in the amounts we desire or on favorable terms. Our access to debt or equity capital depends on a number of factors, including the market’s perception of our growth potential and risk profile, our ability to pay dividends, and our current and potential future earnings. Depending on the outcome of these factors as well as the impact of the economic environment, we could experience delay or difficulty in implementing our growth strategy on satisfactory terms, or be unable to implement this strategy.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Rising interest rates could adversely affect our cash flow and the market price of our outstanding debt and preferred shares.</w:t>
      </w:r>
    </w:p>
    <w:p>
      <w:pPr>
        <w:spacing w:after="0" w:line="9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Of our approximately $3.3 billion of debt outstanding as of December 31, 2017, approximately $316.0 million bears interest at variable rates, of which $275.0 million is effectively fixed at 2.62% through two interest rate swap agreements. We have an $800.0 million revolving credit facility, on which $41.0 million is outstanding at December 31, 2017, that bears interest at LIBOR plus 82.5 basis points. We may borrow additional funds at variable interest rates in the future. Increases in interest rates would increase the interest expense on our variable rate debt and reduce our cash flow, which could adversely affect our ability to service our debt and meet our other obligations and also could reduce the amount we are able to distribute to our shareholders. We may enter into hedging arrangements or other transactions for all or a portion of our variable rate debt to limit our exposure to rising interest rates. However, the amounts we are required to pay under the term loan and any other variable rate debt to which hedging or similar arrangements relate may increase in the event of non-performance by the counterparties to any of our hedging arrangements. In addition, an increase in market interest rates may lead purchasers of our debt securities and preferred shares to demand a higher annual yield, which could adversely affect the market price of our outstanding debt securities and preferred shares and the cost and/or timing of refinancing or issuing additional debt securities or preferred shares.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value of our debt and equity securities is subject to various factors that may cause significant fluctuations or volatility.</w:t>
      </w:r>
    </w:p>
    <w:p>
      <w:pPr>
        <w:spacing w:after="0" w:line="94"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As with other publicly traded securities, the market price of our debt and equity securities depends on various factors, which may change from time to time and/or may be unrelated to our financial condition, operating performance or prospects that may cause significant fluctuations or volatility in such prices. These factors include, among others:</w:t>
      </w:r>
    </w:p>
    <w:p>
      <w:pPr>
        <w:spacing w:after="0" w:line="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and trend of interest rates;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access the capital markets to raise additional capital;</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issuance of additional equity or debt securities;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funds from operations (“FFO”) or earnings estimates;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debt or analyst ratings;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financial condition and performance;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perception of our business compared to other REITs;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perception of REITs, in general, compared to other investment alternatives.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our key management could adversely affect performance and the value of our common shares.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dependent on the efforts of our key management. Although we believe qualified replacements could be found for any departures of key executives, the loss of their services could adversely affect our performance and the value of our common shares.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6" w:right="25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performance and value are subject to general risks associated with the real estate industry.</w:t>
      </w:r>
    </w:p>
    <w:p>
      <w:pPr>
        <w:spacing w:after="0" w:line="9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Our economic performance and the value of our real estate assets, and, consequently, the value of our investments, are subject to the risk that if our properties do not generate revenues sufficient to meet our operating expenses, including debt service and capital expenditures, our cash flow and ability to pay distributions to our shareholders will be adversely affected. As a real estate company, we are susceptible to the following real estate industry risks:</w:t>
      </w:r>
    </w:p>
    <w:p>
      <w:pPr>
        <w:spacing w:after="0" w:line="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economic downturns in general, or in the areas where our properties are located;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changes in local real estate market conditions, such as an oversupply or reduction in demand;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tenant preferences that reduce the attractiveness of our properties to tenants;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zoning or regulatory restrictions;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decreases in market rental rates;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weather conditions that may increase or decrease energy costs and other weather-related expenses;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associated with the need to periodically repair, renovate and re-lease space; and</w:t>
      </w:r>
    </w:p>
    <w:p>
      <w:pPr>
        <w:spacing w:after="0" w:line="8" w:lineRule="exact"/>
        <w:rPr>
          <w:rFonts w:ascii="Arial" w:cs="Arial" w:eastAsia="Arial" w:hAnsi="Arial"/>
          <w:sz w:val="18"/>
          <w:szCs w:val="18"/>
          <w:color w:val="auto"/>
        </w:rPr>
      </w:pPr>
    </w:p>
    <w:p>
      <w:pPr>
        <w:ind w:left="660" w:right="500" w:hanging="328"/>
        <w:spacing w:after="0" w:line="25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in the cost of adequate maintenance, insurance and other operating costs, including real estate taxes, associated with one or more properties, which may occur even when circumstances such as market factors and competition cause a reduction in revenues from one or more properties, although real estate taxes typically do not increase upon a reduction in such revenues.</w:t>
      </w:r>
    </w:p>
    <w:p>
      <w:pPr>
        <w:spacing w:after="0" w:line="13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Each of these risks could result in decreases in market rental rates and increases in vacancy rates, which could adversely affect our financial condition and results of operation.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Many real estate costs are fixed, even if income from our properties decreases.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financial results depend primarily on leasing space in our properties to tenants on terms favorable to us. Costs associated with real estate investment, such as real estate taxes, insurance and maintenance costs, generally are not reduced even when a property is not fully occupied, rental rates decrease, or other circumstances cause a reduction in income from the property. As a result, cash flow from the operations of our properties may be reduced if a tenant does not pay its rent or we are unable to rent our properties on favorable terms. Under those circumstances, we might not be able to enforce our rights as landlord without delays and may incur substantial legal costs. Additionally, new properties that we may acquire or redevelop may not produce any significant revenue immediately, and the cash flow from existing operations may be insufficient to pay the operating expenses and debt service associated with such new properties until they are fully occupied.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may limit our ability to purchase new properties and generate sufficient income from tenants.</w:t>
      </w:r>
    </w:p>
    <w:p>
      <w:pPr>
        <w:spacing w:after="0" w:line="9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Numerous commercial developers and real estate companies compete with us in seeking tenants for our existing properties and properties for acquisition. This competition may:</w:t>
      </w:r>
    </w:p>
    <w:p>
      <w:pPr>
        <w:spacing w:after="0" w:line="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properties available for acquisition;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the cost of properties available for acquisition;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rents payable to us;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interfere with our ability to attract and retain tenants;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lead to increased vacancy rates at our properties;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adversely affect our ability to minimize expenses of operation.</w:t>
      </w:r>
    </w:p>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Retailers at our properties also face increasing competition from online retailers, outlet stores, discount shopping clubs and other forms of sales and marketing of goods, such as direct mail. This competition could contribute to lease defaults and insolvency of tenants. If we are unable to continue to attract appropriate retail tenants to our properties, or to purchase new properties in our geographic markets, it could materially affect our ability to generate net income, service our debt and make distributions to our shareholders.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sell properties when appropriate because real estate investments are illiquid.</w:t>
      </w:r>
    </w:p>
    <w:p>
      <w:pPr>
        <w:spacing w:after="0" w:line="9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Real estate investments generally cannot be sold quickly. In addition, there are some limitations under federal income tax laws applicable to real estate and to REITs in particular that may limit our ability to sell our assets. We may not be able to alter our portfolio promptly in response to changes in economic or other conditions including being unable to sell a property at a return we believe is appropriate due to the economic environment. Our inability to respond quickly to adverse changes in the performance of our investments could have an adverse effect on our ability to meet our obligations and make distributions to our shareholders.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6" w:right="25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insurance coverage on our properties may be inadequate.</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currently carry comprehensive insurance on all of our properties, including insurance for liability, fire, flood, earthquake, environmental matters, rental loss and acts of terrorism. All of these policies contain coverage limitations. We believe these coverages are of the types and amounts customarily obtained for or by an owner of similar types of real property assets located in the areas where our properties are located. We intend to obtain similar insurance coverage on subsequently acquired properties.</w:t>
      </w:r>
    </w:p>
    <w:p>
      <w:pPr>
        <w:spacing w:after="0" w:line="13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availability of insurance coverage may decrease and the prices for insurance may increase as a consequence of significant losses incurred by the insurance industry and other factors outside our control. As a result, we may be unable to renew or duplicate our current insurance coverage in adequate amounts or at reasonable prices. In addition, insurance companies may no longer offer coverage against certain types of losses, such as losses due to terrorist acts and toxic mold, or, if offered, the expense of obtaining these types of insurance may not be justified. We therefore may cease to have insurance coverage against certain types of losses and/or there may be decreases in the limits of insurance available. If an uninsured loss or a loss in excess of our insured limits occurs, we could lose all or a portion of the capital we have invested in a property, as well as the anticipated future revenue from the property, but still remain obligated for any mortgage debt or other financial obligations related to the property. We cannot guarantee that material losses in excess of insurance proceeds will not occur in the future. If any of our properties were to experience a catastrophic loss, it could seriously disrupt our operations, delay revenue and result in large expenses to repair or rebuild the property. Also, due to inflation, changes in codes and ordinances, environmental considerations and other factors, it may not be feasible to use insurance proceeds to replace a building after it has been damaged or destroyed. Further, we may be unable to collect insurance proceeds if our insurers are unable to pay or contest a claim. Events such as these could adversely affect our results of operations and our ability to meet our obligations, including distributions to our shareholders.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limited flexibility in dealing with our jointly owned investments.</w:t>
      </w:r>
    </w:p>
    <w:p>
      <w:pPr>
        <w:spacing w:after="0" w:line="9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organizational documents do not limit the amount of funds that we may invest in properties and assets owned jointly with other persons or entities. As of December 31, 2017, we held 16 predominantly retail real estate projects jointly with other persons in addition to properties owned in a “downREIT” structure. Additionally, we have entered into joint venture agreements related to the hotel component of Phase II of our Pike &amp; Rose and Assembly Row development projects. We may make additional joint investments in the future. Our existing and future joint investments may subject us to special risks, including the possibility that our partners or co-investors might become bankrupt, that those partners or co-investors might have economic or other business interests or goals which are unlike or incompatible with our business interests or goals, that those partners or co-investors might be in a position to take action contrary to our suggestions or instructions, or in opposition to our policies or objectives, and that disputes may develop with our joint venture partners over decisions affecting the property or the joint venture, which may result in litigation or arbitration or some other form of dispute resolution. Although as of December 31, 2017, we held the controlling interests in all of our existing co-investments (except the hotel investments discussed above and the investment in the La Alameda shopping center acquired in 2017), we generally must obtain the consent of the co-investor or meet defined criteria to sell or to finance these properties. Joint ownership gives a third party the opportunity to influence the return we can achieve on some of our investments and may adversely affect our ability to make distributions to our shareholders. We may also be liable for the actions of our co-investors.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 and regulations could reduce the value or profitability of our properties.</w:t>
      </w:r>
    </w:p>
    <w:p>
      <w:pPr>
        <w:spacing w:after="0" w:line="9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All real property and the operations conducted on real property are subject to federal, state and local laws, ordinances and regulations relating to hazardous materials, environmental protection and human health and safety. Under various federal, state and local laws, ordinances and regulations, we and our tenants may be required to investigate and clean up certain hazardous or toxic substances released on or in properties we own or operate, and also may be required to pay other costs relating to hazardous or toxic substances. This liability may be imposed without regard to whether we or our tenants knew about the release of these types of substances or were responsible for their release. The presence of contamination or the failure to properly remediate contamination at any of our properties may adversely affect our ability to sell or lease those properties or to borrow funds by using those properties as collateral. The costs or liabilities could exceed the value of the affected real estate. We are not aware of any environmental condition with respect to any of our properties that management believes would have a material adverse effect on our business, assets or results of operations taken as a whole. The uses of any of our properties prior to our acquisition of the property and the building materials used at the property are among the property-specific factors that will affect how the environmental laws are applied to our properties. If we are subject to any material environmental liabilities, the liabilities could adversely affect our results of operations and our ability to meet our obligations.</w:t>
      </w:r>
    </w:p>
    <w:p>
      <w:pPr>
        <w:spacing w:after="0" w:line="12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cannot predict what other environmental legislation or regulations will be enacted in the future, how existing or future laws or regulations will be administered or interpreted or what environmental conditions may be found to exist on the properties in the future. Compliance with existing and new laws and regulations may require us or our tenants to spend funds to remedy</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6" w:right="2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180"/>
        <w:spacing w:after="0" w:line="307" w:lineRule="auto"/>
        <w:rPr>
          <w:sz w:val="20"/>
          <w:szCs w:val="20"/>
          <w:color w:val="auto"/>
        </w:rPr>
      </w:pPr>
      <w:r>
        <w:rPr>
          <w:rFonts w:ascii="Arial" w:cs="Arial" w:eastAsia="Arial" w:hAnsi="Arial"/>
          <w:sz w:val="17"/>
          <w:szCs w:val="17"/>
          <w:color w:val="auto"/>
        </w:rPr>
        <w:t>environmental problems. Our tenants, like many of their competitors, have incurred, and will continue to incur, capital and operating expenditures and other costs associated with complying with these laws and regulations, which will adversely affect their potential profitability.</w:t>
      </w:r>
    </w:p>
    <w:p>
      <w:pPr>
        <w:spacing w:after="0" w:line="9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Generally, our tenants must comply with environmental laws and meet remediation requirements. Our leases typically impose obligations on our tenants to indemnify us from any compliance costs we may incur as a result of the environmental conditions on the property caused by the tenant. If a lease does not require compliance or if a tenant fails to or cannot comply, we could be forced to pay these costs. If not addressed, environmental conditions could impair our ability to sell or re-lease the affected properties in the future or result in lower sales prices or rent payments.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Americans with Disabilities Act of 1990 could require us to take remedial steps with respect to existing or newly acquired properties.</w:t>
      </w:r>
    </w:p>
    <w:p>
      <w:pPr>
        <w:spacing w:after="0" w:line="1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existing properties, as well as properties we may acquire, as commercial facilities, are required to comply with Title III of the Americans with Disabilities Act of 1990. Investigation of a property may reveal non-compliance with this Act. The requirements of this Act, or of other federal, state or local laws or regulations, also may change in the future and restrict further renovations of our properties with respect to access for disabled persons. Future compliance with this Act may require expensive changes to the properties.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revenues generated by our tenants could be negatively affected by various federal, state and local laws to which they are subject.</w:t>
      </w:r>
    </w:p>
    <w:p>
      <w:pPr>
        <w:spacing w:after="0" w:line="10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and our tenants are subject to a wide range of federal, state and local laws and regulations, such as local licensing requirements, consumer protection laws and state and local fire, life-safety and similar requirements that affect the use of the properties. The leases typically require that each tenant comply with all laws and regulations. Failure to comply could result in fines by governmental authorities, awards of damages to private litigants, or restrictions on the ability to conduct business on such properties. Non-compliance of this sort could reduce our revenues from a tenant, could require us to pay penalties or fines relating to any non-compliance, and could adversely affect our ability to sell or lease a property.</w:t>
      </w:r>
    </w:p>
    <w:p>
      <w:pPr>
        <w:spacing w:after="0" w:line="198" w:lineRule="exact"/>
        <w:rPr>
          <w:sz w:val="20"/>
          <w:szCs w:val="20"/>
          <w:color w:val="auto"/>
        </w:rPr>
      </w:pPr>
    </w:p>
    <w:p>
      <w:pPr>
        <w:ind w:right="280"/>
        <w:spacing w:after="0" w:line="281" w:lineRule="auto"/>
        <w:rPr>
          <w:sz w:val="20"/>
          <w:szCs w:val="20"/>
          <w:color w:val="auto"/>
        </w:rPr>
      </w:pPr>
      <w:r>
        <w:rPr>
          <w:rFonts w:ascii="Arial" w:cs="Arial" w:eastAsia="Arial" w:hAnsi="Arial"/>
          <w:sz w:val="18"/>
          <w:szCs w:val="18"/>
          <w:b w:val="1"/>
          <w:bCs w:val="1"/>
          <w:color w:val="auto"/>
        </w:rPr>
        <w:t>Failure to qualify as a REIT for federal income tax purposes would cause us to be taxed as a corporation, which would substantially reduce funds available for payment of distributions.</w:t>
      </w:r>
    </w:p>
    <w:p>
      <w:pPr>
        <w:spacing w:after="0" w:line="32" w:lineRule="exact"/>
        <w:rPr>
          <w:sz w:val="20"/>
          <w:szCs w:val="20"/>
          <w:color w:val="auto"/>
        </w:rPr>
      </w:pPr>
    </w:p>
    <w:p>
      <w:pPr>
        <w:ind w:right="340"/>
        <w:spacing w:after="0" w:line="307" w:lineRule="auto"/>
        <w:rPr>
          <w:sz w:val="20"/>
          <w:szCs w:val="20"/>
          <w:color w:val="auto"/>
        </w:rPr>
      </w:pPr>
      <w:r>
        <w:rPr>
          <w:rFonts w:ascii="Arial" w:cs="Arial" w:eastAsia="Arial" w:hAnsi="Arial"/>
          <w:sz w:val="17"/>
          <w:szCs w:val="17"/>
          <w:color w:val="auto"/>
        </w:rPr>
        <w:t>We believe that we are organized and qualified as a REIT for federal income tax purposes and currently intend to operate in a manner that will allow us to continue to qualify as a REIT under the Code. However, we cannot assure you that we will remain qualified as such in the future.</w:t>
      </w:r>
    </w:p>
    <w:p>
      <w:pPr>
        <w:spacing w:after="0" w:line="9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Qualification as a REIT involves the application of highly technical and complex Code provisions and applicable income tax regulations that have been issued under the Code. Certain facts and circumstances not entirely within our control may affect our ability to qualify as a REIT. For example, in order to qualify as a REIT, at least 95% of our gross income in any year must be derived from qualifying rents and certain other income. Satisfying this requirement could be difficult, for example, if defaults by tenants were to reduce the amount of income from qualifying rents. As a REIT, we must generally make annual distributions to shareholders of at least 90% of our taxable income. In addition, new legislation, new regulations, new administrative interpretations or new court decisions may significantly change the tax laws with respect to qualification as a REIT or the federal income tax consequences of such qualification. Any modification in the tax treatment of REITs could have a significant adverse impact to our net income.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If we fail to qualify as a REIT:</w:t>
      </w:r>
    </w:p>
    <w:p>
      <w:pPr>
        <w:spacing w:after="0" w:line="2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would not be allowed a deduction for distributions to shareholders in computing taxable income;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would be subject to federal income tax at regular corporate rates;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subject to the federal alternative minimum tax;</w:t>
      </w:r>
    </w:p>
    <w:p>
      <w:pPr>
        <w:spacing w:after="0" w:line="8"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unless we are entitled to relief under specific statutory provisions, we could not elect to be taxed as a REIT for four taxable years following the year during which we were disqualified;</w:t>
      </w:r>
    </w:p>
    <w:p>
      <w:pPr>
        <w:ind w:left="660" w:right="18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required to pay significant income taxes, which would substantially reduce the funds available for investment or for distribution to our shareholders for each year in which we failed or were not permitted to qualify; and</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would no longer be required by law to make any distributions to our shareholders.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6" w:right="23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required to incur additional debt to qualify as a REIT.</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REIT, we must generally make annual distributions to shareholders of at least 90% of our taxable income. We are subject to income tax on amounts of undistributed taxable income and net capital gain. In addition, we would be subject to a 4% excise tax if we fail to distribute sufficient income to meet a minimum distribution test based on our ordinary income, capital gain and aggregate undistributed income from prior years. We intend to make distributions to shareholders to comply with the Code’s distribution provisions and to avoid federal income and excise tax. We may need to borrow funds to meet our distribution requirements because:</w:t>
      </w:r>
    </w:p>
    <w:p>
      <w:pPr>
        <w:spacing w:after="0" w:line="3" w:lineRule="exact"/>
        <w:rPr>
          <w:sz w:val="20"/>
          <w:szCs w:val="20"/>
          <w:color w:val="auto"/>
        </w:rPr>
      </w:pPr>
    </w:p>
    <w:p>
      <w:pPr>
        <w:ind w:left="660" w:right="1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income may not be matched by our related expenses at the time the income is considered received for purposes of determining taxable income; and</w:t>
      </w: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non-deductible capital expenditures, creation of reserves, or debt service requirements may reduce available cash but not taxable income.</w:t>
      </w:r>
    </w:p>
    <w:p>
      <w:pPr>
        <w:spacing w:after="0" w:line="16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these circumstances, we might have to borrow funds on terms we might otherwise find unfavorable and we may have to borrow funds even if our management believes the market conditions make borrowing financially unattractive. Current tax law also allows us to pay a portion of our distributions in shares instead of cash.</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maintain our status as a REIT, we limit the amount of shares any one shareholder can own.</w:t>
      </w:r>
    </w:p>
    <w:p>
      <w:pPr>
        <w:spacing w:after="0" w:line="9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Code imposes certain limitations on the ownership of the stock of a REIT. For example, not more than 50% in value of our outstanding shares of capital stock may be owned, directly or indirectly, by five or fewer individuals (as defined in the Code) during the last half of any taxable year. To protect our REIT status, our declaration of trust prohibits any one shareholder from owning (actually or constructively) more than 9.8% in value of the outstanding common shares or of any class or series of outstanding preferred shares. The constructive ownership rules are complex. Shares of our capital stock owned, actually or constructively, by a group of related individuals and/or entities may be treated as constructively owned by one of those individuals or entities. As a result, the acquisition of less than 9.8% in value of the outstanding common shares and/or a class or series of preferred shares (or the acquisition of an interest in an entity that owns common shares or preferred shares) by an individual or entity could cause that individual or entity (or another) to own constructively more than 9.8% in value of the outstanding capital stock. If that happened, either the transfer of ownership would be void or the shares would be transferred to a charitable trust and then sold to someone who can own those shares without violating the 9.8% ownership limit.</w:t>
      </w:r>
    </w:p>
    <w:p>
      <w:pPr>
        <w:spacing w:after="0" w:line="1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Board of Trustees may waive these restrictions on a case-by-case basis. In addition, the Board of Trustees and two-thirds of our shareholders eligible to vote at a shareholder meeting may remove these restrictions if they determine it is no longer in our best interests to attempt to qualify, or to continue to qualify, as a REIT. The 9.8% ownership restrictions may delay, defer or prevent a transaction or a change of our control that might involve a premium price for the common shares or otherwise be in the shareholders’ best interest.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federal tax reform legislation now and in the future could affect REITs, both positively and negatively, in ways that are difficult to anticipate.</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Tax Cuts and Jobs Act of 2017 (the “2017 Tax Act”), signed into law on December 22, 2017, represents sweeping tax reform legislation that makes significant changes to corporate and individual tax rates and the calculation of taxes. While we currently do not expect the 2017 Tax Act will have a significant direct impact on us, it may impact us indirectly as our tenants and the jurisdictions in which we do business as well as the overall investment thesis for REITs may be impacted both positively and negatively in ways that are difficult to predict. Additionally, the overall impact of the 2017 Tax Act depends on future interpretations and regulations that may be issued by federal tax authorities, as well as changes in state and local taxation in response to the 2017 Tax Act, and it is possible that such future interpretations, regulations and other changes could adversely impact us.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you we will continue to pay dividends at historical rates.</w:t>
      </w:r>
    </w:p>
    <w:p>
      <w:pPr>
        <w:spacing w:after="0" w:line="94" w:lineRule="exact"/>
        <w:rPr>
          <w:sz w:val="20"/>
          <w:szCs w:val="20"/>
          <w:color w:val="auto"/>
        </w:rPr>
      </w:pPr>
    </w:p>
    <w:p>
      <w:pPr>
        <w:ind w:right="540"/>
        <w:spacing w:after="0" w:line="273" w:lineRule="auto"/>
        <w:rPr>
          <w:sz w:val="20"/>
          <w:szCs w:val="20"/>
          <w:color w:val="auto"/>
        </w:rPr>
      </w:pPr>
      <w:r>
        <w:rPr>
          <w:rFonts w:ascii="Arial" w:cs="Arial" w:eastAsia="Arial" w:hAnsi="Arial"/>
          <w:sz w:val="17"/>
          <w:szCs w:val="17"/>
          <w:color w:val="auto"/>
        </w:rPr>
        <w:t>Our ability to continue to pay dividends on our common shares at historical rates or to increase our common share dividend rate, and our ability to pay preferred share dividends and service our debt securities, will depend on a number of factors, including, among others, the following:</w:t>
      </w:r>
    </w:p>
    <w:p>
      <w:pPr>
        <w:spacing w:after="0" w:line="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financial condition and results of future operations;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performance of lease terms by tenants;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of our loan covenants;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acquire, finance, develop or redevelop and lease additional properties at attractive rates.</w:t>
      </w:r>
    </w:p>
    <w:p>
      <w:pPr>
        <w:spacing w:after="0" w:line="1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we do not maintain or increase the dividend on our common shares, it could have an adverse effect on the market price of our common shares and other securities. Any preferred shares we may offer in the future may have a fixed dividend rate that would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6" w:right="27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not increase with any increases in the dividend rate of our common shares. Conversely, payment of dividends on our common shares may be subject to payment in full of the dividends on any preferred shares and payment of interest on any debt securities we may offer.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tax and anti-takeover provisions of our declaration of trust and bylaws may inhibit a change of our control.</w:t>
      </w:r>
    </w:p>
    <w:p>
      <w:pPr>
        <w:spacing w:after="0" w:line="9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Certain provisions contained in our declaration of trust and bylaws and the Maryland General Corporation Law, as applicable to Maryland REITs, may discourage a third party from making a tender offer or acquisition proposal to us. If this were to happen, it could delay, deter or prevent a change in control or the removal of existing management. These provisions also may delay or prevent the shareholders from receiving a premium for their common shares over then-prevailing market prices. These provisions include:</w:t>
      </w:r>
    </w:p>
    <w:p>
      <w:pPr>
        <w:spacing w:after="0" w:line="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REIT ownership limit described above;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authorization of the issuance of our preferred shares with powers, preferences or rights to be determined by the Board of Trustees;</w:t>
      </w:r>
    </w:p>
    <w:p>
      <w:pPr>
        <w:spacing w:after="0" w:line="8"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special meetings of our shareholders may be called only by the chairman of the board, the chief executive officer, the president, by one-third of the trustees or by shareholders possessing no less than 25% of all the votes entitled to be cast at the meeting;</w:t>
      </w:r>
    </w:p>
    <w:p>
      <w:pPr>
        <w:ind w:left="660" w:right="30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Board of Trustees, without a shareholder vote, can classify or reclassify unissued shares of beneficial interest, including the reclassification of common shares into preferred shares and vice-versa;</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two-thirds shareholder vote is required to approve some amendments to the declaration of trust;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advance-notice requirements for proposals to be presented at shareholder meetings.</w:t>
      </w:r>
    </w:p>
    <w:p>
      <w:pPr>
        <w:spacing w:after="0" w:line="156"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In addition, if we elect to be governed by it in the future, the Maryland Control Share Acquisition Law could delay or prevent a change in control. Under Maryland law, unless a REIT elects not to be subject to this law, “control shares” acquired in a “control share acquisition” have no voting rights except to the extent approved by shareholders by a vote of two-thirds of the votes entitled to be cast on the matter, excluding shares owned by the acquirer and by officers or trustees who are employees of the REIT. “Control shares” are voting shares that would entitle the acquirer to exercise voting power in electing trustees within specified ranges of voting power. A “control share acquisition” means the acquisition of control shares, with some exceptions.</w:t>
      </w:r>
    </w:p>
    <w:p>
      <w:pPr>
        <w:spacing w:after="0" w:line="10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Our bylaws state that the Maryland control share acquisition law will not apply to any acquisition by any person of our common shares. This bylaw provision may be repealed, in whole or in part, at any time, whether before or after an acquisition of control shares, by a vote of a majority of the shareholders entitled to vote, and, upon such repeal, may, to the extent provided by any successor bylaw, apply to any prior or subsequent control share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amend or revise our business policies without your approval.</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Board of Trustees may amend or revise our operating policies without shareholder approval. Our investment, financing and borrowing policies and policies with respect to all other activities, such as growth, debt, capitalization and operations, are determined by the Board of Trustees. The Board of Trustees may amend or revise these policies at any time and from time to time at its discretion. A change in these policies could adversely affect our financial condition and results of operations, and the market price of our securities.</w:t>
      </w:r>
    </w:p>
    <w:p>
      <w:pPr>
        <w:spacing w:after="0" w:line="13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current business plan adopted by our Board of Trustees focuses on our investment in high quality retail based properties that are typically neighborhood and community shopping centers or mixed-use properties, principally through redevelopments and acquisitions. If this business plan is not successful, it could have a material adverse effect on our financial condition and results of operations.</w:t>
      </w:r>
    </w:p>
    <w:p>
      <w:pPr>
        <w:spacing w:after="0" w:line="1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Given these uncertainties, readers are cautioned not to place undue reliance on any forward-looking statements that we make, including those in this Annual Report on Form 10-K. Except as may be required by law, we make no promise to update any of the forward-looking statements as a result of new information, future events or otherwise. You should carefully review the above risks and the risk factors.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disasters and severe weather conditions could have an adverse impact on our cash flow and operating results.</w:t>
      </w:r>
    </w:p>
    <w:p>
      <w:pPr>
        <w:spacing w:after="0" w:line="94"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Changing weather patterns and climatic conditions, such as global warming, may have added to the unpredictability and frequency of natural disasters and severe weather conditions and created additional uncertainty as to future trends and exposures. Our operations are located in areas that are subject to natural disasters and severe weather conditions such as hurricanes, earthquakes, droughts, snow storms, floods and fires. The occurrence of natural disasters or severe weather conditions can delay new development projects, increase investment costs to repair or replace damaged properties, increase operation costs, increase future property insurance costs, and negatively impact the tenant demand for lease space. If insurance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6" w:right="2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is unavailable to us or is unavailable on acceptable terms, or if our insurance is not adequate to cover business interruption or losses from these events, our earnings, liquidity or capital resources could be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relating to cybersecurity attacks that could cause loss of confidential information and other business disruptions.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rely extensively on computer systems to process transactions and manage our business, and our business is at risk from and may be impacted by cybersecurity attacks. These could include attempts to gain unauthorized access to our data and computer systems. Attacks can be both individual and/or highly organized attempts organized by very sophisticated hacking organizations. We employ a number of measures to prevent, detect and mitigate these threats, which include password encryption, frequent password change events, firewall detection systems, anti-virus software in-place, frequent backups, a redundant data system for core applications and annual penetration testing; however, there is no guarantee such efforts will be successful in preventing a cyber attack. A cybersecurity attack could compromise the confidential information of our employees, tenants and vendors. A successful attack could disrupt and otherwise adversely affect our business operations.</w:t>
      </w:r>
    </w:p>
    <w:p>
      <w:pPr>
        <w:spacing w:after="0" w:line="27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of December 31, 2017, we owned or had a majority ownership interest in community and neighborhood shopping centers and mixed-used properties which are operated as 104 predominantly retail real estate projects comprising approximately 24.2 million square feet. These properties are located primarily in densely populated and affluent communities in strategic metropolitan markets in the Northeast and Mid-Atlantic regions of the United States, California, and South Florida. No single property accounted for over 10% of our 2017 total revenue. We believe that our properties are adequately covered by commercial general liability, fire, flood, earthquake, terrorism and business interruption insurance provided by reputable companies, with commercially reasonable exclusions, deductibles and limits.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 Diversification</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2017, we had approximately 3,000 leases, with tenants ranging from sole proprietors to major national and international retailers. No one tenant or affiliated group of tenants accounted for more than 2.9% of our annualized base rent as of December 31, 2017. As a result of our tenant diversification, we believe our exposure to any one bankruptcy filing in the retail sector has not been and will not be significant, however, multiple filings by a number of retailers could have a significant impact.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6" w:right="2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Diversification</w:t>
      </w:r>
    </w:p>
    <w:p>
      <w:pPr>
        <w:spacing w:after="0" w:line="94" w:lineRule="exact"/>
        <w:rPr>
          <w:sz w:val="20"/>
          <w:szCs w:val="20"/>
          <w:color w:val="auto"/>
        </w:rPr>
      </w:pPr>
    </w:p>
    <w:p>
      <w:pPr>
        <w:ind w:right="280"/>
        <w:spacing w:after="0" w:line="341" w:lineRule="auto"/>
        <w:rPr>
          <w:sz w:val="20"/>
          <w:szCs w:val="20"/>
          <w:color w:val="auto"/>
        </w:rPr>
      </w:pPr>
      <w:r>
        <w:rPr>
          <w:rFonts w:ascii="Arial" w:cs="Arial" w:eastAsia="Arial" w:hAnsi="Arial"/>
          <w:sz w:val="16"/>
          <w:szCs w:val="16"/>
          <w:color w:val="auto"/>
        </w:rPr>
        <w:t>Our 104 real estate projects are located in 12 states and the District of Columbia. The following table shows the number of projects, the gross leasable area (“GLA”) of commercial space and the percentage of total portfolio gross leasable area of commercial space in each state as of December 31, 2017.</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restart"/>
          </w:tcPr>
          <w:p>
            <w:pPr>
              <w:jc w:val="center"/>
              <w:ind w:left="348"/>
              <w:spacing w:after="0"/>
              <w:rPr>
                <w:sz w:val="20"/>
                <w:szCs w:val="20"/>
                <w:color w:val="auto"/>
              </w:rPr>
            </w:pPr>
            <w:r>
              <w:rPr>
                <w:rFonts w:ascii="Arial" w:cs="Arial" w:eastAsia="Arial" w:hAnsi="Arial"/>
                <w:sz w:val="14"/>
                <w:szCs w:val="14"/>
                <w:b w:val="1"/>
                <w:bCs w:val="1"/>
                <w:color w:val="auto"/>
                <w:w w:val="94"/>
              </w:rPr>
              <w:t>Number of</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Gross Leasable</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Gross</w:t>
            </w:r>
          </w:p>
        </w:tc>
        <w:tc>
          <w:tcPr>
            <w:tcW w:w="0" w:type="dxa"/>
            <w:vAlign w:val="bottom"/>
          </w:tcPr>
          <w:p>
            <w:pPr>
              <w:spacing w:after="0"/>
              <w:rPr>
                <w:sz w:val="1"/>
                <w:szCs w:val="1"/>
                <w:color w:val="auto"/>
              </w:rPr>
            </w:pPr>
          </w:p>
        </w:tc>
      </w:tr>
      <w:tr>
        <w:trPr>
          <w:trHeight w:val="148"/>
        </w:trPr>
        <w:tc>
          <w:tcPr>
            <w:tcW w:w="6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State</w:t>
            </w:r>
          </w:p>
        </w:tc>
        <w:tc>
          <w:tcPr>
            <w:tcW w:w="11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Leasable</w:t>
            </w:r>
          </w:p>
        </w:tc>
        <w:tc>
          <w:tcPr>
            <w:tcW w:w="0" w:type="dxa"/>
            <w:vAlign w:val="bottom"/>
          </w:tcPr>
          <w:p>
            <w:pPr>
              <w:spacing w:after="0"/>
              <w:rPr>
                <w:sz w:val="1"/>
                <w:szCs w:val="1"/>
                <w:color w:val="auto"/>
              </w:rPr>
            </w:pPr>
          </w:p>
        </w:tc>
      </w:tr>
      <w:tr>
        <w:trPr>
          <w:trHeight w:val="192"/>
        </w:trPr>
        <w:tc>
          <w:tcPr>
            <w:tcW w:w="6360" w:type="dxa"/>
            <w:vAlign w:val="bottom"/>
            <w:gridSpan w:val="2"/>
            <w:vMerge w:val="continue"/>
          </w:tcPr>
          <w:p>
            <w:pPr>
              <w:spacing w:after="0"/>
              <w:rPr>
                <w:sz w:val="16"/>
                <w:szCs w:val="16"/>
                <w:color w:val="auto"/>
              </w:rPr>
            </w:pPr>
          </w:p>
        </w:tc>
        <w:tc>
          <w:tcPr>
            <w:tcW w:w="1160" w:type="dxa"/>
            <w:vAlign w:val="bottom"/>
          </w:tcPr>
          <w:p>
            <w:pPr>
              <w:jc w:val="center"/>
              <w:ind w:left="348"/>
              <w:spacing w:after="0"/>
              <w:rPr>
                <w:sz w:val="20"/>
                <w:szCs w:val="20"/>
                <w:color w:val="auto"/>
              </w:rPr>
            </w:pPr>
            <w:r>
              <w:rPr>
                <w:rFonts w:ascii="Arial" w:cs="Arial" w:eastAsia="Arial" w:hAnsi="Arial"/>
                <w:sz w:val="14"/>
                <w:szCs w:val="14"/>
                <w:b w:val="1"/>
                <w:bCs w:val="1"/>
                <w:color w:val="auto"/>
                <w:w w:val="90"/>
              </w:rPr>
              <w:t>Projects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Area</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6"/>
              </w:rPr>
              <w:t>Area</w:t>
            </w:r>
          </w:p>
        </w:tc>
        <w:tc>
          <w:tcPr>
            <w:tcW w:w="0" w:type="dxa"/>
            <w:vAlign w:val="bottom"/>
          </w:tcPr>
          <w:p>
            <w:pPr>
              <w:spacing w:after="0"/>
              <w:rPr>
                <w:sz w:val="1"/>
                <w:szCs w:val="1"/>
                <w:color w:val="auto"/>
              </w:rPr>
            </w:pPr>
          </w:p>
        </w:tc>
      </w:tr>
      <w:tr>
        <w:trPr>
          <w:trHeight w:val="250"/>
        </w:trPr>
        <w:tc>
          <w:tcPr>
            <w:tcW w:w="6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(In square feet)</w:t>
            </w:r>
          </w:p>
        </w:tc>
        <w:tc>
          <w:tcPr>
            <w:tcW w:w="16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11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5,442,000</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Maryland</w:t>
            </w:r>
          </w:p>
        </w:tc>
        <w:tc>
          <w:tcPr>
            <w:tcW w:w="11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4,562,000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Virginia</w:t>
            </w: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3,738,000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Pennsylvania(1)</w:t>
            </w:r>
          </w:p>
        </w:tc>
        <w:tc>
          <w:tcPr>
            <w:tcW w:w="11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2,316,000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Massachusetts</w:t>
            </w: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2,101,000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New Jersey</w:t>
            </w:r>
          </w:p>
        </w:tc>
        <w:tc>
          <w:tcPr>
            <w:tcW w:w="11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1,722,000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1,339,000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New York</w:t>
            </w:r>
          </w:p>
        </w:tc>
        <w:tc>
          <w:tcPr>
            <w:tcW w:w="11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1,248,000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Illinois</w:t>
            </w: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797,000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Connecticut</w:t>
            </w:r>
          </w:p>
        </w:tc>
        <w:tc>
          <w:tcPr>
            <w:tcW w:w="11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397,000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Michigan</w:t>
            </w: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District of Columbia</w:t>
            </w:r>
          </w:p>
        </w:tc>
        <w:tc>
          <w:tcPr>
            <w:tcW w:w="11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168,000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 Carolina</w:t>
            </w:r>
          </w:p>
        </w:tc>
        <w:tc>
          <w:tcPr>
            <w:tcW w:w="11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159,000</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6"/>
        </w:trPr>
        <w:tc>
          <w:tcPr>
            <w:tcW w:w="63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1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104</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24,206,000</w:t>
            </w:r>
          </w:p>
        </w:tc>
        <w:tc>
          <w:tcPr>
            <w:tcW w:w="120" w:type="dxa"/>
            <w:vAlign w:val="bottom"/>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0" w:firstLine="324"/>
        <w:spacing w:after="0" w:line="391" w:lineRule="auto"/>
        <w:rPr>
          <w:sz w:val="20"/>
          <w:szCs w:val="20"/>
          <w:color w:val="auto"/>
        </w:rPr>
      </w:pPr>
      <w:r>
        <w:rPr>
          <w:rFonts w:ascii="Arial" w:cs="Arial" w:eastAsia="Arial" w:hAnsi="Arial"/>
          <w:sz w:val="18"/>
          <w:szCs w:val="18"/>
          <w:color w:val="auto"/>
        </w:rPr>
        <w:t xml:space="preserve">(1) Additionally, we own two participating mortgages totaling approximately $30.4 million secured by multiple buildings in Manayunk, Pennsylvania. </w:t>
      </w:r>
      <w:r>
        <w:rPr>
          <w:rFonts w:ascii="Arial" w:cs="Arial" w:eastAsia="Arial" w:hAnsi="Arial"/>
          <w:sz w:val="18"/>
          <w:szCs w:val="18"/>
          <w:b w:val="1"/>
          <w:bCs w:val="1"/>
          <w:color w:val="auto"/>
        </w:rPr>
        <w:t>Leases, Lease Terms and Lease Expirations</w:t>
      </w:r>
    </w:p>
    <w:p>
      <w:pPr>
        <w:ind w:right="100"/>
        <w:spacing w:after="0" w:line="337" w:lineRule="auto"/>
        <w:rPr>
          <w:sz w:val="20"/>
          <w:szCs w:val="20"/>
          <w:color w:val="auto"/>
        </w:rPr>
      </w:pPr>
      <w:r>
        <w:rPr>
          <w:rFonts w:ascii="Arial" w:cs="Arial" w:eastAsia="Arial" w:hAnsi="Arial"/>
          <w:sz w:val="15"/>
          <w:szCs w:val="15"/>
          <w:color w:val="auto"/>
        </w:rPr>
        <w:t>Our leases are classified as operating leases and typically are structured to require the monthly payment of minimum rents in advance, subject to periodic increases during the term of the lease, percentage rents based on the level of sales achieved by tenants, and reimbursement of a majority of on-site operating expenses and real estate taxes. These features in our leases generally reduce our exposure to higher costs and allow us to participate in improved tenant sales.</w:t>
      </w:r>
    </w:p>
    <w:p>
      <w:pPr>
        <w:spacing w:after="0" w:line="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Commercial property leases generally range from three to ten years; however, certain leases, primarily with anchor tenants, may be longer. Many of our leases contain tenant options that enable the tenant to extend the term of the lease at expiration at pre-established rental rates that often include fixed rent increases, consumer price index adjustments or other market rate adjustments from the prior base rent. Leases on residential units are generally for a period of one year or less and, in 2017, represented approximately 6.9% of total rental income.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6" w:right="2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table sets forth the schedule of lease expirations for our commercial leases in place as of December 31, 2017 for each of the 10 years beginning with 2018 and after 2027 in the aggregate assuming that none of the tenants exercise future renewal options. Annualized base rents reflect in-place contractual rents as of December 31, 2017.</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Leased</w:t>
            </w: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Percentage of</w:t>
            </w:r>
          </w:p>
        </w:tc>
        <w:tc>
          <w:tcPr>
            <w:tcW w:w="22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Annualized</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Square</w:t>
            </w:r>
          </w:p>
        </w:tc>
        <w:tc>
          <w:tcPr>
            <w:tcW w:w="1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Leased Square</w:t>
            </w:r>
          </w:p>
        </w:tc>
        <w:tc>
          <w:tcPr>
            <w:tcW w:w="22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Base Rent</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Annualized Base Rent</w:t>
            </w:r>
          </w:p>
        </w:tc>
        <w:tc>
          <w:tcPr>
            <w:tcW w:w="0" w:type="dxa"/>
            <w:vAlign w:val="bottom"/>
          </w:tcPr>
          <w:p>
            <w:pPr>
              <w:spacing w:after="0"/>
              <w:rPr>
                <w:sz w:val="1"/>
                <w:szCs w:val="1"/>
                <w:color w:val="auto"/>
              </w:rPr>
            </w:pPr>
          </w:p>
        </w:tc>
      </w:tr>
      <w:tr>
        <w:trPr>
          <w:trHeight w:val="148"/>
        </w:trPr>
        <w:tc>
          <w:tcPr>
            <w:tcW w:w="4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 of Lease Expiration</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Footage</w:t>
            </w:r>
          </w:p>
        </w:tc>
        <w:tc>
          <w:tcPr>
            <w:tcW w:w="1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Footage</w:t>
            </w: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Represented by</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Represented by Expiring</w:t>
            </w:r>
          </w:p>
        </w:tc>
        <w:tc>
          <w:tcPr>
            <w:tcW w:w="0" w:type="dxa"/>
            <w:vAlign w:val="bottom"/>
          </w:tcPr>
          <w:p>
            <w:pPr>
              <w:spacing w:after="0"/>
              <w:rPr>
                <w:sz w:val="1"/>
                <w:szCs w:val="1"/>
                <w:color w:val="auto"/>
              </w:rPr>
            </w:pPr>
          </w:p>
        </w:tc>
      </w:tr>
      <w:tr>
        <w:trPr>
          <w:trHeight w:val="192"/>
        </w:trPr>
        <w:tc>
          <w:tcPr>
            <w:tcW w:w="4600" w:type="dxa"/>
            <w:vAlign w:val="bottom"/>
            <w:gridSpan w:val="2"/>
            <w:vMerge w:val="continue"/>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Expiring</w:t>
            </w: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Expiring</w:t>
            </w: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Expiring Leases</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249"/>
        </w:trPr>
        <w:tc>
          <w:tcPr>
            <w:tcW w:w="45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1,849,000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47,382,000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3,042,000</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73,854,000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2,339,000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62,409,000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2,601,000</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76,900,000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3,045,000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77,417,000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1,958,000</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54,840,000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1,523,000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40,296,000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1,346,000</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39,245,000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921,000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30,520,000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1,183,000</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44,532,000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2,861,000</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62,388,000</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6"/>
        </w:trPr>
        <w:tc>
          <w:tcPr>
            <w:tcW w:w="460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22,668,000</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609,783,000</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During 2017, we signed leases for a total of 1,793,000 square feet of retail space including 1,622,000 square feet of comparable space leases (leases for which there was a prior tenant) at an average rental increase of 13% on a cash basis and 26% on a straight-line basis. New leases for comparable spaces were signed for 773,000 square feet at an average rental increase of 19% on a cash basis and 32% on a straight-line basis. Renewals for comparable spaces were signed for 848,000 square feet at an average rental increase of 9% on a cash basis and 21% on a straight-line basis. Tenant improvements and incentives for comparable spaces were $36.00 per square foot, of which, $62.11 per square foot was for new leases and $12.18 per square foot was for renewals in 2017.</w:t>
      </w:r>
    </w:p>
    <w:p>
      <w:pPr>
        <w:spacing w:after="0" w:line="26"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During 2016, we signed leases for a total of 1,688,000 square feet of retail space including 1,473,000 square feet of comparable space leases (leases for which there was a prior tenant) at an average rental increase of 13% on a cash basis and 26% on a straight-line basis. New leases for comparable spaces were signed for 543,000 square feet at an average rental increase of 24% on a cash basis and 40% on a straight-line basis. Renewals for comparable spaces were signed for 930,000 square feet at an average rental increase of 7% on a cash basis and 17% on a straight-line basis. Tenant improvements and incentives for comparable spaces were $31.00 per square foot, of which, $66.47 per square foot was for new leases and $10.28 was for renewal leases in 2016.</w:t>
      </w:r>
    </w:p>
    <w:p>
      <w:pPr>
        <w:spacing w:after="0" w:line="10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rental increases associated with comparable spaces generally include all leases signed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w:t>
      </w:r>
    </w:p>
    <w:p>
      <w:pPr>
        <w:spacing w:after="0" w:line="13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leases signed in 2017 generally become effective over the following two years though some may not become effective until 2020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Historically, we have executed comparable space leases for 1.2 to 1.6 million square feet of retail space each year and expect the volume for 2018 will be in line with our historical averages with overall positive increases in rental income. However, 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6" w:right="2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and Residential Properties</w:t>
      </w:r>
    </w:p>
    <w:p>
      <w:pPr>
        <w:spacing w:after="0" w:line="94"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following table sets forth information concerning all real estate projects in which we owned an equity interest, had a leasehold interest, or otherwise controlled and are consolidated as of December 31, 2017. Except as otherwise noted, we are the sole owner of our retail real estate projects. Principal tenants are the largest tenants in the project based on square feet leased or are tenants important to a project’s success due to their ability to attract retail customers.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Year</w:t>
            </w:r>
          </w:p>
        </w:tc>
        <w:tc>
          <w:tcPr>
            <w:tcW w:w="320" w:type="dxa"/>
            <w:vAlign w:val="bottom"/>
          </w:tcPr>
          <w:p>
            <w:pPr>
              <w:spacing w:after="0"/>
              <w:rPr>
                <w:sz w:val="14"/>
                <w:szCs w:val="14"/>
                <w:color w:val="auto"/>
              </w:rPr>
            </w:pPr>
          </w:p>
        </w:tc>
        <w:tc>
          <w:tcPr>
            <w:tcW w:w="7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Year</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Square Feet(1)</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Average Rent</w:t>
            </w:r>
          </w:p>
        </w:tc>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60" w:type="dxa"/>
            <w:vAlign w:val="bottom"/>
            <w:gridSpan w:val="8"/>
            <w:vMerge w:val="restart"/>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Per Square</w:t>
            </w:r>
          </w:p>
        </w:tc>
        <w:tc>
          <w:tcPr>
            <w:tcW w:w="11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92"/>
        </w:trPr>
        <w:tc>
          <w:tcPr>
            <w:tcW w:w="2760" w:type="dxa"/>
            <w:vAlign w:val="bottom"/>
            <w:gridSpan w:val="8"/>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Completed</w:t>
            </w: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Acquired</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/Apartment Units</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Foot(2)</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Leased(3)</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92"/>
                <w:shd w:val="clear" w:color="auto" w:fill="CCEEFF"/>
              </w:rPr>
              <w:t>California</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2760" w:type="dxa"/>
            <w:vAlign w:val="bottom"/>
            <w:tcBorders>
              <w:top w:val="single" w:sz="8" w:color="CCEEFF"/>
            </w:tcBorders>
            <w:gridSpan w:val="8"/>
          </w:tcPr>
          <w:p>
            <w:pPr>
              <w:ind w:left="40"/>
              <w:spacing w:after="0" w:line="157" w:lineRule="exact"/>
              <w:rPr>
                <w:sz w:val="20"/>
                <w:szCs w:val="20"/>
                <w:color w:val="auto"/>
              </w:rPr>
            </w:pPr>
            <w:r>
              <w:rPr>
                <w:rFonts w:ascii="Arial" w:cs="Arial" w:eastAsia="Arial" w:hAnsi="Arial"/>
                <w:sz w:val="14"/>
                <w:szCs w:val="14"/>
                <w:color w:val="auto"/>
              </w:rPr>
              <w:t>Azalea</w:t>
            </w:r>
          </w:p>
        </w:tc>
        <w:tc>
          <w:tcPr>
            <w:tcW w:w="1040" w:type="dxa"/>
            <w:vAlign w:val="bottom"/>
            <w:tcBorders>
              <w:top w:val="single" w:sz="8" w:color="CCEEFF"/>
            </w:tcBorders>
            <w:gridSpan w:val="2"/>
          </w:tcPr>
          <w:p>
            <w:pPr>
              <w:jc w:val="center"/>
              <w:spacing w:after="0" w:line="157" w:lineRule="exact"/>
              <w:rPr>
                <w:sz w:val="20"/>
                <w:szCs w:val="20"/>
                <w:color w:val="auto"/>
              </w:rPr>
            </w:pPr>
            <w:r>
              <w:rPr>
                <w:rFonts w:ascii="Arial" w:cs="Arial" w:eastAsia="Arial" w:hAnsi="Arial"/>
                <w:sz w:val="14"/>
                <w:szCs w:val="14"/>
                <w:color w:val="auto"/>
                <w:w w:val="89"/>
              </w:rPr>
              <w:t>2014</w:t>
            </w:r>
          </w:p>
        </w:tc>
        <w:tc>
          <w:tcPr>
            <w:tcW w:w="120" w:type="dxa"/>
            <w:vAlign w:val="bottom"/>
            <w:tcBorders>
              <w:top w:val="single" w:sz="8" w:color="CCEEFF"/>
            </w:tcBorders>
          </w:tcPr>
          <w:p>
            <w:pPr>
              <w:spacing w:after="0"/>
              <w:rPr>
                <w:sz w:val="13"/>
                <w:szCs w:val="13"/>
                <w:color w:val="auto"/>
              </w:rPr>
            </w:pPr>
          </w:p>
        </w:tc>
        <w:tc>
          <w:tcPr>
            <w:tcW w:w="920" w:type="dxa"/>
            <w:vAlign w:val="bottom"/>
            <w:tcBorders>
              <w:top w:val="single" w:sz="8" w:color="CCEEFF"/>
            </w:tcBorders>
            <w:gridSpan w:val="2"/>
          </w:tcPr>
          <w:p>
            <w:pPr>
              <w:jc w:val="center"/>
              <w:spacing w:after="0" w:line="157" w:lineRule="exact"/>
              <w:rPr>
                <w:sz w:val="20"/>
                <w:szCs w:val="20"/>
                <w:color w:val="auto"/>
              </w:rPr>
            </w:pPr>
            <w:r>
              <w:rPr>
                <w:rFonts w:ascii="Arial" w:cs="Arial" w:eastAsia="Arial" w:hAnsi="Arial"/>
                <w:sz w:val="14"/>
                <w:szCs w:val="14"/>
                <w:color w:val="auto"/>
                <w:w w:val="89"/>
              </w:rPr>
              <w:t>2017</w:t>
            </w:r>
          </w:p>
        </w:tc>
        <w:tc>
          <w:tcPr>
            <w:tcW w:w="120" w:type="dxa"/>
            <w:vAlign w:val="bottom"/>
            <w:tcBorders>
              <w:top w:val="single" w:sz="8" w:color="CCEEFF"/>
            </w:tcBorders>
          </w:tcPr>
          <w:p>
            <w:pPr>
              <w:spacing w:after="0"/>
              <w:rPr>
                <w:sz w:val="13"/>
                <w:szCs w:val="13"/>
                <w:color w:val="auto"/>
              </w:rPr>
            </w:pPr>
          </w:p>
        </w:tc>
        <w:tc>
          <w:tcPr>
            <w:tcW w:w="1360" w:type="dxa"/>
            <w:vAlign w:val="bottom"/>
            <w:tcBorders>
              <w:top w:val="single" w:sz="8" w:color="CCEEFF"/>
            </w:tcBorders>
          </w:tcPr>
          <w:p>
            <w:pPr>
              <w:jc w:val="center"/>
              <w:spacing w:after="0" w:line="157" w:lineRule="exact"/>
              <w:rPr>
                <w:sz w:val="20"/>
                <w:szCs w:val="20"/>
                <w:color w:val="auto"/>
              </w:rPr>
            </w:pPr>
            <w:r>
              <w:rPr>
                <w:rFonts w:ascii="Arial" w:cs="Arial" w:eastAsia="Arial" w:hAnsi="Arial"/>
                <w:sz w:val="14"/>
                <w:szCs w:val="14"/>
                <w:color w:val="auto"/>
                <w:w w:val="94"/>
              </w:rPr>
              <w:t>222,000</w:t>
            </w:r>
          </w:p>
        </w:tc>
        <w:tc>
          <w:tcPr>
            <w:tcW w:w="10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jc w:val="center"/>
              <w:spacing w:after="0" w:line="157" w:lineRule="exact"/>
              <w:rPr>
                <w:sz w:val="20"/>
                <w:szCs w:val="20"/>
                <w:color w:val="auto"/>
              </w:rPr>
            </w:pPr>
            <w:r>
              <w:rPr>
                <w:rFonts w:ascii="Arial" w:cs="Arial" w:eastAsia="Arial" w:hAnsi="Arial"/>
                <w:sz w:val="14"/>
                <w:szCs w:val="14"/>
                <w:color w:val="auto"/>
                <w:w w:val="93"/>
              </w:rPr>
              <w:t>$27.43</w:t>
            </w:r>
          </w:p>
        </w:tc>
        <w:tc>
          <w:tcPr>
            <w:tcW w:w="100" w:type="dxa"/>
            <w:vAlign w:val="bottom"/>
            <w:tcBorders>
              <w:top w:val="single" w:sz="8" w:color="CCEEFF"/>
            </w:tcBorders>
          </w:tcPr>
          <w:p>
            <w:pPr>
              <w:spacing w:after="0"/>
              <w:rPr>
                <w:sz w:val="13"/>
                <w:szCs w:val="13"/>
                <w:color w:val="auto"/>
              </w:rPr>
            </w:pPr>
          </w:p>
        </w:tc>
        <w:tc>
          <w:tcPr>
            <w:tcW w:w="1040" w:type="dxa"/>
            <w:vAlign w:val="bottom"/>
            <w:tcBorders>
              <w:top w:val="single" w:sz="8" w:color="CCEEFF"/>
            </w:tcBorders>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Borders>
              <w:top w:val="single" w:sz="8" w:color="CCEEFF"/>
            </w:tcBorders>
          </w:tcPr>
          <w:p>
            <w:pPr>
              <w:spacing w:after="0"/>
              <w:rPr>
                <w:sz w:val="13"/>
                <w:szCs w:val="13"/>
                <w:color w:val="auto"/>
              </w:rPr>
            </w:pPr>
          </w:p>
        </w:tc>
        <w:tc>
          <w:tcPr>
            <w:tcW w:w="2620" w:type="dxa"/>
            <w:vAlign w:val="bottom"/>
            <w:tcBorders>
              <w:top w:val="single" w:sz="8" w:color="CCEEFF"/>
            </w:tcBorders>
            <w:gridSpan w:val="8"/>
          </w:tcPr>
          <w:p>
            <w:pPr>
              <w:ind w:left="40"/>
              <w:spacing w:after="0" w:line="157"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8"/>
        </w:trPr>
        <w:tc>
          <w:tcPr>
            <w:tcW w:w="2760" w:type="dxa"/>
            <w:vAlign w:val="bottom"/>
            <w:gridSpan w:val="8"/>
          </w:tcPr>
          <w:p>
            <w:pPr>
              <w:ind w:left="40"/>
              <w:spacing w:after="0" w:line="149" w:lineRule="exact"/>
              <w:rPr>
                <w:sz w:val="20"/>
                <w:szCs w:val="20"/>
                <w:color w:val="auto"/>
              </w:rPr>
            </w:pPr>
            <w:r>
              <w:rPr>
                <w:rFonts w:ascii="Arial" w:cs="Arial" w:eastAsia="Arial" w:hAnsi="Arial"/>
                <w:sz w:val="14"/>
                <w:szCs w:val="14"/>
                <w:color w:val="auto"/>
              </w:rPr>
              <w:t>South Gate, CA 90280(5)(8)</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8"/>
          </w:tcPr>
          <w:p>
            <w:pPr>
              <w:ind w:left="40"/>
              <w:spacing w:after="0" w:line="149"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8"/>
          </w:tcPr>
          <w:p>
            <w:pPr>
              <w:ind w:left="40"/>
              <w:spacing w:after="0" w:line="149" w:lineRule="exact"/>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8"/>
          </w:tcPr>
          <w:p>
            <w:pPr>
              <w:ind w:left="4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76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91"/>
                <w:shd w:val="clear" w:color="auto" w:fill="CCEEFF"/>
              </w:rPr>
              <w:t>Bell Gardens</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1"/>
                <w:shd w:val="clear" w:color="auto" w:fill="CCEEFF"/>
              </w:rPr>
              <w:t>1990, 2003,</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center"/>
              <w:ind w:right="248"/>
              <w:spacing w:after="0"/>
              <w:rPr>
                <w:sz w:val="20"/>
                <w:szCs w:val="20"/>
                <w:color w:val="auto"/>
              </w:rPr>
            </w:pPr>
            <w:r>
              <w:rPr>
                <w:rFonts w:ascii="Arial" w:cs="Arial" w:eastAsia="Arial" w:hAnsi="Arial"/>
                <w:sz w:val="14"/>
                <w:szCs w:val="14"/>
                <w:color w:val="auto"/>
                <w:w w:val="89"/>
                <w:shd w:val="clear" w:color="auto" w:fill="CCEEFF"/>
              </w:rPr>
              <w:t>2017</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330,000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$20.37</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4"/>
                <w:szCs w:val="14"/>
                <w:color w:val="auto"/>
              </w:rPr>
            </w:pPr>
          </w:p>
        </w:tc>
        <w:tc>
          <w:tcPr>
            <w:tcW w:w="7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w w:val="92"/>
                <w:shd w:val="clear" w:color="auto" w:fill="CCEEFF"/>
              </w:rPr>
              <w:t>Food4Less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7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87"/>
                <w:shd w:val="clear" w:color="auto" w:fill="CCEEFF"/>
              </w:rPr>
              <w:t>Bell Gardens,</w:t>
            </w:r>
          </w:p>
        </w:tc>
        <w:tc>
          <w:tcPr>
            <w:tcW w:w="1840" w:type="dxa"/>
            <w:vAlign w:val="bottom"/>
            <w:gridSpan w:val="3"/>
            <w:shd w:val="clear" w:color="auto" w:fill="CCEEFF"/>
          </w:tcPr>
          <w:p>
            <w:pPr>
              <w:jc w:val="right"/>
              <w:ind w:right="608"/>
              <w:spacing w:after="0" w:line="149" w:lineRule="exact"/>
              <w:rPr>
                <w:sz w:val="20"/>
                <w:szCs w:val="20"/>
                <w:color w:val="auto"/>
              </w:rPr>
            </w:pPr>
            <w:r>
              <w:rPr>
                <w:rFonts w:ascii="Arial" w:cs="Arial" w:eastAsia="Arial" w:hAnsi="Arial"/>
                <w:sz w:val="14"/>
                <w:szCs w:val="14"/>
                <w:color w:val="auto"/>
                <w:shd w:val="clear" w:color="auto" w:fill="CCEEFF"/>
              </w:rPr>
              <w:t>CA 90201(4)(5)(8)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center"/>
              <w:ind w:right="108"/>
              <w:spacing w:after="0" w:line="149" w:lineRule="exact"/>
              <w:rPr>
                <w:sz w:val="20"/>
                <w:szCs w:val="20"/>
                <w:color w:val="auto"/>
              </w:rPr>
            </w:pPr>
            <w:r>
              <w:rPr>
                <w:rFonts w:ascii="Arial" w:cs="Arial" w:eastAsia="Arial" w:hAnsi="Arial"/>
                <w:sz w:val="14"/>
                <w:szCs w:val="14"/>
                <w:color w:val="auto"/>
                <w:w w:val="89"/>
                <w:shd w:val="clear" w:color="auto" w:fill="CCEEFF"/>
              </w:rPr>
              <w:t>2006</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w w:val="90"/>
                <w:shd w:val="clear" w:color="auto" w:fill="CCEEFF"/>
              </w:rPr>
              <w:t>Marshalls</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w w:val="74"/>
                <w:shd w:val="clear" w:color="auto" w:fill="CCEEFF"/>
              </w:rPr>
              <w:t>Ross Dress</w:t>
            </w:r>
          </w:p>
        </w:tc>
        <w:tc>
          <w:tcPr>
            <w:tcW w:w="100" w:type="dxa"/>
            <w:vAlign w:val="bottom"/>
            <w:shd w:val="clear" w:color="auto" w:fill="CCEEFF"/>
          </w:tcPr>
          <w:p>
            <w:pPr>
              <w:spacing w:after="0"/>
              <w:rPr>
                <w:sz w:val="12"/>
                <w:szCs w:val="12"/>
                <w:color w:val="auto"/>
              </w:rPr>
            </w:pPr>
          </w:p>
        </w:tc>
        <w:tc>
          <w:tcPr>
            <w:tcW w:w="19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for Less</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83"/>
                <w:shd w:val="clear" w:color="auto" w:fill="CCEEFF"/>
              </w:rPr>
              <w:t>Petco</w:t>
            </w: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Colorado Blvd</w:t>
            </w:r>
          </w:p>
        </w:tc>
        <w:tc>
          <w:tcPr>
            <w:tcW w:w="10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5"/>
              </w:rPr>
              <w:t>1905-1988</w:t>
            </w:r>
          </w:p>
        </w:tc>
        <w:tc>
          <w:tcPr>
            <w:tcW w:w="120" w:type="dxa"/>
            <w:vAlign w:val="bottom"/>
          </w:tcPr>
          <w:p>
            <w:pPr>
              <w:spacing w:after="0"/>
              <w:rPr>
                <w:sz w:val="13"/>
                <w:szCs w:val="13"/>
                <w:color w:val="auto"/>
              </w:rPr>
            </w:pPr>
          </w:p>
        </w:tc>
        <w:tc>
          <w:tcPr>
            <w:tcW w:w="9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0"/>
              </w:rPr>
              <w:t>1996/1998</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3"/>
              </w:rPr>
              <w:t>69,000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$45.04</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3"/>
                <w:szCs w:val="13"/>
                <w:color w:val="auto"/>
              </w:rPr>
            </w:pPr>
          </w:p>
        </w:tc>
        <w:tc>
          <w:tcPr>
            <w:tcW w:w="262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Pottery Barn</w:t>
            </w:r>
          </w:p>
        </w:tc>
        <w:tc>
          <w:tcPr>
            <w:tcW w:w="0" w:type="dxa"/>
            <w:vAlign w:val="bottom"/>
          </w:tcPr>
          <w:p>
            <w:pPr>
              <w:spacing w:after="0"/>
              <w:rPr>
                <w:sz w:val="1"/>
                <w:szCs w:val="1"/>
                <w:color w:val="auto"/>
              </w:rPr>
            </w:pPr>
          </w:p>
        </w:tc>
      </w:tr>
      <w:tr>
        <w:trPr>
          <w:trHeight w:val="188"/>
        </w:trPr>
        <w:tc>
          <w:tcPr>
            <w:tcW w:w="2760" w:type="dxa"/>
            <w:vAlign w:val="bottom"/>
            <w:gridSpan w:val="8"/>
          </w:tcPr>
          <w:p>
            <w:pPr>
              <w:ind w:left="40"/>
              <w:spacing w:after="0"/>
              <w:rPr>
                <w:sz w:val="20"/>
                <w:szCs w:val="20"/>
                <w:color w:val="auto"/>
              </w:rPr>
            </w:pPr>
            <w:r>
              <w:rPr>
                <w:rFonts w:ascii="Arial" w:cs="Arial" w:eastAsia="Arial" w:hAnsi="Arial"/>
                <w:sz w:val="14"/>
                <w:szCs w:val="14"/>
                <w:color w:val="auto"/>
              </w:rPr>
              <w:t>Pasadena, CA 91103(4)</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8"/>
          </w:tcPr>
          <w:p>
            <w:pPr>
              <w:ind w:left="40"/>
              <w:spacing w:after="0"/>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600" w:type="dxa"/>
            <w:vAlign w:val="bottom"/>
            <w:gridSpan w:val="6"/>
            <w:shd w:val="clear" w:color="auto" w:fill="CCEEFF"/>
          </w:tcPr>
          <w:p>
            <w:pPr>
              <w:spacing w:after="0"/>
              <w:rPr>
                <w:sz w:val="20"/>
                <w:szCs w:val="20"/>
                <w:color w:val="auto"/>
              </w:rPr>
            </w:pPr>
            <w:r>
              <w:rPr>
                <w:rFonts w:ascii="Arial" w:cs="Arial" w:eastAsia="Arial" w:hAnsi="Arial"/>
                <w:sz w:val="14"/>
                <w:szCs w:val="14"/>
                <w:color w:val="auto"/>
                <w:shd w:val="clear" w:color="auto" w:fill="CCEEFF"/>
              </w:rPr>
              <w:t>Crow Canyon Commons</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1"/>
                <w:shd w:val="clear" w:color="auto" w:fill="CCEEFF"/>
              </w:rPr>
              <w:t>1980, 1998,</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shd w:val="clear" w:color="auto" w:fill="CCEEFF"/>
              </w:rPr>
              <w:t>2005/2007</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241,000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$28.16</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94%</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5"/>
                <w:shd w:val="clear" w:color="auto" w:fill="CCEEFF"/>
              </w:rPr>
              <w:t>Sprouts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260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San Ramon, CA 94583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center"/>
              <w:ind w:right="108"/>
              <w:spacing w:after="0" w:line="149" w:lineRule="exact"/>
              <w:rPr>
                <w:sz w:val="20"/>
                <w:szCs w:val="20"/>
                <w:color w:val="auto"/>
              </w:rPr>
            </w:pPr>
            <w:r>
              <w:rPr>
                <w:rFonts w:ascii="Arial" w:cs="Arial" w:eastAsia="Arial" w:hAnsi="Arial"/>
                <w:sz w:val="14"/>
                <w:szCs w:val="14"/>
                <w:color w:val="auto"/>
                <w:w w:val="89"/>
                <w:shd w:val="clear" w:color="auto" w:fill="CCEEFF"/>
              </w:rPr>
              <w:t>2006</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0"/>
                <w:shd w:val="clear" w:color="auto" w:fill="CCEEFF"/>
              </w:rPr>
              <w:t>Orchard</w:t>
            </w:r>
          </w:p>
        </w:tc>
        <w:tc>
          <w:tcPr>
            <w:tcW w:w="2100" w:type="dxa"/>
            <w:vAlign w:val="bottom"/>
            <w:gridSpan w:val="6"/>
            <w:shd w:val="clear" w:color="auto" w:fill="CCEEFF"/>
          </w:tcPr>
          <w:p>
            <w:pPr>
              <w:jc w:val="right"/>
              <w:ind w:right="1008"/>
              <w:spacing w:after="0" w:line="149" w:lineRule="exact"/>
              <w:rPr>
                <w:sz w:val="20"/>
                <w:szCs w:val="20"/>
                <w:color w:val="auto"/>
              </w:rPr>
            </w:pPr>
            <w:r>
              <w:rPr>
                <w:rFonts w:ascii="Arial" w:cs="Arial" w:eastAsia="Arial" w:hAnsi="Arial"/>
                <w:sz w:val="14"/>
                <w:szCs w:val="14"/>
                <w:color w:val="auto"/>
                <w:w w:val="93"/>
                <w:shd w:val="clear" w:color="auto" w:fill="CCEEFF"/>
              </w:rPr>
              <w:t>Supply Hardware</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3"/>
                <w:shd w:val="clear" w:color="auto" w:fill="CCEEFF"/>
              </w:rPr>
              <w:t>Rite Aid</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20" w:type="dxa"/>
            <w:vAlign w:val="bottom"/>
            <w:tcBorders>
              <w:bottom w:val="single" w:sz="8" w:color="CCEEFF"/>
            </w:tcBorders>
            <w:gridSpan w:val="8"/>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Total Wine &amp; More</w:t>
            </w:r>
          </w:p>
        </w:tc>
        <w:tc>
          <w:tcPr>
            <w:tcW w:w="0" w:type="dxa"/>
            <w:vAlign w:val="bottom"/>
          </w:tcPr>
          <w:p>
            <w:pPr>
              <w:spacing w:after="0"/>
              <w:rPr>
                <w:sz w:val="1"/>
                <w:szCs w:val="1"/>
                <w:color w:val="auto"/>
              </w:rPr>
            </w:pPr>
          </w:p>
        </w:tc>
      </w:tr>
      <w:tr>
        <w:trPr>
          <w:trHeight w:val="157"/>
        </w:trPr>
        <w:tc>
          <w:tcPr>
            <w:tcW w:w="276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East Bay Bridge</w:t>
            </w:r>
          </w:p>
        </w:tc>
        <w:tc>
          <w:tcPr>
            <w:tcW w:w="10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1994-2001,</w:t>
            </w:r>
          </w:p>
        </w:tc>
        <w:tc>
          <w:tcPr>
            <w:tcW w:w="120" w:type="dxa"/>
            <w:vAlign w:val="bottom"/>
          </w:tcPr>
          <w:p>
            <w:pPr>
              <w:spacing w:after="0"/>
              <w:rPr>
                <w:sz w:val="13"/>
                <w:szCs w:val="13"/>
                <w:color w:val="auto"/>
              </w:rPr>
            </w:pPr>
          </w:p>
        </w:tc>
        <w:tc>
          <w:tcPr>
            <w:tcW w:w="9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89"/>
              </w:rPr>
              <w:t>2012</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439,000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$18.42</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3"/>
                <w:szCs w:val="13"/>
                <w:color w:val="auto"/>
              </w:rPr>
            </w:pPr>
          </w:p>
        </w:tc>
        <w:tc>
          <w:tcPr>
            <w:tcW w:w="262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Pak-N-Save</w:t>
            </w:r>
          </w:p>
        </w:tc>
        <w:tc>
          <w:tcPr>
            <w:tcW w:w="0" w:type="dxa"/>
            <w:vAlign w:val="bottom"/>
          </w:tcPr>
          <w:p>
            <w:pPr>
              <w:spacing w:after="0"/>
              <w:rPr>
                <w:sz w:val="1"/>
                <w:szCs w:val="1"/>
                <w:color w:val="auto"/>
              </w:rPr>
            </w:pPr>
          </w:p>
        </w:tc>
      </w:tr>
      <w:tr>
        <w:trPr>
          <w:trHeight w:val="148"/>
        </w:trPr>
        <w:tc>
          <w:tcPr>
            <w:tcW w:w="2760" w:type="dxa"/>
            <w:vAlign w:val="bottom"/>
            <w:gridSpan w:val="8"/>
          </w:tcPr>
          <w:p>
            <w:pPr>
              <w:ind w:left="40"/>
              <w:spacing w:after="0" w:line="149" w:lineRule="exact"/>
              <w:rPr>
                <w:sz w:val="20"/>
                <w:szCs w:val="20"/>
                <w:color w:val="auto"/>
              </w:rPr>
            </w:pPr>
            <w:r>
              <w:rPr>
                <w:rFonts w:ascii="Arial" w:cs="Arial" w:eastAsia="Arial" w:hAnsi="Arial"/>
                <w:sz w:val="14"/>
                <w:szCs w:val="14"/>
                <w:color w:val="auto"/>
              </w:rPr>
              <w:t>Emeryville &amp; Oakland, CA 94608</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2011, 2012</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8"/>
          </w:tcPr>
          <w:p>
            <w:pPr>
              <w:ind w:left="40"/>
              <w:spacing w:after="0" w:line="149"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8"/>
          </w:tcPr>
          <w:p>
            <w:pPr>
              <w:ind w:left="40"/>
              <w:spacing w:after="0" w:line="149" w:lineRule="exact"/>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8"/>
          </w:tcPr>
          <w:p>
            <w:pPr>
              <w:ind w:left="40"/>
              <w:spacing w:after="0"/>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600" w:type="dxa"/>
            <w:vAlign w:val="bottom"/>
            <w:gridSpan w:val="6"/>
            <w:shd w:val="clear" w:color="auto" w:fill="CCEEFF"/>
          </w:tcPr>
          <w:p>
            <w:pPr>
              <w:spacing w:after="0"/>
              <w:rPr>
                <w:sz w:val="20"/>
                <w:szCs w:val="20"/>
                <w:color w:val="auto"/>
              </w:rPr>
            </w:pPr>
            <w:r>
              <w:rPr>
                <w:rFonts w:ascii="Arial" w:cs="Arial" w:eastAsia="Arial" w:hAnsi="Arial"/>
                <w:sz w:val="14"/>
                <w:szCs w:val="14"/>
                <w:color w:val="auto"/>
                <w:shd w:val="clear" w:color="auto" w:fill="CCEEFF"/>
              </w:rPr>
              <w:t>Escondido Promenade</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9"/>
              </w:rPr>
              <w:t>1987</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shd w:val="clear" w:color="auto" w:fill="CCEEFF"/>
              </w:rPr>
              <w:t>1996/2010</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299,000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$25.29</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99%</w:t>
            </w:r>
          </w:p>
        </w:tc>
        <w:tc>
          <w:tcPr>
            <w:tcW w:w="100" w:type="dxa"/>
            <w:vAlign w:val="bottom"/>
            <w:shd w:val="clear" w:color="auto" w:fill="CCEEFF"/>
          </w:tcPr>
          <w:p>
            <w:pPr>
              <w:spacing w:after="0"/>
              <w:rPr>
                <w:sz w:val="14"/>
                <w:szCs w:val="14"/>
                <w:color w:val="auto"/>
              </w:rPr>
            </w:pPr>
          </w:p>
        </w:tc>
        <w:tc>
          <w:tcPr>
            <w:tcW w:w="5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w w:val="90"/>
                <w:shd w:val="clear" w:color="auto" w:fill="CCEEFF"/>
              </w:rPr>
              <w:t>TJ Maxx</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260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Escondido, CA 92029(5)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Dick's</w:t>
            </w:r>
          </w:p>
        </w:tc>
        <w:tc>
          <w:tcPr>
            <w:tcW w:w="2080" w:type="dxa"/>
            <w:vAlign w:val="bottom"/>
            <w:gridSpan w:val="5"/>
            <w:shd w:val="clear" w:color="auto" w:fill="CCEEFF"/>
          </w:tcPr>
          <w:p>
            <w:pPr>
              <w:jc w:val="right"/>
              <w:ind w:right="1208"/>
              <w:spacing w:after="0" w:line="149" w:lineRule="exact"/>
              <w:rPr>
                <w:sz w:val="20"/>
                <w:szCs w:val="20"/>
                <w:color w:val="auto"/>
              </w:rPr>
            </w:pPr>
            <w:r>
              <w:rPr>
                <w:rFonts w:ascii="Arial" w:cs="Arial" w:eastAsia="Arial" w:hAnsi="Arial"/>
                <w:sz w:val="14"/>
                <w:szCs w:val="14"/>
                <w:color w:val="auto"/>
                <w:w w:val="80"/>
                <w:shd w:val="clear" w:color="auto" w:fill="CCEEFF"/>
              </w:rPr>
              <w:t>Sporting Goods</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20" w:type="dxa"/>
            <w:vAlign w:val="bottom"/>
            <w:tcBorders>
              <w:bottom w:val="single" w:sz="8" w:color="CCEEFF"/>
            </w:tcBorders>
            <w:gridSpan w:val="8"/>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Ross Dress For Less Toys R Us</w:t>
            </w:r>
          </w:p>
        </w:tc>
        <w:tc>
          <w:tcPr>
            <w:tcW w:w="0" w:type="dxa"/>
            <w:vAlign w:val="bottom"/>
          </w:tcPr>
          <w:p>
            <w:pPr>
              <w:spacing w:after="0"/>
              <w:rPr>
                <w:sz w:val="1"/>
                <w:szCs w:val="1"/>
                <w:color w:val="auto"/>
              </w:rPr>
            </w:pPr>
          </w:p>
        </w:tc>
      </w:tr>
      <w:tr>
        <w:trPr>
          <w:trHeight w:val="157"/>
        </w:trPr>
        <w:tc>
          <w:tcPr>
            <w:tcW w:w="276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Fourth Street</w:t>
            </w:r>
          </w:p>
        </w:tc>
        <w:tc>
          <w:tcPr>
            <w:tcW w:w="10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1"/>
              </w:rPr>
              <w:t>1948, 1975</w:t>
            </w:r>
          </w:p>
        </w:tc>
        <w:tc>
          <w:tcPr>
            <w:tcW w:w="120" w:type="dxa"/>
            <w:vAlign w:val="bottom"/>
          </w:tcPr>
          <w:p>
            <w:pPr>
              <w:spacing w:after="0"/>
              <w:rPr>
                <w:sz w:val="13"/>
                <w:szCs w:val="13"/>
                <w:color w:val="auto"/>
              </w:rPr>
            </w:pPr>
          </w:p>
        </w:tc>
        <w:tc>
          <w:tcPr>
            <w:tcW w:w="9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3"/>
              </w:rPr>
              <w:t>71,000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$28.14</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55%</w:t>
            </w:r>
          </w:p>
        </w:tc>
        <w:tc>
          <w:tcPr>
            <w:tcW w:w="100" w:type="dxa"/>
            <w:vAlign w:val="bottom"/>
          </w:tcPr>
          <w:p>
            <w:pPr>
              <w:spacing w:after="0"/>
              <w:rPr>
                <w:sz w:val="13"/>
                <w:szCs w:val="13"/>
                <w:color w:val="auto"/>
              </w:rPr>
            </w:pPr>
          </w:p>
        </w:tc>
        <w:tc>
          <w:tcPr>
            <w:tcW w:w="262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CB2</w:t>
            </w:r>
          </w:p>
        </w:tc>
        <w:tc>
          <w:tcPr>
            <w:tcW w:w="0" w:type="dxa"/>
            <w:vAlign w:val="bottom"/>
          </w:tcPr>
          <w:p>
            <w:pPr>
              <w:spacing w:after="0"/>
              <w:rPr>
                <w:sz w:val="1"/>
                <w:szCs w:val="1"/>
                <w:color w:val="auto"/>
              </w:rPr>
            </w:pPr>
          </w:p>
        </w:tc>
      </w:tr>
      <w:tr>
        <w:trPr>
          <w:trHeight w:val="188"/>
        </w:trPr>
        <w:tc>
          <w:tcPr>
            <w:tcW w:w="2760" w:type="dxa"/>
            <w:vAlign w:val="bottom"/>
            <w:gridSpan w:val="8"/>
          </w:tcPr>
          <w:p>
            <w:pPr>
              <w:ind w:left="40"/>
              <w:spacing w:after="0"/>
              <w:rPr>
                <w:sz w:val="20"/>
                <w:szCs w:val="20"/>
                <w:color w:val="auto"/>
              </w:rPr>
            </w:pPr>
            <w:r>
              <w:rPr>
                <w:rFonts w:ascii="Arial" w:cs="Arial" w:eastAsia="Arial" w:hAnsi="Arial"/>
                <w:sz w:val="14"/>
                <w:szCs w:val="14"/>
                <w:color w:val="auto"/>
              </w:rPr>
              <w:t>Berkeley, CA 94710(5)</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8"/>
          </w:tcPr>
          <w:p>
            <w:pPr>
              <w:ind w:left="40"/>
              <w:spacing w:after="0"/>
              <w:rPr>
                <w:sz w:val="20"/>
                <w:szCs w:val="20"/>
                <w:color w:val="auto"/>
              </w:rPr>
            </w:pPr>
            <w:r>
              <w:rPr>
                <w:rFonts w:ascii="Arial" w:cs="Arial" w:eastAsia="Arial" w:hAnsi="Arial"/>
                <w:sz w:val="14"/>
                <w:szCs w:val="14"/>
                <w:color w:val="auto"/>
              </w:rPr>
              <w:t>Ingram Book Group</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600" w:type="dxa"/>
            <w:vAlign w:val="bottom"/>
            <w:gridSpan w:val="6"/>
            <w:shd w:val="clear" w:color="auto" w:fill="CCEEFF"/>
          </w:tcPr>
          <w:p>
            <w:pPr>
              <w:spacing w:after="0"/>
              <w:rPr>
                <w:sz w:val="20"/>
                <w:szCs w:val="20"/>
                <w:color w:val="auto"/>
              </w:rPr>
            </w:pPr>
            <w:r>
              <w:rPr>
                <w:rFonts w:ascii="Arial" w:cs="Arial" w:eastAsia="Arial" w:hAnsi="Arial"/>
                <w:sz w:val="14"/>
                <w:szCs w:val="14"/>
                <w:color w:val="auto"/>
                <w:shd w:val="clear" w:color="auto" w:fill="CCEEFF"/>
              </w:rPr>
              <w:t>Hastings Ranch Plaza</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1"/>
              </w:rPr>
              <w:t>1958, 1984,</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273,000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$7.21</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00" w:type="dxa"/>
            <w:vAlign w:val="bottom"/>
            <w:shd w:val="clear" w:color="auto" w:fill="CCEEFF"/>
          </w:tcPr>
          <w:p>
            <w:pPr>
              <w:spacing w:after="0"/>
              <w:rPr>
                <w:sz w:val="14"/>
                <w:szCs w:val="14"/>
                <w:color w:val="auto"/>
              </w:rPr>
            </w:pPr>
          </w:p>
        </w:tc>
        <w:tc>
          <w:tcPr>
            <w:tcW w:w="6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w w:val="90"/>
                <w:shd w:val="clear" w:color="auto" w:fill="CCEEFF"/>
              </w:rPr>
              <w:t>Marshalls</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260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Pasadena, CA 91107(4)</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2006, 2007</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3"/>
                <w:szCs w:val="13"/>
                <w:color w:val="auto"/>
                <w:w w:val="73"/>
                <w:shd w:val="clear" w:color="auto" w:fill="CCEEFF"/>
              </w:rPr>
              <w:t>HomeGoods</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CVS</w:t>
            </w:r>
          </w:p>
        </w:tc>
        <w:tc>
          <w:tcPr>
            <w:tcW w:w="160" w:type="dxa"/>
            <w:vAlign w:val="bottom"/>
            <w:shd w:val="clear" w:color="auto" w:fill="CCEEFF"/>
          </w:tcPr>
          <w:p>
            <w:pPr>
              <w:spacing w:after="0"/>
              <w:rPr>
                <w:sz w:val="12"/>
                <w:szCs w:val="12"/>
                <w:color w:val="auto"/>
              </w:rPr>
            </w:pPr>
          </w:p>
        </w:tc>
        <w:tc>
          <w:tcPr>
            <w:tcW w:w="80" w:type="dxa"/>
            <w:vAlign w:val="bottom"/>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81"/>
                <w:shd w:val="clear" w:color="auto" w:fill="CCEEFF"/>
              </w:rPr>
              <w:t>Sears</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gridSpan w:val="2"/>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Hermosa Avenue</w:t>
            </w:r>
          </w:p>
        </w:tc>
        <w:tc>
          <w:tcPr>
            <w:tcW w:w="10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89"/>
              </w:rPr>
              <w:t>1922</w:t>
            </w:r>
          </w:p>
        </w:tc>
        <w:tc>
          <w:tcPr>
            <w:tcW w:w="120" w:type="dxa"/>
            <w:vAlign w:val="bottom"/>
          </w:tcPr>
          <w:p>
            <w:pPr>
              <w:spacing w:after="0"/>
              <w:rPr>
                <w:sz w:val="13"/>
                <w:szCs w:val="13"/>
                <w:color w:val="auto"/>
              </w:rPr>
            </w:pPr>
          </w:p>
        </w:tc>
        <w:tc>
          <w:tcPr>
            <w:tcW w:w="9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89"/>
              </w:rPr>
              <w:t>1997</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3"/>
              </w:rPr>
              <w:t>23,000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$49.18</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81%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60" w:type="dxa"/>
            <w:vAlign w:val="bottom"/>
            <w:gridSpan w:val="8"/>
          </w:tcPr>
          <w:p>
            <w:pPr>
              <w:ind w:left="40"/>
              <w:spacing w:after="0"/>
              <w:rPr>
                <w:sz w:val="20"/>
                <w:szCs w:val="20"/>
                <w:color w:val="auto"/>
              </w:rPr>
            </w:pPr>
            <w:r>
              <w:rPr>
                <w:rFonts w:ascii="Arial" w:cs="Arial" w:eastAsia="Arial" w:hAnsi="Arial"/>
                <w:sz w:val="14"/>
                <w:szCs w:val="14"/>
                <w:color w:val="auto"/>
              </w:rPr>
              <w:t>Hermosa Beach, CA 90254</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960" w:type="dxa"/>
            <w:vAlign w:val="bottom"/>
            <w:gridSpan w:val="4"/>
            <w:shd w:val="clear" w:color="auto" w:fill="CCEEFF"/>
          </w:tcPr>
          <w:p>
            <w:pPr>
              <w:spacing w:after="0"/>
              <w:rPr>
                <w:sz w:val="20"/>
                <w:szCs w:val="20"/>
                <w:color w:val="auto"/>
              </w:rPr>
            </w:pPr>
            <w:r>
              <w:rPr>
                <w:rFonts w:ascii="Arial" w:cs="Arial" w:eastAsia="Arial" w:hAnsi="Arial"/>
                <w:sz w:val="14"/>
                <w:szCs w:val="14"/>
                <w:color w:val="auto"/>
                <w:w w:val="98"/>
                <w:shd w:val="clear" w:color="auto" w:fill="CCEEFF"/>
              </w:rPr>
              <w:t>Hollywood Blvd</w:t>
            </w: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1"/>
              </w:rPr>
              <w:t>1929, 1991</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9"/>
              </w:rPr>
              <w:t>1999</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180,000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$30.01</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91%</w:t>
            </w:r>
          </w:p>
        </w:tc>
        <w:tc>
          <w:tcPr>
            <w:tcW w:w="100" w:type="dxa"/>
            <w:vAlign w:val="bottom"/>
            <w:shd w:val="clear" w:color="auto" w:fill="CCEEFF"/>
          </w:tcPr>
          <w:p>
            <w:pPr>
              <w:spacing w:after="0"/>
              <w:rPr>
                <w:sz w:val="14"/>
                <w:szCs w:val="14"/>
                <w:color w:val="auto"/>
              </w:rPr>
            </w:pPr>
          </w:p>
        </w:tc>
        <w:tc>
          <w:tcPr>
            <w:tcW w:w="6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w w:val="90"/>
                <w:shd w:val="clear" w:color="auto" w:fill="CCEEFF"/>
              </w:rPr>
              <w:t>Marshalls</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96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Hollywood, CA</w:t>
            </w:r>
          </w:p>
        </w:tc>
        <w:tc>
          <w:tcPr>
            <w:tcW w:w="1640" w:type="dxa"/>
            <w:vAlign w:val="bottom"/>
            <w:gridSpan w:val="2"/>
            <w:shd w:val="clear" w:color="auto" w:fill="CCEEFF"/>
          </w:tcPr>
          <w:p>
            <w:pPr>
              <w:jc w:val="right"/>
              <w:ind w:right="1228"/>
              <w:spacing w:after="0" w:line="149" w:lineRule="exact"/>
              <w:rPr>
                <w:sz w:val="20"/>
                <w:szCs w:val="20"/>
                <w:color w:val="auto"/>
              </w:rPr>
            </w:pPr>
            <w:r>
              <w:rPr>
                <w:rFonts w:ascii="Arial" w:cs="Arial" w:eastAsia="Arial" w:hAnsi="Arial"/>
                <w:sz w:val="14"/>
                <w:szCs w:val="14"/>
                <w:color w:val="auto"/>
                <w:w w:val="82"/>
                <w:shd w:val="clear" w:color="auto" w:fill="CCEEFF"/>
              </w:rPr>
              <w:t>90028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1"/>
                <w:shd w:val="clear" w:color="auto" w:fill="CCEEFF"/>
              </w:rPr>
              <w:t>DSW</w:t>
            </w:r>
          </w:p>
        </w:tc>
        <w:tc>
          <w:tcPr>
            <w:tcW w:w="160" w:type="dxa"/>
            <w:vAlign w:val="bottom"/>
            <w:shd w:val="clear" w:color="auto" w:fill="CCEEFF"/>
          </w:tcPr>
          <w:p>
            <w:pPr>
              <w:spacing w:after="0"/>
              <w:rPr>
                <w:sz w:val="12"/>
                <w:szCs w:val="12"/>
                <w:color w:val="auto"/>
              </w:rPr>
            </w:pPr>
          </w:p>
        </w:tc>
        <w:tc>
          <w:tcPr>
            <w:tcW w:w="80" w:type="dxa"/>
            <w:vAlign w:val="bottom"/>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L.A.</w:t>
            </w:r>
          </w:p>
        </w:tc>
        <w:tc>
          <w:tcPr>
            <w:tcW w:w="44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w w:val="92"/>
                <w:shd w:val="clear" w:color="auto" w:fill="CCEEFF"/>
              </w:rPr>
              <w:t>Fitness</w:t>
            </w:r>
          </w:p>
        </w:tc>
        <w:tc>
          <w:tcPr>
            <w:tcW w:w="1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4"/>
                <w:szCs w:val="14"/>
                <w:color w:val="auto"/>
                <w:w w:val="91"/>
                <w:shd w:val="clear" w:color="auto" w:fill="CCEEFF"/>
              </w:rPr>
              <w:t>La La Land</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Kings Court</w:t>
            </w:r>
          </w:p>
        </w:tc>
        <w:tc>
          <w:tcPr>
            <w:tcW w:w="10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89"/>
              </w:rPr>
              <w:t>1960</w:t>
            </w:r>
          </w:p>
        </w:tc>
        <w:tc>
          <w:tcPr>
            <w:tcW w:w="120" w:type="dxa"/>
            <w:vAlign w:val="bottom"/>
          </w:tcPr>
          <w:p>
            <w:pPr>
              <w:spacing w:after="0"/>
              <w:rPr>
                <w:sz w:val="13"/>
                <w:szCs w:val="13"/>
                <w:color w:val="auto"/>
              </w:rPr>
            </w:pPr>
          </w:p>
        </w:tc>
        <w:tc>
          <w:tcPr>
            <w:tcW w:w="9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89"/>
              </w:rPr>
              <w:t>1998</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3"/>
              </w:rPr>
              <w:t>80,000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$32.55</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3"/>
                <w:szCs w:val="13"/>
                <w:color w:val="auto"/>
              </w:rPr>
            </w:pPr>
          </w:p>
        </w:tc>
        <w:tc>
          <w:tcPr>
            <w:tcW w:w="262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Lunardi's Supermarket</w:t>
            </w:r>
          </w:p>
        </w:tc>
        <w:tc>
          <w:tcPr>
            <w:tcW w:w="0" w:type="dxa"/>
            <w:vAlign w:val="bottom"/>
          </w:tcPr>
          <w:p>
            <w:pPr>
              <w:spacing w:after="0"/>
              <w:rPr>
                <w:sz w:val="1"/>
                <w:szCs w:val="1"/>
                <w:color w:val="auto"/>
              </w:rPr>
            </w:pPr>
          </w:p>
        </w:tc>
      </w:tr>
      <w:tr>
        <w:trPr>
          <w:trHeight w:val="188"/>
        </w:trPr>
        <w:tc>
          <w:tcPr>
            <w:tcW w:w="2760" w:type="dxa"/>
            <w:vAlign w:val="bottom"/>
            <w:gridSpan w:val="8"/>
          </w:tcPr>
          <w:p>
            <w:pPr>
              <w:ind w:left="40"/>
              <w:spacing w:after="0"/>
              <w:rPr>
                <w:sz w:val="20"/>
                <w:szCs w:val="20"/>
                <w:color w:val="auto"/>
              </w:rPr>
            </w:pPr>
            <w:r>
              <w:rPr>
                <w:rFonts w:ascii="Arial" w:cs="Arial" w:eastAsia="Arial" w:hAnsi="Arial"/>
                <w:sz w:val="14"/>
                <w:szCs w:val="14"/>
                <w:color w:val="auto"/>
              </w:rPr>
              <w:t>Los Gatos, CA 95032(4)(6)</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8"/>
          </w:tcPr>
          <w:p>
            <w:pPr>
              <w:ind w:left="4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0"/>
                <w:shd w:val="clear" w:color="auto" w:fill="CCEEFF"/>
              </w:rPr>
              <w:t>La Alameda</w:t>
            </w:r>
          </w:p>
        </w:tc>
        <w:tc>
          <w:tcPr>
            <w:tcW w:w="440" w:type="dxa"/>
            <w:vAlign w:val="bottom"/>
            <w:gridSpan w:val="3"/>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9"/>
              </w:rPr>
              <w:t>2008</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245,000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$24.96</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94%</w:t>
            </w:r>
          </w:p>
        </w:tc>
        <w:tc>
          <w:tcPr>
            <w:tcW w:w="100" w:type="dxa"/>
            <w:vAlign w:val="bottom"/>
            <w:shd w:val="clear" w:color="auto" w:fill="CCEEFF"/>
          </w:tcPr>
          <w:p>
            <w:pPr>
              <w:spacing w:after="0"/>
              <w:rPr>
                <w:sz w:val="14"/>
                <w:szCs w:val="14"/>
                <w:color w:val="auto"/>
              </w:rPr>
            </w:pPr>
          </w:p>
        </w:tc>
        <w:tc>
          <w:tcPr>
            <w:tcW w:w="6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w w:val="90"/>
                <w:shd w:val="clear" w:color="auto" w:fill="CCEEFF"/>
              </w:rPr>
              <w:t>Marshalls</w:t>
            </w:r>
          </w:p>
        </w:tc>
        <w:tc>
          <w:tcPr>
            <w:tcW w:w="120" w:type="dxa"/>
            <w:vAlign w:val="bottom"/>
            <w:gridSpan w:val="2"/>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84"/>
                <w:shd w:val="clear" w:color="auto" w:fill="CCEEFF"/>
              </w:rPr>
              <w:t>Walnut Park,</w:t>
            </w:r>
          </w:p>
        </w:tc>
        <w:tc>
          <w:tcPr>
            <w:tcW w:w="1900" w:type="dxa"/>
            <w:vAlign w:val="bottom"/>
            <w:gridSpan w:val="4"/>
            <w:shd w:val="clear" w:color="auto" w:fill="CCEEFF"/>
          </w:tcPr>
          <w:p>
            <w:pPr>
              <w:jc w:val="right"/>
              <w:ind w:right="668"/>
              <w:spacing w:after="0"/>
              <w:rPr>
                <w:sz w:val="20"/>
                <w:szCs w:val="20"/>
                <w:color w:val="auto"/>
              </w:rPr>
            </w:pPr>
            <w:r>
              <w:rPr>
                <w:rFonts w:ascii="Arial" w:cs="Arial" w:eastAsia="Arial" w:hAnsi="Arial"/>
                <w:sz w:val="14"/>
                <w:szCs w:val="14"/>
                <w:color w:val="auto"/>
                <w:shd w:val="clear" w:color="auto" w:fill="CCEEFF"/>
              </w:rPr>
              <w:t>CA 90255(4)(7)(8)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w w:val="74"/>
                <w:shd w:val="clear" w:color="auto" w:fill="CCEEFF"/>
              </w:rPr>
              <w:t>Ross Dress</w:t>
            </w:r>
          </w:p>
        </w:tc>
        <w:tc>
          <w:tcPr>
            <w:tcW w:w="2020" w:type="dxa"/>
            <w:vAlign w:val="bottom"/>
            <w:gridSpan w:val="4"/>
            <w:shd w:val="clear" w:color="auto" w:fill="CCEEFF"/>
          </w:tcPr>
          <w:p>
            <w:pPr>
              <w:ind w:left="100"/>
              <w:spacing w:after="0"/>
              <w:rPr>
                <w:sz w:val="20"/>
                <w:szCs w:val="20"/>
                <w:color w:val="auto"/>
              </w:rPr>
            </w:pPr>
            <w:r>
              <w:rPr>
                <w:rFonts w:ascii="Arial" w:cs="Arial" w:eastAsia="Arial" w:hAnsi="Arial"/>
                <w:sz w:val="14"/>
                <w:szCs w:val="14"/>
                <w:color w:val="auto"/>
                <w:shd w:val="clear" w:color="auto" w:fill="CCEEFF"/>
              </w:rPr>
              <w:t>For Less</w:t>
            </w:r>
          </w:p>
        </w:tc>
        <w:tc>
          <w:tcPr>
            <w:tcW w:w="0" w:type="dxa"/>
            <w:vAlign w:val="bottom"/>
          </w:tcPr>
          <w:p>
            <w:pPr>
              <w:spacing w:after="0"/>
              <w:rPr>
                <w:sz w:val="1"/>
                <w:szCs w:val="1"/>
                <w:color w:val="auto"/>
              </w:rPr>
            </w:pPr>
          </w:p>
        </w:tc>
      </w:tr>
      <w:tr>
        <w:trPr>
          <w:trHeight w:val="130"/>
        </w:trPr>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shd w:val="clear" w:color="auto" w:fill="CCEEFF"/>
              </w:rPr>
              <w:t>CVS</w:t>
            </w:r>
          </w:p>
        </w:tc>
        <w:tc>
          <w:tcPr>
            <w:tcW w:w="160" w:type="dxa"/>
            <w:vAlign w:val="bottom"/>
            <w:shd w:val="clear" w:color="auto" w:fill="CCEEFF"/>
          </w:tcPr>
          <w:p>
            <w:pPr>
              <w:spacing w:after="0"/>
              <w:rPr>
                <w:sz w:val="11"/>
                <w:szCs w:val="11"/>
                <w:color w:val="auto"/>
              </w:rPr>
            </w:pPr>
          </w:p>
        </w:tc>
        <w:tc>
          <w:tcPr>
            <w:tcW w:w="80" w:type="dxa"/>
            <w:vAlign w:val="bottom"/>
            <w:gridSpan w:val="2"/>
            <w:shd w:val="clear" w:color="auto" w:fill="CCEEFF"/>
          </w:tcPr>
          <w:p>
            <w:pPr>
              <w:spacing w:after="0"/>
              <w:rPr>
                <w:sz w:val="11"/>
                <w:szCs w:val="11"/>
                <w:color w:val="auto"/>
              </w:rPr>
            </w:pPr>
          </w:p>
        </w:tc>
        <w:tc>
          <w:tcPr>
            <w:tcW w:w="120" w:type="dxa"/>
            <w:vAlign w:val="bottom"/>
            <w:gridSpan w:val="2"/>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83"/>
                <w:shd w:val="clear" w:color="auto" w:fill="CCEEFF"/>
              </w:rPr>
              <w:t>Petco</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gridSpan w:val="2"/>
            <w:shd w:val="clear" w:color="auto" w:fill="CCEEFF"/>
          </w:tcPr>
          <w:p>
            <w:pPr>
              <w:spacing w:after="0"/>
              <w:rPr>
                <w:sz w:val="15"/>
                <w:szCs w:val="15"/>
                <w:color w:val="auto"/>
              </w:rPr>
            </w:pPr>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Old Town Center</w:t>
            </w:r>
          </w:p>
        </w:tc>
        <w:tc>
          <w:tcPr>
            <w:tcW w:w="10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1"/>
              </w:rPr>
              <w:t>1962, 1998</w:t>
            </w:r>
          </w:p>
        </w:tc>
        <w:tc>
          <w:tcPr>
            <w:tcW w:w="120" w:type="dxa"/>
            <w:vAlign w:val="bottom"/>
          </w:tcPr>
          <w:p>
            <w:pPr>
              <w:spacing w:after="0"/>
              <w:rPr>
                <w:sz w:val="13"/>
                <w:szCs w:val="13"/>
                <w:color w:val="auto"/>
              </w:rPr>
            </w:pPr>
          </w:p>
        </w:tc>
        <w:tc>
          <w:tcPr>
            <w:tcW w:w="9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89"/>
              </w:rPr>
              <w:t>1997</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3"/>
              </w:rPr>
              <w:t>98,000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$41.40</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99%</w:t>
            </w:r>
          </w:p>
        </w:tc>
        <w:tc>
          <w:tcPr>
            <w:tcW w:w="100" w:type="dxa"/>
            <w:vAlign w:val="bottom"/>
          </w:tcPr>
          <w:p>
            <w:pPr>
              <w:spacing w:after="0"/>
              <w:rPr>
                <w:sz w:val="13"/>
                <w:szCs w:val="13"/>
                <w:color w:val="auto"/>
              </w:rPr>
            </w:pPr>
          </w:p>
        </w:tc>
        <w:tc>
          <w:tcPr>
            <w:tcW w:w="262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Anthropologie</w:t>
            </w:r>
          </w:p>
        </w:tc>
        <w:tc>
          <w:tcPr>
            <w:tcW w:w="0" w:type="dxa"/>
            <w:vAlign w:val="bottom"/>
          </w:tcPr>
          <w:p>
            <w:pPr>
              <w:spacing w:after="0"/>
              <w:rPr>
                <w:sz w:val="1"/>
                <w:szCs w:val="1"/>
                <w:color w:val="auto"/>
              </w:rPr>
            </w:pPr>
          </w:p>
        </w:tc>
      </w:tr>
      <w:tr>
        <w:trPr>
          <w:trHeight w:val="148"/>
        </w:trPr>
        <w:tc>
          <w:tcPr>
            <w:tcW w:w="2760" w:type="dxa"/>
            <w:vAlign w:val="bottom"/>
            <w:gridSpan w:val="8"/>
          </w:tcPr>
          <w:p>
            <w:pPr>
              <w:ind w:left="40"/>
              <w:spacing w:after="0" w:line="149" w:lineRule="exact"/>
              <w:rPr>
                <w:sz w:val="20"/>
                <w:szCs w:val="20"/>
                <w:color w:val="auto"/>
              </w:rPr>
            </w:pPr>
            <w:r>
              <w:rPr>
                <w:rFonts w:ascii="Arial" w:cs="Arial" w:eastAsia="Arial" w:hAnsi="Arial"/>
                <w:sz w:val="14"/>
                <w:szCs w:val="14"/>
                <w:color w:val="auto"/>
              </w:rPr>
              <w:t>Los Gatos, CA 95030</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8"/>
          </w:tcPr>
          <w:p>
            <w:pPr>
              <w:ind w:left="40"/>
              <w:spacing w:after="0" w:line="149" w:lineRule="exact"/>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8"/>
          </w:tcPr>
          <w:p>
            <w:pPr>
              <w:ind w:left="40"/>
              <w:spacing w:after="0"/>
              <w:rPr>
                <w:sz w:val="20"/>
                <w:szCs w:val="20"/>
                <w:color w:val="auto"/>
              </w:rPr>
            </w:pPr>
            <w:r>
              <w:rPr>
                <w:rFonts w:ascii="Arial" w:cs="Arial" w:eastAsia="Arial" w:hAnsi="Arial"/>
                <w:sz w:val="14"/>
                <w:szCs w:val="14"/>
                <w:color w:val="auto"/>
              </w:rPr>
              <w:t>GAP</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600" w:type="dxa"/>
            <w:vAlign w:val="bottom"/>
            <w:gridSpan w:val="6"/>
            <w:shd w:val="clear" w:color="auto" w:fill="CCEEFF"/>
          </w:tcPr>
          <w:p>
            <w:pPr>
              <w:spacing w:after="0"/>
              <w:rPr>
                <w:sz w:val="20"/>
                <w:szCs w:val="20"/>
                <w:color w:val="auto"/>
              </w:rPr>
            </w:pPr>
            <w:r>
              <w:rPr>
                <w:rFonts w:ascii="Arial" w:cs="Arial" w:eastAsia="Arial" w:hAnsi="Arial"/>
                <w:sz w:val="14"/>
                <w:szCs w:val="14"/>
                <w:color w:val="auto"/>
                <w:shd w:val="clear" w:color="auto" w:fill="CCEEFF"/>
              </w:rPr>
              <w:t>Olivo at Mission Hills</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105,000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$30.05</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Target</w:t>
            </w:r>
          </w:p>
        </w:tc>
        <w:tc>
          <w:tcPr>
            <w:tcW w:w="80" w:type="dxa"/>
            <w:vAlign w:val="bottom"/>
            <w:gridSpan w:val="2"/>
            <w:shd w:val="clear" w:color="auto" w:fill="CCEEFF"/>
          </w:tcPr>
          <w:p>
            <w:pPr>
              <w:spacing w:after="0"/>
              <w:rPr>
                <w:sz w:val="14"/>
                <w:szCs w:val="14"/>
                <w:color w:val="auto"/>
              </w:rPr>
            </w:pPr>
          </w:p>
        </w:tc>
        <w:tc>
          <w:tcPr>
            <w:tcW w:w="120" w:type="dxa"/>
            <w:vAlign w:val="bottom"/>
            <w:gridSpan w:val="2"/>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260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Mission Hills, CA 91345(5)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gridSpan w:val="8"/>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24 Hour Fitness</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4"/>
                <w:szCs w:val="14"/>
                <w:color w:val="auto"/>
                <w:w w:val="90"/>
                <w:shd w:val="clear" w:color="auto" w:fill="CCEEFF"/>
              </w:rPr>
              <w:t>Fallas Stores</w:t>
            </w:r>
          </w:p>
        </w:tc>
        <w:tc>
          <w:tcPr>
            <w:tcW w:w="1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Plaza Del Sol</w:t>
            </w:r>
          </w:p>
        </w:tc>
        <w:tc>
          <w:tcPr>
            <w:tcW w:w="10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89"/>
              </w:rPr>
              <w:t>2009</w:t>
            </w:r>
          </w:p>
        </w:tc>
        <w:tc>
          <w:tcPr>
            <w:tcW w:w="120" w:type="dxa"/>
            <w:vAlign w:val="bottom"/>
          </w:tcPr>
          <w:p>
            <w:pPr>
              <w:spacing w:after="0"/>
              <w:rPr>
                <w:sz w:val="13"/>
                <w:szCs w:val="13"/>
                <w:color w:val="auto"/>
              </w:rPr>
            </w:pPr>
          </w:p>
        </w:tc>
        <w:tc>
          <w:tcPr>
            <w:tcW w:w="9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3"/>
              </w:rPr>
              <w:t>48,000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$23.01</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3"/>
                <w:szCs w:val="13"/>
                <w:color w:val="auto"/>
              </w:rPr>
            </w:pPr>
          </w:p>
        </w:tc>
        <w:tc>
          <w:tcPr>
            <w:tcW w:w="262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88"/>
        </w:trPr>
        <w:tc>
          <w:tcPr>
            <w:tcW w:w="2760" w:type="dxa"/>
            <w:vAlign w:val="bottom"/>
            <w:gridSpan w:val="8"/>
          </w:tcPr>
          <w:p>
            <w:pPr>
              <w:ind w:left="40"/>
              <w:spacing w:after="0"/>
              <w:rPr>
                <w:sz w:val="20"/>
                <w:szCs w:val="20"/>
                <w:color w:val="auto"/>
              </w:rPr>
            </w:pPr>
            <w:r>
              <w:rPr>
                <w:rFonts w:ascii="Arial" w:cs="Arial" w:eastAsia="Arial" w:hAnsi="Arial"/>
                <w:sz w:val="14"/>
                <w:szCs w:val="14"/>
                <w:color w:val="auto"/>
              </w:rPr>
              <w:t>South El Monte, CA 91733(5)(8)</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600" w:type="dxa"/>
            <w:vAlign w:val="bottom"/>
            <w:gridSpan w:val="6"/>
            <w:shd w:val="clear" w:color="auto" w:fill="CCEEFF"/>
          </w:tcPr>
          <w:p>
            <w:pPr>
              <w:spacing w:after="0"/>
              <w:rPr>
                <w:sz w:val="20"/>
                <w:szCs w:val="20"/>
                <w:color w:val="auto"/>
              </w:rPr>
            </w:pPr>
            <w:r>
              <w:rPr>
                <w:rFonts w:ascii="Arial" w:cs="Arial" w:eastAsia="Arial" w:hAnsi="Arial"/>
                <w:sz w:val="14"/>
                <w:szCs w:val="14"/>
                <w:color w:val="auto"/>
                <w:shd w:val="clear" w:color="auto" w:fill="CCEEFF"/>
              </w:rPr>
              <w:t>Plaza El Segundo / The Point</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4"/>
              </w:rPr>
              <w:t>2006-2007, 2016</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2011/2013</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495,000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$44.71</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95%</w:t>
            </w:r>
          </w:p>
        </w:tc>
        <w:tc>
          <w:tcPr>
            <w:tcW w:w="100" w:type="dxa"/>
            <w:vAlign w:val="bottom"/>
            <w:shd w:val="clear" w:color="auto" w:fill="CCEEFF"/>
          </w:tcPr>
          <w:p>
            <w:pPr>
              <w:spacing w:after="0"/>
              <w:rPr>
                <w:sz w:val="14"/>
                <w:szCs w:val="14"/>
                <w:color w:val="auto"/>
              </w:rPr>
            </w:pPr>
          </w:p>
        </w:tc>
        <w:tc>
          <w:tcPr>
            <w:tcW w:w="262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Whole Foods</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260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El Segundo, CA 90245(5)(8)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gridSpan w:val="8"/>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Anthropologie</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7"/>
            <w:shd w:val="clear" w:color="auto" w:fill="CCEEFF"/>
          </w:tcPr>
          <w:p>
            <w:pPr>
              <w:ind w:left="40"/>
              <w:spacing w:after="0" w:line="149" w:lineRule="exact"/>
              <w:rPr>
                <w:sz w:val="20"/>
                <w:szCs w:val="20"/>
                <w:color w:val="auto"/>
              </w:rPr>
            </w:pPr>
            <w:r>
              <w:rPr>
                <w:rFonts w:ascii="Arial" w:cs="Arial" w:eastAsia="Arial" w:hAnsi="Arial"/>
                <w:sz w:val="14"/>
                <w:szCs w:val="14"/>
                <w:color w:val="auto"/>
                <w:w w:val="89"/>
                <w:shd w:val="clear" w:color="auto" w:fill="CCEEFF"/>
              </w:rPr>
              <w:t>Home Goods</w:t>
            </w:r>
          </w:p>
        </w:tc>
        <w:tc>
          <w:tcPr>
            <w:tcW w:w="1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7"/>
            <w:shd w:val="clear" w:color="auto" w:fill="CCEEFF"/>
          </w:tcPr>
          <w:p>
            <w:pPr>
              <w:ind w:left="40"/>
              <w:spacing w:after="0" w:line="149" w:lineRule="exact"/>
              <w:rPr>
                <w:sz w:val="20"/>
                <w:szCs w:val="20"/>
                <w:color w:val="auto"/>
              </w:rPr>
            </w:pPr>
            <w:r>
              <w:rPr>
                <w:rFonts w:ascii="Arial" w:cs="Arial" w:eastAsia="Arial" w:hAnsi="Arial"/>
                <w:sz w:val="14"/>
                <w:szCs w:val="14"/>
                <w:color w:val="auto"/>
                <w:w w:val="79"/>
                <w:shd w:val="clear" w:color="auto" w:fill="CCEEFF"/>
              </w:rPr>
              <w:t>Dick's Sporting</w:t>
            </w:r>
          </w:p>
        </w:tc>
        <w:tc>
          <w:tcPr>
            <w:tcW w:w="1820" w:type="dxa"/>
            <w:vAlign w:val="bottom"/>
            <w:shd w:val="clear" w:color="auto" w:fill="CCEEFF"/>
          </w:tcPr>
          <w:p>
            <w:pPr>
              <w:jc w:val="right"/>
              <w:ind w:right="1208"/>
              <w:spacing w:after="0" w:line="149" w:lineRule="exact"/>
              <w:rPr>
                <w:sz w:val="20"/>
                <w:szCs w:val="20"/>
                <w:color w:val="auto"/>
              </w:rPr>
            </w:pPr>
            <w:r>
              <w:rPr>
                <w:rFonts w:ascii="Arial" w:cs="Arial" w:eastAsia="Arial" w:hAnsi="Arial"/>
                <w:sz w:val="14"/>
                <w:szCs w:val="14"/>
                <w:color w:val="auto"/>
                <w:shd w:val="clear" w:color="auto" w:fill="CCEEFF"/>
              </w:rPr>
              <w:t>Goods</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20" w:type="dxa"/>
            <w:vAlign w:val="bottom"/>
            <w:tcBorders>
              <w:bottom w:val="single" w:sz="8" w:color="CCEEFF"/>
            </w:tcBorders>
            <w:gridSpan w:val="8"/>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Multiple Restaurants</w:t>
            </w:r>
          </w:p>
        </w:tc>
        <w:tc>
          <w:tcPr>
            <w:tcW w:w="0" w:type="dxa"/>
            <w:vAlign w:val="bottom"/>
          </w:tcPr>
          <w:p>
            <w:pPr>
              <w:spacing w:after="0"/>
              <w:rPr>
                <w:sz w:val="1"/>
                <w:szCs w:val="1"/>
                <w:color w:val="auto"/>
              </w:rPr>
            </w:pPr>
          </w:p>
        </w:tc>
      </w:tr>
      <w:tr>
        <w:trPr>
          <w:trHeight w:val="157"/>
        </w:trPr>
        <w:tc>
          <w:tcPr>
            <w:tcW w:w="276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Plaza Pacoima</w:t>
            </w:r>
          </w:p>
        </w:tc>
        <w:tc>
          <w:tcPr>
            <w:tcW w:w="10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89"/>
              </w:rPr>
              <w:t>2010</w:t>
            </w:r>
          </w:p>
        </w:tc>
        <w:tc>
          <w:tcPr>
            <w:tcW w:w="120" w:type="dxa"/>
            <w:vAlign w:val="bottom"/>
          </w:tcPr>
          <w:p>
            <w:pPr>
              <w:spacing w:after="0"/>
              <w:rPr>
                <w:sz w:val="13"/>
                <w:szCs w:val="13"/>
                <w:color w:val="auto"/>
              </w:rPr>
            </w:pPr>
          </w:p>
        </w:tc>
        <w:tc>
          <w:tcPr>
            <w:tcW w:w="9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204,000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$14.33</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99%</w:t>
            </w:r>
          </w:p>
        </w:tc>
        <w:tc>
          <w:tcPr>
            <w:tcW w:w="100" w:type="dxa"/>
            <w:vAlign w:val="bottom"/>
          </w:tcPr>
          <w:p>
            <w:pPr>
              <w:spacing w:after="0"/>
              <w:rPr>
                <w:sz w:val="13"/>
                <w:szCs w:val="13"/>
                <w:color w:val="auto"/>
              </w:rPr>
            </w:pPr>
          </w:p>
        </w:tc>
        <w:tc>
          <w:tcPr>
            <w:tcW w:w="262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Costco</w:t>
            </w:r>
          </w:p>
        </w:tc>
        <w:tc>
          <w:tcPr>
            <w:tcW w:w="0" w:type="dxa"/>
            <w:vAlign w:val="bottom"/>
          </w:tcPr>
          <w:p>
            <w:pPr>
              <w:spacing w:after="0"/>
              <w:rPr>
                <w:sz w:val="1"/>
                <w:szCs w:val="1"/>
                <w:color w:val="auto"/>
              </w:rPr>
            </w:pPr>
          </w:p>
        </w:tc>
      </w:tr>
      <w:tr>
        <w:trPr>
          <w:trHeight w:val="188"/>
        </w:trPr>
        <w:tc>
          <w:tcPr>
            <w:tcW w:w="2760" w:type="dxa"/>
            <w:vAlign w:val="bottom"/>
            <w:gridSpan w:val="8"/>
          </w:tcPr>
          <w:p>
            <w:pPr>
              <w:ind w:left="40"/>
              <w:spacing w:after="0"/>
              <w:rPr>
                <w:sz w:val="20"/>
                <w:szCs w:val="20"/>
                <w:color w:val="auto"/>
              </w:rPr>
            </w:pPr>
            <w:r>
              <w:rPr>
                <w:rFonts w:ascii="Arial" w:cs="Arial" w:eastAsia="Arial" w:hAnsi="Arial"/>
                <w:sz w:val="14"/>
                <w:szCs w:val="14"/>
                <w:color w:val="auto"/>
              </w:rPr>
              <w:t>Pacoima, CA 91331(5)</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8"/>
          </w:tcPr>
          <w:p>
            <w:pPr>
              <w:ind w:left="40"/>
              <w:spacing w:after="0"/>
              <w:rPr>
                <w:sz w:val="20"/>
                <w:szCs w:val="20"/>
                <w:color w:val="auto"/>
              </w:rPr>
            </w:pPr>
            <w:r>
              <w:rPr>
                <w:rFonts w:ascii="Arial" w:cs="Arial" w:eastAsia="Arial" w:hAnsi="Arial"/>
                <w:sz w:val="14"/>
                <w:szCs w:val="14"/>
                <w:color w:val="auto"/>
              </w:rPr>
              <w:t>Best Buy</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1140" w:type="dxa"/>
            <w:vAlign w:val="bottom"/>
            <w:gridSpan w:val="5"/>
            <w:shd w:val="clear" w:color="auto" w:fill="CCEEFF"/>
          </w:tcPr>
          <w:p>
            <w:pPr>
              <w:spacing w:after="0"/>
              <w:rPr>
                <w:sz w:val="20"/>
                <w:szCs w:val="20"/>
                <w:color w:val="auto"/>
              </w:rPr>
            </w:pPr>
            <w:r>
              <w:rPr>
                <w:rFonts w:ascii="Arial" w:cs="Arial" w:eastAsia="Arial" w:hAnsi="Arial"/>
                <w:sz w:val="14"/>
                <w:szCs w:val="14"/>
                <w:color w:val="auto"/>
                <w:w w:val="91"/>
                <w:shd w:val="clear" w:color="auto" w:fill="CCEEFF"/>
              </w:rPr>
              <w:t>San Antonio Center</w:t>
            </w: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1"/>
              </w:rPr>
              <w:t>1958,</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376,000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$13.74</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97%</w:t>
            </w:r>
          </w:p>
        </w:tc>
        <w:tc>
          <w:tcPr>
            <w:tcW w:w="100" w:type="dxa"/>
            <w:vAlign w:val="bottom"/>
            <w:shd w:val="clear" w:color="auto" w:fill="CCEEFF"/>
          </w:tcPr>
          <w:p>
            <w:pPr>
              <w:spacing w:after="0"/>
              <w:rPr>
                <w:sz w:val="14"/>
                <w:szCs w:val="14"/>
                <w:color w:val="auto"/>
              </w:rPr>
            </w:pPr>
          </w:p>
        </w:tc>
        <w:tc>
          <w:tcPr>
            <w:tcW w:w="72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w w:val="85"/>
                <w:shd w:val="clear" w:color="auto" w:fill="CCEEFF"/>
              </w:rPr>
              <w:t>Trader Joe's</w:t>
            </w:r>
          </w:p>
        </w:tc>
        <w:tc>
          <w:tcPr>
            <w:tcW w:w="190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114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w w:val="94"/>
                <w:shd w:val="clear" w:color="auto" w:fill="CCEEFF"/>
              </w:rPr>
              <w:t>Mountain View, CA</w:t>
            </w:r>
          </w:p>
        </w:tc>
        <w:tc>
          <w:tcPr>
            <w:tcW w:w="1460" w:type="dxa"/>
            <w:vAlign w:val="bottom"/>
            <w:shd w:val="clear" w:color="auto" w:fill="CCEEFF"/>
          </w:tcPr>
          <w:p>
            <w:pPr>
              <w:jc w:val="right"/>
              <w:ind w:right="648"/>
              <w:spacing w:after="0" w:line="149" w:lineRule="exact"/>
              <w:rPr>
                <w:sz w:val="20"/>
                <w:szCs w:val="20"/>
                <w:color w:val="auto"/>
              </w:rPr>
            </w:pPr>
            <w:r>
              <w:rPr>
                <w:rFonts w:ascii="Arial" w:cs="Arial" w:eastAsia="Arial" w:hAnsi="Arial"/>
                <w:sz w:val="14"/>
                <w:szCs w:val="14"/>
                <w:color w:val="auto"/>
                <w:w w:val="98"/>
                <w:shd w:val="clear" w:color="auto" w:fill="CCEEFF"/>
              </w:rPr>
              <w:t>94040(4)(6)</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1964-1965,</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w w:val="95"/>
                <w:shd w:val="clear" w:color="auto" w:fill="CCEEFF"/>
              </w:rPr>
              <w:t>Wal-mart</w:t>
            </w:r>
          </w:p>
        </w:tc>
        <w:tc>
          <w:tcPr>
            <w:tcW w:w="120" w:type="dxa"/>
            <w:vAlign w:val="bottom"/>
            <w:gridSpan w:val="2"/>
            <w:shd w:val="clear" w:color="auto" w:fill="CCEEFF"/>
          </w:tcPr>
          <w:p>
            <w:pPr>
              <w:spacing w:after="0"/>
              <w:rPr>
                <w:sz w:val="12"/>
                <w:szCs w:val="12"/>
                <w:color w:val="auto"/>
              </w:rPr>
            </w:pPr>
          </w:p>
        </w:tc>
        <w:tc>
          <w:tcPr>
            <w:tcW w:w="190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1974-1975,</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Kohl's</w:t>
            </w:r>
          </w:p>
        </w:tc>
        <w:tc>
          <w:tcPr>
            <w:tcW w:w="80" w:type="dxa"/>
            <w:vAlign w:val="bottom"/>
            <w:gridSpan w:val="2"/>
            <w:shd w:val="clear" w:color="auto" w:fill="CCEEFF"/>
          </w:tcPr>
          <w:p>
            <w:pPr>
              <w:spacing w:after="0"/>
              <w:rPr>
                <w:sz w:val="12"/>
                <w:szCs w:val="12"/>
                <w:color w:val="auto"/>
              </w:rPr>
            </w:pPr>
          </w:p>
        </w:tc>
        <w:tc>
          <w:tcPr>
            <w:tcW w:w="2020" w:type="dxa"/>
            <w:vAlign w:val="bottom"/>
            <w:gridSpan w:val="4"/>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1995-1997</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2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24 Hour Fitness</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6" w:right="2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Square Feet(1)</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Average Rent</w:t>
            </w:r>
          </w:p>
        </w:tc>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40" w:type="dxa"/>
            <w:vAlign w:val="bottom"/>
            <w:gridSpan w:val="8"/>
            <w:vMerge w:val="restart"/>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20" w:type="dxa"/>
            <w:vAlign w:val="bottom"/>
            <w:vMerge w:val="restart"/>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Per Square</w:t>
            </w:r>
          </w:p>
        </w:tc>
        <w:tc>
          <w:tcPr>
            <w:tcW w:w="11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gridSpan w:val="8"/>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Completed</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/Apartment Units</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Foot(2)</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Leased(3)</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760" w:type="dxa"/>
            <w:vAlign w:val="bottom"/>
            <w:gridSpan w:val="9"/>
          </w:tcPr>
          <w:p>
            <w:pPr>
              <w:ind w:left="40"/>
              <w:spacing w:after="0" w:line="156" w:lineRule="exact"/>
              <w:rPr>
                <w:sz w:val="20"/>
                <w:szCs w:val="20"/>
                <w:color w:val="auto"/>
              </w:rPr>
            </w:pPr>
            <w:r>
              <w:rPr>
                <w:rFonts w:ascii="Arial" w:cs="Arial" w:eastAsia="Arial" w:hAnsi="Arial"/>
                <w:sz w:val="14"/>
                <w:szCs w:val="14"/>
                <w:color w:val="auto"/>
              </w:rPr>
              <w:t>Santana Row</w:t>
            </w:r>
          </w:p>
        </w:tc>
        <w:tc>
          <w:tcPr>
            <w:tcW w:w="1040" w:type="dxa"/>
            <w:vAlign w:val="bottom"/>
          </w:tcPr>
          <w:p>
            <w:pPr>
              <w:jc w:val="center"/>
              <w:spacing w:after="0" w:line="156" w:lineRule="exact"/>
              <w:rPr>
                <w:sz w:val="20"/>
                <w:szCs w:val="20"/>
                <w:color w:val="auto"/>
              </w:rPr>
            </w:pPr>
            <w:r>
              <w:rPr>
                <w:rFonts w:ascii="Arial" w:cs="Arial" w:eastAsia="Arial" w:hAnsi="Arial"/>
                <w:sz w:val="14"/>
                <w:szCs w:val="14"/>
                <w:color w:val="auto"/>
                <w:w w:val="91"/>
              </w:rPr>
              <w:t>2002, 2009,</w:t>
            </w:r>
          </w:p>
        </w:tc>
        <w:tc>
          <w:tcPr>
            <w:tcW w:w="120" w:type="dxa"/>
            <w:vAlign w:val="bottom"/>
          </w:tcPr>
          <w:p>
            <w:pPr>
              <w:spacing w:after="0"/>
              <w:rPr>
                <w:sz w:val="13"/>
                <w:szCs w:val="13"/>
                <w:color w:val="auto"/>
              </w:rPr>
            </w:pPr>
          </w:p>
        </w:tc>
        <w:tc>
          <w:tcPr>
            <w:tcW w:w="920" w:type="dxa"/>
            <w:vAlign w:val="bottom"/>
          </w:tcPr>
          <w:p>
            <w:pPr>
              <w:jc w:val="center"/>
              <w:spacing w:after="0" w:line="156" w:lineRule="exact"/>
              <w:rPr>
                <w:sz w:val="20"/>
                <w:szCs w:val="20"/>
                <w:color w:val="auto"/>
              </w:rPr>
            </w:pPr>
            <w:r>
              <w:rPr>
                <w:rFonts w:ascii="Arial" w:cs="Arial" w:eastAsia="Arial" w:hAnsi="Arial"/>
                <w:sz w:val="14"/>
                <w:szCs w:val="14"/>
                <w:color w:val="auto"/>
                <w:w w:val="89"/>
              </w:rPr>
              <w:t>1997</w:t>
            </w:r>
          </w:p>
        </w:tc>
        <w:tc>
          <w:tcPr>
            <w:tcW w:w="120" w:type="dxa"/>
            <w:vAlign w:val="bottom"/>
          </w:tcPr>
          <w:p>
            <w:pPr>
              <w:spacing w:after="0"/>
              <w:rPr>
                <w:sz w:val="13"/>
                <w:szCs w:val="13"/>
                <w:color w:val="auto"/>
              </w:rPr>
            </w:pPr>
          </w:p>
        </w:tc>
        <w:tc>
          <w:tcPr>
            <w:tcW w:w="1360" w:type="dxa"/>
            <w:vAlign w:val="bottom"/>
          </w:tcPr>
          <w:p>
            <w:pPr>
              <w:jc w:val="center"/>
              <w:spacing w:after="0" w:line="156" w:lineRule="exact"/>
              <w:rPr>
                <w:sz w:val="20"/>
                <w:szCs w:val="20"/>
                <w:color w:val="auto"/>
              </w:rPr>
            </w:pPr>
            <w:r>
              <w:rPr>
                <w:rFonts w:ascii="Arial" w:cs="Arial" w:eastAsia="Arial" w:hAnsi="Arial"/>
                <w:sz w:val="14"/>
                <w:szCs w:val="14"/>
                <w:color w:val="auto"/>
                <w:w w:val="94"/>
              </w:rPr>
              <w:t>885,000</w:t>
            </w:r>
          </w:p>
        </w:tc>
        <w:tc>
          <w:tcPr>
            <w:tcW w:w="100" w:type="dxa"/>
            <w:vAlign w:val="bottom"/>
          </w:tcPr>
          <w:p>
            <w:pPr>
              <w:spacing w:after="0"/>
              <w:rPr>
                <w:sz w:val="13"/>
                <w:szCs w:val="13"/>
                <w:color w:val="auto"/>
              </w:rPr>
            </w:pPr>
          </w:p>
        </w:tc>
        <w:tc>
          <w:tcPr>
            <w:tcW w:w="1140" w:type="dxa"/>
            <w:vAlign w:val="bottom"/>
          </w:tcPr>
          <w:p>
            <w:pPr>
              <w:jc w:val="center"/>
              <w:spacing w:after="0" w:line="156" w:lineRule="exact"/>
              <w:rPr>
                <w:sz w:val="20"/>
                <w:szCs w:val="20"/>
                <w:color w:val="auto"/>
              </w:rPr>
            </w:pPr>
            <w:r>
              <w:rPr>
                <w:rFonts w:ascii="Arial" w:cs="Arial" w:eastAsia="Arial" w:hAnsi="Arial"/>
                <w:sz w:val="14"/>
                <w:szCs w:val="14"/>
                <w:color w:val="auto"/>
                <w:w w:val="93"/>
              </w:rPr>
              <w:t>$52.42</w:t>
            </w:r>
          </w:p>
        </w:tc>
        <w:tc>
          <w:tcPr>
            <w:tcW w:w="100" w:type="dxa"/>
            <w:vAlign w:val="bottom"/>
          </w:tcPr>
          <w:p>
            <w:pPr>
              <w:spacing w:after="0"/>
              <w:rPr>
                <w:sz w:val="13"/>
                <w:szCs w:val="13"/>
                <w:color w:val="auto"/>
              </w:rPr>
            </w:pPr>
          </w:p>
        </w:tc>
        <w:tc>
          <w:tcPr>
            <w:tcW w:w="1040" w:type="dxa"/>
            <w:vAlign w:val="bottom"/>
          </w:tcPr>
          <w:p>
            <w:pPr>
              <w:jc w:val="center"/>
              <w:spacing w:after="0" w:line="156" w:lineRule="exact"/>
              <w:rPr>
                <w:sz w:val="20"/>
                <w:szCs w:val="20"/>
                <w:color w:val="auto"/>
              </w:rPr>
            </w:pPr>
            <w:r>
              <w:rPr>
                <w:rFonts w:ascii="Arial" w:cs="Arial" w:eastAsia="Arial" w:hAnsi="Arial"/>
                <w:sz w:val="14"/>
                <w:szCs w:val="14"/>
                <w:color w:val="auto"/>
                <w:w w:val="92"/>
              </w:rPr>
              <w:t>98%</w:t>
            </w:r>
          </w:p>
        </w:tc>
        <w:tc>
          <w:tcPr>
            <w:tcW w:w="100" w:type="dxa"/>
            <w:vAlign w:val="bottom"/>
          </w:tcPr>
          <w:p>
            <w:pPr>
              <w:spacing w:after="0"/>
              <w:rPr>
                <w:sz w:val="13"/>
                <w:szCs w:val="13"/>
                <w:color w:val="auto"/>
              </w:rPr>
            </w:pPr>
          </w:p>
        </w:tc>
        <w:tc>
          <w:tcPr>
            <w:tcW w:w="2620" w:type="dxa"/>
            <w:vAlign w:val="bottom"/>
            <w:gridSpan w:val="4"/>
          </w:tcPr>
          <w:p>
            <w:pPr>
              <w:ind w:left="40"/>
              <w:spacing w:after="0" w:line="156" w:lineRule="exact"/>
              <w:rPr>
                <w:sz w:val="20"/>
                <w:szCs w:val="20"/>
                <w:color w:val="auto"/>
              </w:rPr>
            </w:pPr>
            <w:r>
              <w:rPr>
                <w:rFonts w:ascii="Arial" w:cs="Arial" w:eastAsia="Arial" w:hAnsi="Arial"/>
                <w:sz w:val="14"/>
                <w:szCs w:val="14"/>
                <w:color w:val="auto"/>
              </w:rPr>
              <w:t>Crate &amp; Barrel H&amp;M Container Store</w:t>
            </w:r>
          </w:p>
        </w:tc>
        <w:tc>
          <w:tcPr>
            <w:tcW w:w="0" w:type="dxa"/>
            <w:vAlign w:val="bottom"/>
          </w:tcPr>
          <w:p>
            <w:pPr>
              <w:spacing w:after="0"/>
              <w:rPr>
                <w:sz w:val="1"/>
                <w:szCs w:val="1"/>
                <w:color w:val="auto"/>
              </w:rPr>
            </w:pPr>
          </w:p>
        </w:tc>
      </w:tr>
      <w:tr>
        <w:trPr>
          <w:trHeight w:val="188"/>
        </w:trPr>
        <w:tc>
          <w:tcPr>
            <w:tcW w:w="2760" w:type="dxa"/>
            <w:vAlign w:val="bottom"/>
            <w:gridSpan w:val="9"/>
          </w:tcPr>
          <w:p>
            <w:pPr>
              <w:ind w:left="40"/>
              <w:spacing w:after="0"/>
              <w:rPr>
                <w:sz w:val="20"/>
                <w:szCs w:val="20"/>
                <w:color w:val="auto"/>
              </w:rPr>
            </w:pPr>
            <w:r>
              <w:rPr>
                <w:rFonts w:ascii="Arial" w:cs="Arial" w:eastAsia="Arial" w:hAnsi="Arial"/>
                <w:sz w:val="14"/>
                <w:szCs w:val="14"/>
                <w:color w:val="auto"/>
              </w:rPr>
              <w:t>San Jose, CA 95128(4)</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4"/>
          </w:tcPr>
          <w:p>
            <w:pPr>
              <w:ind w:left="40"/>
              <w:spacing w:after="0"/>
              <w:rPr>
                <w:sz w:val="20"/>
                <w:szCs w:val="20"/>
                <w:color w:val="auto"/>
              </w:rPr>
            </w:pPr>
            <w:r>
              <w:rPr>
                <w:rFonts w:ascii="Arial" w:cs="Arial" w:eastAsia="Arial" w:hAnsi="Arial"/>
                <w:sz w:val="14"/>
                <w:szCs w:val="14"/>
                <w:color w:val="auto"/>
              </w:rPr>
              <w:t>Multiple Restaurants</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600" w:type="dxa"/>
            <w:vAlign w:val="bottom"/>
            <w:gridSpan w:val="7"/>
            <w:shd w:val="clear" w:color="auto" w:fill="CCEEFF"/>
          </w:tcPr>
          <w:p>
            <w:pPr>
              <w:spacing w:after="0"/>
              <w:rPr>
                <w:sz w:val="20"/>
                <w:szCs w:val="20"/>
                <w:color w:val="auto"/>
              </w:rPr>
            </w:pPr>
            <w:r>
              <w:rPr>
                <w:rFonts w:ascii="Arial" w:cs="Arial" w:eastAsia="Arial" w:hAnsi="Arial"/>
                <w:sz w:val="14"/>
                <w:szCs w:val="14"/>
                <w:color w:val="auto"/>
                <w:shd w:val="clear" w:color="auto" w:fill="CCEEFF"/>
              </w:rPr>
              <w:t>Santana Row Residential</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2003-2006,</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1997/2012</w:t>
            </w:r>
          </w:p>
        </w:tc>
        <w:tc>
          <w:tcPr>
            <w:tcW w:w="1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1"/>
              </w:rPr>
              <w:t>662 units</w:t>
            </w:r>
          </w:p>
        </w:tc>
        <w:tc>
          <w:tcPr>
            <w:tcW w:w="124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rPr>
              <w:t>N/A</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4"/>
                <w:szCs w:val="14"/>
                <w:color w:val="auto"/>
                <w:w w:val="96"/>
                <w:shd w:val="clear" w:color="auto" w:fill="CCEEFF"/>
              </w:rPr>
              <w:t>San Jose, CA 95128</w:t>
            </w:r>
          </w:p>
        </w:tc>
        <w:tc>
          <w:tcPr>
            <w:tcW w:w="1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2011, 2014</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Sylmar Towne Center</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1973</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148,000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$14.56</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91%</w:t>
            </w:r>
          </w:p>
        </w:tc>
        <w:tc>
          <w:tcPr>
            <w:tcW w:w="100" w:type="dxa"/>
            <w:vAlign w:val="bottom"/>
          </w:tcPr>
          <w:p>
            <w:pPr>
              <w:spacing w:after="0"/>
              <w:rPr>
                <w:sz w:val="13"/>
                <w:szCs w:val="13"/>
                <w:color w:val="auto"/>
              </w:rPr>
            </w:pPr>
          </w:p>
        </w:tc>
        <w:tc>
          <w:tcPr>
            <w:tcW w:w="262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Food4Less</w:t>
            </w:r>
          </w:p>
        </w:tc>
        <w:tc>
          <w:tcPr>
            <w:tcW w:w="0" w:type="dxa"/>
            <w:vAlign w:val="bottom"/>
          </w:tcPr>
          <w:p>
            <w:pPr>
              <w:spacing w:after="0"/>
              <w:rPr>
                <w:sz w:val="1"/>
                <w:szCs w:val="1"/>
                <w:color w:val="auto"/>
              </w:rPr>
            </w:pPr>
          </w:p>
        </w:tc>
      </w:tr>
      <w:tr>
        <w:trPr>
          <w:trHeight w:val="188"/>
        </w:trPr>
        <w:tc>
          <w:tcPr>
            <w:tcW w:w="2760" w:type="dxa"/>
            <w:vAlign w:val="bottom"/>
            <w:gridSpan w:val="9"/>
          </w:tcPr>
          <w:p>
            <w:pPr>
              <w:ind w:left="40"/>
              <w:spacing w:after="0"/>
              <w:rPr>
                <w:sz w:val="20"/>
                <w:szCs w:val="20"/>
                <w:color w:val="auto"/>
              </w:rPr>
            </w:pPr>
            <w:r>
              <w:rPr>
                <w:rFonts w:ascii="Arial" w:cs="Arial" w:eastAsia="Arial" w:hAnsi="Arial"/>
                <w:sz w:val="14"/>
                <w:szCs w:val="14"/>
                <w:color w:val="auto"/>
              </w:rPr>
              <w:t>Sylmar, CA 91342(5)(8)</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4"/>
          </w:tcPr>
          <w:p>
            <w:pPr>
              <w:ind w:left="4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600" w:type="dxa"/>
            <w:vAlign w:val="bottom"/>
            <w:gridSpan w:val="7"/>
            <w:shd w:val="clear" w:color="auto" w:fill="CCEEFF"/>
          </w:tcPr>
          <w:p>
            <w:pPr>
              <w:spacing w:after="0"/>
              <w:rPr>
                <w:sz w:val="20"/>
                <w:szCs w:val="20"/>
                <w:color w:val="auto"/>
              </w:rPr>
            </w:pPr>
            <w:r>
              <w:rPr>
                <w:rFonts w:ascii="Arial" w:cs="Arial" w:eastAsia="Arial" w:hAnsi="Arial"/>
                <w:sz w:val="14"/>
                <w:szCs w:val="14"/>
                <w:color w:val="auto"/>
                <w:shd w:val="clear" w:color="auto" w:fill="CCEEFF"/>
              </w:rPr>
              <w:t>Third Street Promenade</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1888-2000</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1996-2000</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209,000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$79.66</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00" w:type="dxa"/>
            <w:vAlign w:val="bottom"/>
            <w:shd w:val="clear" w:color="auto" w:fill="CCEEFF"/>
          </w:tcPr>
          <w:p>
            <w:pPr>
              <w:spacing w:after="0"/>
              <w:rPr>
                <w:sz w:val="14"/>
                <w:szCs w:val="14"/>
                <w:color w:val="auto"/>
              </w:rPr>
            </w:pPr>
          </w:p>
        </w:tc>
        <w:tc>
          <w:tcPr>
            <w:tcW w:w="26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Banana Republic</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260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Santa Monica, CA 90401</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Old Navy</w:t>
            </w:r>
          </w:p>
        </w:tc>
        <w:tc>
          <w:tcPr>
            <w:tcW w:w="1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J. Crew</w:t>
            </w:r>
          </w:p>
        </w:tc>
        <w:tc>
          <w:tcPr>
            <w:tcW w:w="14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Abercrombie &amp; Fitch</w:t>
            </w:r>
          </w:p>
        </w:tc>
        <w:tc>
          <w:tcPr>
            <w:tcW w:w="0" w:type="dxa"/>
            <w:vAlign w:val="bottom"/>
          </w:tcPr>
          <w:p>
            <w:pPr>
              <w:spacing w:after="0"/>
              <w:rPr>
                <w:sz w:val="1"/>
                <w:szCs w:val="1"/>
                <w:color w:val="auto"/>
              </w:rPr>
            </w:pPr>
          </w:p>
        </w:tc>
      </w:tr>
      <w:tr>
        <w:trPr>
          <w:trHeight w:val="157"/>
        </w:trPr>
        <w:tc>
          <w:tcPr>
            <w:tcW w:w="276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Westgate Center</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5"/>
              </w:rPr>
              <w:t>1960-1966</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2004</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647,000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$17.78</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99%</w:t>
            </w:r>
          </w:p>
        </w:tc>
        <w:tc>
          <w:tcPr>
            <w:tcW w:w="100" w:type="dxa"/>
            <w:vAlign w:val="bottom"/>
          </w:tcPr>
          <w:p>
            <w:pPr>
              <w:spacing w:after="0"/>
              <w:rPr>
                <w:sz w:val="13"/>
                <w:szCs w:val="13"/>
                <w:color w:val="auto"/>
              </w:rPr>
            </w:pPr>
          </w:p>
        </w:tc>
        <w:tc>
          <w:tcPr>
            <w:tcW w:w="262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Walmart Neighborhood Market</w:t>
            </w:r>
          </w:p>
        </w:tc>
        <w:tc>
          <w:tcPr>
            <w:tcW w:w="0" w:type="dxa"/>
            <w:vAlign w:val="bottom"/>
          </w:tcPr>
          <w:p>
            <w:pPr>
              <w:spacing w:after="0"/>
              <w:rPr>
                <w:sz w:val="1"/>
                <w:szCs w:val="1"/>
                <w:color w:val="auto"/>
              </w:rPr>
            </w:pPr>
          </w:p>
        </w:tc>
      </w:tr>
      <w:tr>
        <w:trPr>
          <w:trHeight w:val="148"/>
        </w:trPr>
        <w:tc>
          <w:tcPr>
            <w:tcW w:w="2760" w:type="dxa"/>
            <w:vAlign w:val="bottom"/>
            <w:gridSpan w:val="9"/>
          </w:tcPr>
          <w:p>
            <w:pPr>
              <w:ind w:left="40"/>
              <w:spacing w:after="0" w:line="149" w:lineRule="exact"/>
              <w:rPr>
                <w:sz w:val="20"/>
                <w:szCs w:val="20"/>
                <w:color w:val="auto"/>
              </w:rPr>
            </w:pPr>
            <w:r>
              <w:rPr>
                <w:rFonts w:ascii="Arial" w:cs="Arial" w:eastAsia="Arial" w:hAnsi="Arial"/>
                <w:sz w:val="14"/>
                <w:szCs w:val="14"/>
                <w:color w:val="auto"/>
              </w:rPr>
              <w:t>San Jose, CA 95129</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Nike Factory</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4"/>
          </w:tcPr>
          <w:p>
            <w:pPr>
              <w:ind w:left="40"/>
              <w:spacing w:after="0"/>
              <w:rPr>
                <w:sz w:val="20"/>
                <w:szCs w:val="20"/>
                <w:color w:val="auto"/>
              </w:rPr>
            </w:pPr>
            <w:r>
              <w:rPr>
                <w:rFonts w:ascii="Arial" w:cs="Arial" w:eastAsia="Arial" w:hAnsi="Arial"/>
                <w:sz w:val="14"/>
                <w:szCs w:val="14"/>
                <w:color w:val="auto"/>
              </w:rPr>
              <w:t>Burlington</w:t>
            </w:r>
          </w:p>
        </w:tc>
        <w:tc>
          <w:tcPr>
            <w:tcW w:w="0" w:type="dxa"/>
            <w:vAlign w:val="bottom"/>
          </w:tcPr>
          <w:p>
            <w:pPr>
              <w:spacing w:after="0"/>
              <w:rPr>
                <w:sz w:val="1"/>
                <w:szCs w:val="1"/>
                <w:color w:val="auto"/>
              </w:rPr>
            </w:pPr>
          </w:p>
        </w:tc>
      </w:tr>
      <w:tr>
        <w:trPr>
          <w:trHeight w:val="168"/>
        </w:trPr>
        <w:tc>
          <w:tcPr>
            <w:tcW w:w="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4"/>
                <w:szCs w:val="14"/>
                <w:b w:val="1"/>
                <w:bCs w:val="1"/>
                <w:color w:val="auto"/>
                <w:w w:val="88"/>
                <w:shd w:val="clear" w:color="auto" w:fill="CCEEFF"/>
              </w:rPr>
              <w:t>Connecticut</w:t>
            </w: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9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76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Bristol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1959</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1995</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266,000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$13.97</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97%</w:t>
            </w:r>
          </w:p>
        </w:tc>
        <w:tc>
          <w:tcPr>
            <w:tcW w:w="100" w:type="dxa"/>
            <w:vAlign w:val="bottom"/>
          </w:tcPr>
          <w:p>
            <w:pPr>
              <w:spacing w:after="0"/>
              <w:rPr>
                <w:sz w:val="13"/>
                <w:szCs w:val="13"/>
                <w:color w:val="auto"/>
              </w:rPr>
            </w:pPr>
          </w:p>
        </w:tc>
        <w:tc>
          <w:tcPr>
            <w:tcW w:w="262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88"/>
        </w:trPr>
        <w:tc>
          <w:tcPr>
            <w:tcW w:w="2760" w:type="dxa"/>
            <w:vAlign w:val="bottom"/>
            <w:gridSpan w:val="9"/>
          </w:tcPr>
          <w:p>
            <w:pPr>
              <w:ind w:left="40"/>
              <w:spacing w:after="0"/>
              <w:rPr>
                <w:sz w:val="20"/>
                <w:szCs w:val="20"/>
                <w:color w:val="auto"/>
              </w:rPr>
            </w:pPr>
            <w:r>
              <w:rPr>
                <w:rFonts w:ascii="Arial" w:cs="Arial" w:eastAsia="Arial" w:hAnsi="Arial"/>
                <w:sz w:val="14"/>
                <w:szCs w:val="14"/>
                <w:color w:val="auto"/>
              </w:rPr>
              <w:t>Bristol, CT 06010</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4"/>
          </w:tcPr>
          <w:p>
            <w:pPr>
              <w:ind w:left="40"/>
              <w:spacing w:after="0"/>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4"/>
                <w:szCs w:val="14"/>
                <w:color w:val="auto"/>
                <w:w w:val="96"/>
                <w:shd w:val="clear" w:color="auto" w:fill="CCEEFF"/>
              </w:rPr>
              <w:t>Darien</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1920-2009</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2013</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95,000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$28.47</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96%</w:t>
            </w:r>
          </w:p>
        </w:tc>
        <w:tc>
          <w:tcPr>
            <w:tcW w:w="100" w:type="dxa"/>
            <w:vAlign w:val="bottom"/>
            <w:shd w:val="clear" w:color="auto" w:fill="CCEEFF"/>
          </w:tcPr>
          <w:p>
            <w:pPr>
              <w:spacing w:after="0"/>
              <w:rPr>
                <w:sz w:val="14"/>
                <w:szCs w:val="14"/>
                <w:color w:val="auto"/>
              </w:rPr>
            </w:pPr>
          </w:p>
        </w:tc>
        <w:tc>
          <w:tcPr>
            <w:tcW w:w="26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Stop &amp; Shop</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88"/>
                <w:shd w:val="clear" w:color="auto" w:fill="CCEEFF"/>
              </w:rPr>
              <w:t>Darien,</w:t>
            </w:r>
          </w:p>
        </w:tc>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CT 06820</w:t>
            </w:r>
          </w:p>
        </w:tc>
        <w:tc>
          <w:tcPr>
            <w:tcW w:w="1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w w:val="98"/>
                <w:shd w:val="clear" w:color="auto" w:fill="CCEEFF"/>
              </w:rPr>
              <w:t>Equinox</w:t>
            </w:r>
          </w:p>
        </w:tc>
        <w:tc>
          <w:tcPr>
            <w:tcW w:w="14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Greenwich Avenue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1968</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1995</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3"/>
              </w:rPr>
              <w:t>36,000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$70.15</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3"/>
                <w:szCs w:val="13"/>
                <w:color w:val="auto"/>
              </w:rPr>
            </w:pPr>
          </w:p>
        </w:tc>
        <w:tc>
          <w:tcPr>
            <w:tcW w:w="262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Saks Fifth Avenue</w:t>
            </w:r>
          </w:p>
        </w:tc>
        <w:tc>
          <w:tcPr>
            <w:tcW w:w="0" w:type="dxa"/>
            <w:vAlign w:val="bottom"/>
          </w:tcPr>
          <w:p>
            <w:pPr>
              <w:spacing w:after="0"/>
              <w:rPr>
                <w:sz w:val="1"/>
                <w:szCs w:val="1"/>
                <w:color w:val="auto"/>
              </w:rPr>
            </w:pPr>
          </w:p>
        </w:tc>
      </w:tr>
      <w:tr>
        <w:trPr>
          <w:trHeight w:val="188"/>
        </w:trPr>
        <w:tc>
          <w:tcPr>
            <w:tcW w:w="2760" w:type="dxa"/>
            <w:vAlign w:val="bottom"/>
            <w:gridSpan w:val="9"/>
          </w:tcPr>
          <w:p>
            <w:pPr>
              <w:ind w:left="40"/>
              <w:spacing w:after="0"/>
              <w:rPr>
                <w:sz w:val="20"/>
                <w:szCs w:val="20"/>
                <w:color w:val="auto"/>
              </w:rPr>
            </w:pPr>
            <w:r>
              <w:rPr>
                <w:rFonts w:ascii="Arial" w:cs="Arial" w:eastAsia="Arial" w:hAnsi="Arial"/>
                <w:sz w:val="14"/>
                <w:szCs w:val="14"/>
                <w:color w:val="auto"/>
              </w:rPr>
              <w:t>Greenwich Avenue, CT 06830</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gridSpan w:val="6"/>
            <w:shd w:val="clear" w:color="auto" w:fill="CCEEFF"/>
          </w:tcPr>
          <w:p>
            <w:pPr>
              <w:spacing w:after="0"/>
              <w:rPr>
                <w:sz w:val="20"/>
                <w:szCs w:val="20"/>
                <w:color w:val="auto"/>
              </w:rPr>
            </w:pPr>
            <w:r>
              <w:rPr>
                <w:rFonts w:ascii="Arial" w:cs="Arial" w:eastAsia="Arial" w:hAnsi="Arial"/>
                <w:sz w:val="14"/>
                <w:szCs w:val="14"/>
                <w:b w:val="1"/>
                <w:bCs w:val="1"/>
                <w:color w:val="auto"/>
                <w:w w:val="93"/>
                <w:shd w:val="clear" w:color="auto" w:fill="CCEEFF"/>
              </w:rPr>
              <w:t>District of Columbia</w:t>
            </w:r>
          </w:p>
        </w:tc>
        <w:tc>
          <w:tcPr>
            <w:tcW w:w="13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9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76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Friendship Center</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1998</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2001</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119,000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$29.71</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3"/>
                <w:szCs w:val="13"/>
                <w:color w:val="auto"/>
              </w:rPr>
            </w:pPr>
          </w:p>
        </w:tc>
        <w:tc>
          <w:tcPr>
            <w:tcW w:w="262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8"/>
        </w:trPr>
        <w:tc>
          <w:tcPr>
            <w:tcW w:w="2760" w:type="dxa"/>
            <w:vAlign w:val="bottom"/>
            <w:gridSpan w:val="9"/>
          </w:tcPr>
          <w:p>
            <w:pPr>
              <w:ind w:left="40"/>
              <w:spacing w:after="0" w:line="149" w:lineRule="exact"/>
              <w:rPr>
                <w:sz w:val="20"/>
                <w:szCs w:val="20"/>
                <w:color w:val="auto"/>
              </w:rPr>
            </w:pPr>
            <w:r>
              <w:rPr>
                <w:rFonts w:ascii="Arial" w:cs="Arial" w:eastAsia="Arial" w:hAnsi="Arial"/>
                <w:sz w:val="14"/>
                <w:szCs w:val="14"/>
                <w:color w:val="auto"/>
              </w:rPr>
              <w:t>Washington, DC 20015</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4"/>
          </w:tcPr>
          <w:p>
            <w:pPr>
              <w:ind w:left="40"/>
              <w:spacing w:after="0"/>
              <w:rPr>
                <w:sz w:val="20"/>
                <w:szCs w:val="20"/>
                <w:color w:val="auto"/>
              </w:rPr>
            </w:pPr>
            <w:r>
              <w:rPr>
                <w:rFonts w:ascii="Arial" w:cs="Arial" w:eastAsia="Arial" w:hAnsi="Arial"/>
                <w:sz w:val="14"/>
                <w:szCs w:val="14"/>
                <w:color w:val="auto"/>
              </w:rPr>
              <w:t>Maggiano's</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1260" w:type="dxa"/>
            <w:vAlign w:val="bottom"/>
            <w:gridSpan w:val="6"/>
            <w:shd w:val="clear" w:color="auto" w:fill="CCEEFF"/>
          </w:tcPr>
          <w:p>
            <w:pPr>
              <w:spacing w:after="0"/>
              <w:rPr>
                <w:sz w:val="20"/>
                <w:szCs w:val="20"/>
                <w:color w:val="auto"/>
              </w:rPr>
            </w:pPr>
            <w:r>
              <w:rPr>
                <w:rFonts w:ascii="Arial" w:cs="Arial" w:eastAsia="Arial" w:hAnsi="Arial"/>
                <w:sz w:val="14"/>
                <w:szCs w:val="14"/>
                <w:color w:val="auto"/>
                <w:shd w:val="clear" w:color="auto" w:fill="CCEEFF"/>
              </w:rPr>
              <w:t>Sam's Park &amp; Shop</w:t>
            </w: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1930</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1995</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49,000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$45.02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shd w:val="clear" w:color="auto" w:fill="CCEEFF"/>
              </w:rPr>
              <w:t>Petco</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260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4"/>
                <w:szCs w:val="14"/>
                <w:color w:val="auto"/>
                <w:shd w:val="clear" w:color="auto" w:fill="CCEEFF"/>
              </w:rPr>
              <w:t>Washington, DC 20008</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60" w:type="dxa"/>
            <w:vAlign w:val="bottom"/>
            <w:gridSpan w:val="9"/>
          </w:tcPr>
          <w:p>
            <w:pPr>
              <w:ind w:left="40"/>
              <w:spacing w:after="0"/>
              <w:rPr>
                <w:sz w:val="20"/>
                <w:szCs w:val="20"/>
                <w:color w:val="auto"/>
              </w:rPr>
            </w:pPr>
            <w:r>
              <w:rPr>
                <w:rFonts w:ascii="Arial" w:cs="Arial" w:eastAsia="Arial" w:hAnsi="Arial"/>
                <w:sz w:val="14"/>
                <w:szCs w:val="14"/>
                <w:b w:val="1"/>
                <w:bCs w:val="1"/>
                <w:color w:val="auto"/>
              </w:rPr>
              <w:t>Florida</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40" w:type="dxa"/>
            <w:vAlign w:val="bottom"/>
            <w:shd w:val="clear" w:color="auto" w:fill="CCEEFF"/>
          </w:tcPr>
          <w:p>
            <w:pPr>
              <w:spacing w:after="0"/>
              <w:rPr>
                <w:sz w:val="13"/>
                <w:szCs w:val="13"/>
                <w:color w:val="auto"/>
              </w:rPr>
            </w:pPr>
          </w:p>
        </w:tc>
        <w:tc>
          <w:tcPr>
            <w:tcW w:w="60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color w:val="auto"/>
                <w:w w:val="90"/>
                <w:shd w:val="clear" w:color="auto" w:fill="CCEEFF"/>
              </w:rPr>
              <w:t>CocoWalk</w:t>
            </w:r>
          </w:p>
        </w:tc>
        <w:tc>
          <w:tcPr>
            <w:tcW w:w="240" w:type="dxa"/>
            <w:vAlign w:val="bottom"/>
            <w:gridSpan w:val="2"/>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1"/>
              </w:rPr>
              <w:t>1990/1994,</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2015-2017</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194,000</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$32.78</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74%</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shd w:val="clear" w:color="auto" w:fill="CCEEFF"/>
              </w:rPr>
              <w:t>Gap</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Coconut</w:t>
            </w:r>
          </w:p>
        </w:tc>
        <w:tc>
          <w:tcPr>
            <w:tcW w:w="2000" w:type="dxa"/>
            <w:vAlign w:val="bottom"/>
            <w:gridSpan w:val="4"/>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w w:val="88"/>
                <w:shd w:val="clear" w:color="auto" w:fill="CCEEFF"/>
              </w:rPr>
              <w:t>Grove, FL 33133(5)(11)</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1922-1973</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Cinepolis Theaters</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Youfit Health Club</w:t>
            </w:r>
          </w:p>
        </w:tc>
        <w:tc>
          <w:tcPr>
            <w:tcW w:w="0" w:type="dxa"/>
            <w:vAlign w:val="bottom"/>
          </w:tcPr>
          <w:p>
            <w:pPr>
              <w:spacing w:after="0"/>
              <w:rPr>
                <w:sz w:val="1"/>
                <w:szCs w:val="1"/>
                <w:color w:val="auto"/>
              </w:rPr>
            </w:pPr>
          </w:p>
        </w:tc>
      </w:tr>
      <w:tr>
        <w:trPr>
          <w:trHeight w:val="157"/>
        </w:trPr>
        <w:tc>
          <w:tcPr>
            <w:tcW w:w="276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Del Mar Village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1982, 1994</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0"/>
              </w:rPr>
              <w:t>2008/2014</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196,000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$16.43</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91%</w:t>
            </w:r>
          </w:p>
        </w:tc>
        <w:tc>
          <w:tcPr>
            <w:tcW w:w="100" w:type="dxa"/>
            <w:vAlign w:val="bottom"/>
          </w:tcPr>
          <w:p>
            <w:pPr>
              <w:spacing w:after="0"/>
              <w:rPr>
                <w:sz w:val="13"/>
                <w:szCs w:val="13"/>
                <w:color w:val="auto"/>
              </w:rPr>
            </w:pPr>
          </w:p>
        </w:tc>
        <w:tc>
          <w:tcPr>
            <w:tcW w:w="262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Winn Dixie</w:t>
            </w:r>
          </w:p>
        </w:tc>
        <w:tc>
          <w:tcPr>
            <w:tcW w:w="0" w:type="dxa"/>
            <w:vAlign w:val="bottom"/>
          </w:tcPr>
          <w:p>
            <w:pPr>
              <w:spacing w:after="0"/>
              <w:rPr>
                <w:sz w:val="1"/>
                <w:szCs w:val="1"/>
                <w:color w:val="auto"/>
              </w:rPr>
            </w:pPr>
          </w:p>
        </w:tc>
      </w:tr>
      <w:tr>
        <w:trPr>
          <w:trHeight w:val="188"/>
        </w:trPr>
        <w:tc>
          <w:tcPr>
            <w:tcW w:w="2760" w:type="dxa"/>
            <w:vAlign w:val="bottom"/>
            <w:gridSpan w:val="9"/>
          </w:tcPr>
          <w:p>
            <w:pPr>
              <w:ind w:left="40"/>
              <w:spacing w:after="0"/>
              <w:rPr>
                <w:sz w:val="20"/>
                <w:szCs w:val="20"/>
                <w:color w:val="auto"/>
              </w:rPr>
            </w:pPr>
            <w:r>
              <w:rPr>
                <w:rFonts w:ascii="Arial" w:cs="Arial" w:eastAsia="Arial" w:hAnsi="Arial"/>
                <w:sz w:val="14"/>
                <w:szCs w:val="14"/>
                <w:color w:val="auto"/>
              </w:rPr>
              <w:t>Boca Raton, FL 33433</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&amp; 2007</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4"/>
          </w:tcPr>
          <w:p>
            <w:pPr>
              <w:ind w:left="4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600" w:type="dxa"/>
            <w:vAlign w:val="bottom"/>
            <w:gridSpan w:val="7"/>
            <w:shd w:val="clear" w:color="auto" w:fill="CCEEFF"/>
          </w:tcPr>
          <w:p>
            <w:pPr>
              <w:spacing w:after="0"/>
              <w:rPr>
                <w:sz w:val="20"/>
                <w:szCs w:val="20"/>
                <w:color w:val="auto"/>
              </w:rPr>
            </w:pPr>
            <w:r>
              <w:rPr>
                <w:rFonts w:ascii="Arial" w:cs="Arial" w:eastAsia="Arial" w:hAnsi="Arial"/>
                <w:sz w:val="14"/>
                <w:szCs w:val="14"/>
                <w:color w:val="auto"/>
                <w:shd w:val="clear" w:color="auto" w:fill="CCEEFF"/>
              </w:rPr>
              <w:t>The Shops at Sunset Place</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1999</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523,000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$20.17</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AMC</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260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South Miami, FL 33143(5)(8)</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L.A.</w:t>
            </w:r>
          </w:p>
        </w:tc>
        <w:tc>
          <w:tcPr>
            <w:tcW w:w="2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Fitness</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Barnes &amp; Noble</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Restoration Hardware Outlet</w:t>
            </w:r>
          </w:p>
        </w:tc>
        <w:tc>
          <w:tcPr>
            <w:tcW w:w="0" w:type="dxa"/>
            <w:vAlign w:val="bottom"/>
          </w:tcPr>
          <w:p>
            <w:pPr>
              <w:spacing w:after="0"/>
              <w:rPr>
                <w:sz w:val="1"/>
                <w:szCs w:val="1"/>
                <w:color w:val="auto"/>
              </w:rPr>
            </w:pPr>
          </w:p>
        </w:tc>
      </w:tr>
      <w:tr>
        <w:trPr>
          <w:trHeight w:val="157"/>
        </w:trPr>
        <w:tc>
          <w:tcPr>
            <w:tcW w:w="276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Tower Shops</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1989, 2017</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0"/>
              </w:rPr>
              <w:t>2011/2014</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426,000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$23.45</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98%</w:t>
            </w:r>
          </w:p>
        </w:tc>
        <w:tc>
          <w:tcPr>
            <w:tcW w:w="100" w:type="dxa"/>
            <w:vAlign w:val="bottom"/>
          </w:tcPr>
          <w:p>
            <w:pPr>
              <w:spacing w:after="0"/>
              <w:rPr>
                <w:sz w:val="13"/>
                <w:szCs w:val="13"/>
                <w:color w:val="auto"/>
              </w:rPr>
            </w:pPr>
          </w:p>
        </w:tc>
        <w:tc>
          <w:tcPr>
            <w:tcW w:w="262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48"/>
        </w:trPr>
        <w:tc>
          <w:tcPr>
            <w:tcW w:w="2760" w:type="dxa"/>
            <w:vAlign w:val="bottom"/>
            <w:gridSpan w:val="9"/>
          </w:tcPr>
          <w:p>
            <w:pPr>
              <w:ind w:left="40"/>
              <w:spacing w:after="0" w:line="149" w:lineRule="exact"/>
              <w:rPr>
                <w:sz w:val="20"/>
                <w:szCs w:val="20"/>
                <w:color w:val="auto"/>
              </w:rPr>
            </w:pPr>
            <w:r>
              <w:rPr>
                <w:rFonts w:ascii="Arial" w:cs="Arial" w:eastAsia="Arial" w:hAnsi="Arial"/>
                <w:sz w:val="14"/>
                <w:szCs w:val="14"/>
                <w:color w:val="auto"/>
              </w:rPr>
              <w:t>Davie, FL 33324</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Best Buy</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4"/>
          </w:tcPr>
          <w:p>
            <w:pPr>
              <w:ind w:left="40"/>
              <w:spacing w:after="0"/>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68"/>
        </w:trPr>
        <w:tc>
          <w:tcPr>
            <w:tcW w:w="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90"/>
                <w:shd w:val="clear" w:color="auto" w:fill="CCEEFF"/>
              </w:rPr>
              <w:t>Illinois</w:t>
            </w:r>
          </w:p>
        </w:tc>
        <w:tc>
          <w:tcPr>
            <w:tcW w:w="180" w:type="dxa"/>
            <w:vAlign w:val="bottom"/>
            <w:tcBorders>
              <w:bottom w:val="single" w:sz="8" w:color="CCEEFF"/>
            </w:tcBorders>
            <w:gridSpan w:val="2"/>
            <w:shd w:val="clear" w:color="auto" w:fill="CCEEFF"/>
          </w:tcPr>
          <w:p>
            <w:pPr>
              <w:spacing w:after="0"/>
              <w:rPr>
                <w:sz w:val="14"/>
                <w:szCs w:val="14"/>
                <w:color w:val="auto"/>
              </w:rPr>
            </w:pPr>
          </w:p>
        </w:tc>
        <w:tc>
          <w:tcPr>
            <w:tcW w:w="240" w:type="dxa"/>
            <w:vAlign w:val="bottom"/>
            <w:tcBorders>
              <w:bottom w:val="single" w:sz="8" w:color="CCEEFF"/>
            </w:tcBorders>
            <w:gridSpan w:val="2"/>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9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76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Crossroads</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1959</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1993</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168,000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$23.12</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99%</w:t>
            </w:r>
          </w:p>
        </w:tc>
        <w:tc>
          <w:tcPr>
            <w:tcW w:w="100" w:type="dxa"/>
            <w:vAlign w:val="bottom"/>
          </w:tcPr>
          <w:p>
            <w:pPr>
              <w:spacing w:after="0"/>
              <w:rPr>
                <w:sz w:val="13"/>
                <w:szCs w:val="13"/>
                <w:color w:val="auto"/>
              </w:rPr>
            </w:pPr>
          </w:p>
        </w:tc>
        <w:tc>
          <w:tcPr>
            <w:tcW w:w="262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48"/>
        </w:trPr>
        <w:tc>
          <w:tcPr>
            <w:tcW w:w="2760" w:type="dxa"/>
            <w:vAlign w:val="bottom"/>
            <w:gridSpan w:val="9"/>
          </w:tcPr>
          <w:p>
            <w:pPr>
              <w:ind w:left="40"/>
              <w:spacing w:after="0" w:line="149" w:lineRule="exact"/>
              <w:rPr>
                <w:sz w:val="20"/>
                <w:szCs w:val="20"/>
                <w:color w:val="auto"/>
              </w:rPr>
            </w:pPr>
            <w:r>
              <w:rPr>
                <w:rFonts w:ascii="Arial" w:cs="Arial" w:eastAsia="Arial" w:hAnsi="Arial"/>
                <w:sz w:val="14"/>
                <w:szCs w:val="14"/>
                <w:color w:val="auto"/>
              </w:rPr>
              <w:t>Highland Park, IL 60035</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Binny's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4"/>
          </w:tcPr>
          <w:p>
            <w:pPr>
              <w:ind w:left="40"/>
              <w:spacing w:after="0"/>
              <w:rPr>
                <w:sz w:val="20"/>
                <w:szCs w:val="20"/>
                <w:color w:val="auto"/>
              </w:rPr>
            </w:pPr>
            <w:r>
              <w:rPr>
                <w:rFonts w:ascii="Arial" w:cs="Arial" w:eastAsia="Arial" w:hAnsi="Arial"/>
                <w:sz w:val="14"/>
                <w:szCs w:val="14"/>
                <w:color w:val="auto"/>
              </w:rPr>
              <w:t>Guitar Center</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840" w:type="dxa"/>
            <w:vAlign w:val="bottom"/>
            <w:gridSpan w:val="5"/>
            <w:shd w:val="clear" w:color="auto" w:fill="CCEEFF"/>
          </w:tcPr>
          <w:p>
            <w:pPr>
              <w:spacing w:after="0"/>
              <w:rPr>
                <w:sz w:val="20"/>
                <w:szCs w:val="20"/>
                <w:color w:val="auto"/>
              </w:rPr>
            </w:pPr>
            <w:r>
              <w:rPr>
                <w:rFonts w:ascii="Arial" w:cs="Arial" w:eastAsia="Arial" w:hAnsi="Arial"/>
                <w:sz w:val="14"/>
                <w:szCs w:val="14"/>
                <w:color w:val="auto"/>
                <w:w w:val="94"/>
                <w:shd w:val="clear" w:color="auto" w:fill="CCEEFF"/>
              </w:rPr>
              <w:t>Finley Square</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1974</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1995</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278,000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$15.70</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87%</w:t>
            </w:r>
          </w:p>
        </w:tc>
        <w:tc>
          <w:tcPr>
            <w:tcW w:w="100" w:type="dxa"/>
            <w:vAlign w:val="bottom"/>
            <w:shd w:val="clear" w:color="auto" w:fill="CCEEFF"/>
          </w:tcPr>
          <w:p>
            <w:pPr>
              <w:spacing w:after="0"/>
              <w:rPr>
                <w:sz w:val="14"/>
                <w:szCs w:val="14"/>
                <w:color w:val="auto"/>
              </w:rPr>
            </w:pPr>
          </w:p>
        </w:tc>
        <w:tc>
          <w:tcPr>
            <w:tcW w:w="26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Bed, Bath &amp; Beyond</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260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Downers Grove, IL 60515</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Buy Buy Baby</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Petsmart Portillo's</w:t>
            </w:r>
          </w:p>
        </w:tc>
        <w:tc>
          <w:tcPr>
            <w:tcW w:w="0" w:type="dxa"/>
            <w:vAlign w:val="bottom"/>
          </w:tcPr>
          <w:p>
            <w:pPr>
              <w:spacing w:after="0"/>
              <w:rPr>
                <w:sz w:val="1"/>
                <w:szCs w:val="1"/>
                <w:color w:val="auto"/>
              </w:rPr>
            </w:pPr>
          </w:p>
        </w:tc>
      </w:tr>
      <w:tr>
        <w:trPr>
          <w:trHeight w:val="157"/>
        </w:trPr>
        <w:tc>
          <w:tcPr>
            <w:tcW w:w="276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Garden Market</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1958</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1994</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140,000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$13.26</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3"/>
                <w:szCs w:val="13"/>
                <w:color w:val="auto"/>
              </w:rPr>
            </w:pPr>
          </w:p>
        </w:tc>
        <w:tc>
          <w:tcPr>
            <w:tcW w:w="262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Mariano's Fresh Market</w:t>
            </w:r>
          </w:p>
        </w:tc>
        <w:tc>
          <w:tcPr>
            <w:tcW w:w="0" w:type="dxa"/>
            <w:vAlign w:val="bottom"/>
          </w:tcPr>
          <w:p>
            <w:pPr>
              <w:spacing w:after="0"/>
              <w:rPr>
                <w:sz w:val="1"/>
                <w:szCs w:val="1"/>
                <w:color w:val="auto"/>
              </w:rPr>
            </w:pPr>
          </w:p>
        </w:tc>
      </w:tr>
      <w:tr>
        <w:trPr>
          <w:trHeight w:val="188"/>
        </w:trPr>
        <w:tc>
          <w:tcPr>
            <w:tcW w:w="2760" w:type="dxa"/>
            <w:vAlign w:val="bottom"/>
            <w:gridSpan w:val="9"/>
          </w:tcPr>
          <w:p>
            <w:pPr>
              <w:ind w:left="40"/>
              <w:spacing w:after="0"/>
              <w:rPr>
                <w:sz w:val="20"/>
                <w:szCs w:val="20"/>
                <w:color w:val="auto"/>
              </w:rPr>
            </w:pPr>
            <w:r>
              <w:rPr>
                <w:rFonts w:ascii="Arial" w:cs="Arial" w:eastAsia="Arial" w:hAnsi="Arial"/>
                <w:sz w:val="14"/>
                <w:szCs w:val="14"/>
                <w:color w:val="auto"/>
              </w:rPr>
              <w:t>Western Springs, IL 60558</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4"/>
          </w:tcPr>
          <w:p>
            <w:pPr>
              <w:ind w:left="40"/>
              <w:spacing w:after="0"/>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1260" w:type="dxa"/>
            <w:vAlign w:val="bottom"/>
            <w:gridSpan w:val="6"/>
            <w:shd w:val="clear" w:color="auto" w:fill="CCEEFF"/>
          </w:tcPr>
          <w:p>
            <w:pPr>
              <w:spacing w:after="0"/>
              <w:rPr>
                <w:sz w:val="20"/>
                <w:szCs w:val="20"/>
                <w:color w:val="auto"/>
              </w:rPr>
            </w:pPr>
            <w:r>
              <w:rPr>
                <w:rFonts w:ascii="Arial" w:cs="Arial" w:eastAsia="Arial" w:hAnsi="Arial"/>
                <w:sz w:val="14"/>
                <w:szCs w:val="14"/>
                <w:color w:val="auto"/>
                <w:shd w:val="clear" w:color="auto" w:fill="CCEEFF"/>
              </w:rPr>
              <w:t>Riverpoint Center</w:t>
            </w: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1989, 2012</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211,000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$22.38</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96%</w:t>
            </w:r>
          </w:p>
        </w:tc>
        <w:tc>
          <w:tcPr>
            <w:tcW w:w="100" w:type="dxa"/>
            <w:vAlign w:val="bottom"/>
            <w:shd w:val="clear" w:color="auto" w:fill="CCEEFF"/>
          </w:tcPr>
          <w:p>
            <w:pPr>
              <w:spacing w:after="0"/>
              <w:rPr>
                <w:sz w:val="14"/>
                <w:szCs w:val="14"/>
                <w:color w:val="auto"/>
              </w:rPr>
            </w:pPr>
          </w:p>
        </w:tc>
        <w:tc>
          <w:tcPr>
            <w:tcW w:w="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w w:val="88"/>
                <w:shd w:val="clear" w:color="auto" w:fill="CCEEFF"/>
              </w:rPr>
              <w:t>Jewel Osco</w:t>
            </w:r>
          </w:p>
        </w:tc>
        <w:tc>
          <w:tcPr>
            <w:tcW w:w="1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126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Chicago, IL 60614</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Marshalls</w:t>
            </w:r>
          </w:p>
        </w:tc>
        <w:tc>
          <w:tcPr>
            <w:tcW w:w="1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Old Navy</w:t>
            </w:r>
          </w:p>
        </w:tc>
        <w:tc>
          <w:tcPr>
            <w:tcW w:w="19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60" w:type="dxa"/>
            <w:vAlign w:val="bottom"/>
            <w:gridSpan w:val="9"/>
          </w:tcPr>
          <w:p>
            <w:pPr>
              <w:ind w:left="40"/>
              <w:spacing w:after="0"/>
              <w:rPr>
                <w:sz w:val="20"/>
                <w:szCs w:val="20"/>
                <w:color w:val="auto"/>
              </w:rPr>
            </w:pPr>
            <w:r>
              <w:rPr>
                <w:rFonts w:ascii="Arial" w:cs="Arial" w:eastAsia="Arial" w:hAnsi="Arial"/>
                <w:sz w:val="14"/>
                <w:szCs w:val="14"/>
                <w:b w:val="1"/>
                <w:bCs w:val="1"/>
                <w:color w:val="auto"/>
              </w:rPr>
              <w:t>Maryland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40" w:type="dxa"/>
            <w:vAlign w:val="bottom"/>
            <w:shd w:val="clear" w:color="auto" w:fill="CCEEFF"/>
          </w:tcPr>
          <w:p>
            <w:pPr>
              <w:spacing w:after="0"/>
              <w:rPr>
                <w:sz w:val="13"/>
                <w:szCs w:val="13"/>
                <w:color w:val="auto"/>
              </w:rPr>
            </w:pPr>
          </w:p>
        </w:tc>
        <w:tc>
          <w:tcPr>
            <w:tcW w:w="840" w:type="dxa"/>
            <w:vAlign w:val="bottom"/>
            <w:gridSpan w:val="5"/>
            <w:shd w:val="clear" w:color="auto" w:fill="CCEEFF"/>
          </w:tcPr>
          <w:p>
            <w:pPr>
              <w:spacing w:after="0" w:line="157" w:lineRule="exact"/>
              <w:rPr>
                <w:sz w:val="20"/>
                <w:szCs w:val="20"/>
                <w:color w:val="auto"/>
              </w:rPr>
            </w:pPr>
            <w:r>
              <w:rPr>
                <w:rFonts w:ascii="Arial" w:cs="Arial" w:eastAsia="Arial" w:hAnsi="Arial"/>
                <w:sz w:val="14"/>
                <w:szCs w:val="14"/>
                <w:color w:val="auto"/>
                <w:w w:val="90"/>
                <w:shd w:val="clear" w:color="auto" w:fill="CCEEFF"/>
              </w:rPr>
              <w:t>Bethesda Row</w:t>
            </w:r>
          </w:p>
        </w:tc>
        <w:tc>
          <w:tcPr>
            <w:tcW w:w="1760" w:type="dxa"/>
            <w:vAlign w:val="bottom"/>
            <w:gridSpan w:val="2"/>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5"/>
              </w:rPr>
              <w:t>1945-1991</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5"/>
              </w:rPr>
              <w:t>1993-2006/</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534,000</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$51.05</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96%</w:t>
            </w:r>
          </w:p>
        </w:tc>
        <w:tc>
          <w:tcPr>
            <w:tcW w:w="100" w:type="dxa"/>
            <w:vAlign w:val="bottom"/>
            <w:shd w:val="clear" w:color="auto" w:fill="CCEEFF"/>
          </w:tcPr>
          <w:p>
            <w:pPr>
              <w:spacing w:after="0"/>
              <w:rPr>
                <w:sz w:val="13"/>
                <w:szCs w:val="13"/>
                <w:color w:val="auto"/>
              </w:rPr>
            </w:pPr>
          </w:p>
        </w:tc>
        <w:tc>
          <w:tcPr>
            <w:tcW w:w="700" w:type="dxa"/>
            <w:vAlign w:val="bottom"/>
            <w:gridSpan w:val="3"/>
            <w:shd w:val="clear" w:color="auto" w:fill="CCEEFF"/>
          </w:tcPr>
          <w:p>
            <w:pPr>
              <w:ind w:left="40"/>
              <w:spacing w:after="0" w:line="157" w:lineRule="exact"/>
              <w:rPr>
                <w:sz w:val="20"/>
                <w:szCs w:val="20"/>
                <w:color w:val="auto"/>
              </w:rPr>
            </w:pPr>
            <w:r>
              <w:rPr>
                <w:rFonts w:ascii="Arial" w:cs="Arial" w:eastAsia="Arial" w:hAnsi="Arial"/>
                <w:sz w:val="14"/>
                <w:szCs w:val="14"/>
                <w:color w:val="auto"/>
                <w:w w:val="92"/>
                <w:shd w:val="clear" w:color="auto" w:fill="CCEEFF"/>
              </w:rPr>
              <w:t>Giant Food</w:t>
            </w:r>
          </w:p>
        </w:tc>
        <w:tc>
          <w:tcPr>
            <w:tcW w:w="1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84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w w:val="92"/>
                <w:shd w:val="clear" w:color="auto" w:fill="CCEEFF"/>
              </w:rPr>
              <w:t>Bethesda, MD</w:t>
            </w:r>
          </w:p>
        </w:tc>
        <w:tc>
          <w:tcPr>
            <w:tcW w:w="1760" w:type="dxa"/>
            <w:vAlign w:val="bottom"/>
            <w:gridSpan w:val="2"/>
            <w:shd w:val="clear" w:color="auto" w:fill="CCEEFF"/>
          </w:tcPr>
          <w:p>
            <w:pPr>
              <w:jc w:val="right"/>
              <w:ind w:right="1220"/>
              <w:spacing w:after="0" w:line="149" w:lineRule="exact"/>
              <w:rPr>
                <w:sz w:val="20"/>
                <w:szCs w:val="20"/>
                <w:color w:val="auto"/>
              </w:rPr>
            </w:pPr>
            <w:r>
              <w:rPr>
                <w:rFonts w:ascii="Arial" w:cs="Arial" w:eastAsia="Arial" w:hAnsi="Arial"/>
                <w:sz w:val="14"/>
                <w:szCs w:val="14"/>
                <w:color w:val="auto"/>
                <w:w w:val="92"/>
                <w:shd w:val="clear" w:color="auto" w:fill="CCEEFF"/>
              </w:rPr>
              <w:t>20814(4)</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2001, 2008</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2008/2010</w:t>
            </w: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4"/>
                <w:shd w:val="clear" w:color="auto" w:fill="CCEEFF"/>
              </w:rPr>
              <w:t>Apple</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8"/>
                <w:shd w:val="clear" w:color="auto" w:fill="CCEEFF"/>
              </w:rPr>
              <w:t>Equinox</w:t>
            </w:r>
          </w:p>
        </w:tc>
        <w:tc>
          <w:tcPr>
            <w:tcW w:w="206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Multiple</w:t>
            </w:r>
          </w:p>
        </w:tc>
        <w:tc>
          <w:tcPr>
            <w:tcW w:w="2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Restaurants</w:t>
            </w:r>
          </w:p>
        </w:tc>
        <w:tc>
          <w:tcPr>
            <w:tcW w:w="0" w:type="dxa"/>
            <w:vAlign w:val="bottom"/>
          </w:tcPr>
          <w:p>
            <w:pPr>
              <w:spacing w:after="0"/>
              <w:rPr>
                <w:sz w:val="1"/>
                <w:szCs w:val="1"/>
                <w:color w:val="auto"/>
              </w:rPr>
            </w:pPr>
          </w:p>
        </w:tc>
      </w:tr>
      <w:tr>
        <w:trPr>
          <w:trHeight w:val="157"/>
        </w:trPr>
        <w:tc>
          <w:tcPr>
            <w:tcW w:w="276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Bethesda Row Residential</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2008</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1993</w:t>
            </w:r>
          </w:p>
        </w:tc>
        <w:tc>
          <w:tcPr>
            <w:tcW w:w="120" w:type="dxa"/>
            <w:vAlign w:val="bottom"/>
          </w:tcPr>
          <w:p>
            <w:pPr>
              <w:spacing w:after="0"/>
              <w:rPr>
                <w:sz w:val="13"/>
                <w:szCs w:val="13"/>
                <w:color w:val="auto"/>
              </w:rPr>
            </w:pPr>
          </w:p>
        </w:tc>
        <w:tc>
          <w:tcPr>
            <w:tcW w:w="1460" w:type="dxa"/>
            <w:vAlign w:val="bottom"/>
            <w:gridSpan w:val="2"/>
          </w:tcPr>
          <w:p>
            <w:pPr>
              <w:jc w:val="center"/>
              <w:ind w:right="60"/>
              <w:spacing w:after="0" w:line="157" w:lineRule="exact"/>
              <w:rPr>
                <w:sz w:val="20"/>
                <w:szCs w:val="20"/>
                <w:color w:val="auto"/>
              </w:rPr>
            </w:pPr>
            <w:r>
              <w:rPr>
                <w:rFonts w:ascii="Arial" w:cs="Arial" w:eastAsia="Arial" w:hAnsi="Arial"/>
                <w:sz w:val="14"/>
                <w:szCs w:val="14"/>
                <w:color w:val="auto"/>
                <w:w w:val="91"/>
              </w:rPr>
              <w:t>180 units</w:t>
            </w:r>
          </w:p>
        </w:tc>
        <w:tc>
          <w:tcPr>
            <w:tcW w:w="1240" w:type="dxa"/>
            <w:vAlign w:val="bottom"/>
            <w:gridSpan w:val="2"/>
          </w:tcPr>
          <w:p>
            <w:pPr>
              <w:jc w:val="center"/>
              <w:ind w:right="60"/>
              <w:spacing w:after="0" w:line="157" w:lineRule="exact"/>
              <w:rPr>
                <w:sz w:val="20"/>
                <w:szCs w:val="20"/>
                <w:color w:val="auto"/>
              </w:rPr>
            </w:pPr>
            <w:r>
              <w:rPr>
                <w:rFonts w:ascii="Arial" w:cs="Arial" w:eastAsia="Arial" w:hAnsi="Arial"/>
                <w:sz w:val="14"/>
                <w:szCs w:val="14"/>
                <w:color w:val="auto"/>
              </w:rPr>
              <w:t>N/A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60" w:type="dxa"/>
            <w:vAlign w:val="bottom"/>
            <w:gridSpan w:val="9"/>
          </w:tcPr>
          <w:p>
            <w:pPr>
              <w:ind w:left="40"/>
              <w:spacing w:after="0"/>
              <w:rPr>
                <w:sz w:val="20"/>
                <w:szCs w:val="20"/>
                <w:color w:val="auto"/>
              </w:rPr>
            </w:pPr>
            <w:r>
              <w:rPr>
                <w:rFonts w:ascii="Arial" w:cs="Arial" w:eastAsia="Arial" w:hAnsi="Arial"/>
                <w:sz w:val="14"/>
                <w:szCs w:val="14"/>
                <w:color w:val="auto"/>
              </w:rPr>
              <w:t>Bethesda, MD 20814</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6" w:right="2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4"/>
                <w:szCs w:val="14"/>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Square Feet(1)</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Average Rent</w:t>
            </w:r>
          </w:p>
        </w:tc>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20" w:type="dxa"/>
            <w:vAlign w:val="bottom"/>
            <w:vMerge w:val="restart"/>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Per Square</w:t>
            </w:r>
          </w:p>
        </w:tc>
        <w:tc>
          <w:tcPr>
            <w:tcW w:w="11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Completed</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/Apartment Units</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Foot(2)</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Leased(3)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640" w:type="dxa"/>
            <w:vAlign w:val="bottom"/>
            <w:gridSpan w:val="2"/>
            <w:shd w:val="clear" w:color="auto" w:fill="CCEEFF"/>
          </w:tcPr>
          <w:p>
            <w:pPr>
              <w:ind w:left="40"/>
              <w:spacing w:after="0" w:line="156" w:lineRule="exact"/>
              <w:rPr>
                <w:sz w:val="20"/>
                <w:szCs w:val="20"/>
                <w:color w:val="auto"/>
              </w:rPr>
            </w:pPr>
            <w:r>
              <w:rPr>
                <w:rFonts w:ascii="Arial" w:cs="Arial" w:eastAsia="Arial" w:hAnsi="Arial"/>
                <w:sz w:val="14"/>
                <w:szCs w:val="14"/>
                <w:color w:val="auto"/>
                <w:shd w:val="clear" w:color="auto" w:fill="CCEEFF"/>
              </w:rPr>
              <w:t>Congressional Plaza</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89"/>
              </w:rPr>
              <w:t>1965</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89"/>
              </w:rPr>
              <w:t>1965</w:t>
            </w:r>
          </w:p>
        </w:tc>
        <w:tc>
          <w:tcPr>
            <w:tcW w:w="1480" w:type="dxa"/>
            <w:vAlign w:val="bottom"/>
            <w:gridSpan w:val="2"/>
            <w:shd w:val="clear" w:color="auto" w:fill="CCEEFF"/>
          </w:tcPr>
          <w:p>
            <w:pPr>
              <w:jc w:val="center"/>
              <w:ind w:left="48"/>
              <w:spacing w:after="0" w:line="156" w:lineRule="exact"/>
              <w:rPr>
                <w:sz w:val="20"/>
                <w:szCs w:val="20"/>
                <w:color w:val="auto"/>
              </w:rPr>
            </w:pPr>
            <w:r>
              <w:rPr>
                <w:rFonts w:ascii="Arial" w:cs="Arial" w:eastAsia="Arial" w:hAnsi="Arial"/>
                <w:sz w:val="14"/>
                <w:szCs w:val="14"/>
                <w:color w:val="auto"/>
                <w:w w:val="94"/>
              </w:rPr>
              <w:t>325,000</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93"/>
              </w:rPr>
              <w:t>$41.07</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92"/>
              </w:rPr>
              <w:t>98%</w:t>
            </w:r>
          </w:p>
        </w:tc>
        <w:tc>
          <w:tcPr>
            <w:tcW w:w="100" w:type="dxa"/>
            <w:vAlign w:val="bottom"/>
            <w:shd w:val="clear" w:color="auto" w:fill="CCEEFF"/>
          </w:tcPr>
          <w:p>
            <w:pPr>
              <w:spacing w:after="0"/>
              <w:rPr>
                <w:sz w:val="13"/>
                <w:szCs w:val="13"/>
                <w:color w:val="auto"/>
              </w:rPr>
            </w:pPr>
          </w:p>
        </w:tc>
        <w:tc>
          <w:tcPr>
            <w:tcW w:w="2620" w:type="dxa"/>
            <w:vAlign w:val="bottom"/>
            <w:gridSpan w:val="7"/>
            <w:shd w:val="clear" w:color="auto" w:fill="CCEEFF"/>
          </w:tcPr>
          <w:p>
            <w:pPr>
              <w:ind w:left="40"/>
              <w:spacing w:after="0" w:line="156" w:lineRule="exact"/>
              <w:rPr>
                <w:sz w:val="20"/>
                <w:szCs w:val="20"/>
                <w:color w:val="auto"/>
              </w:rPr>
            </w:pPr>
            <w:r>
              <w:rPr>
                <w:rFonts w:ascii="Arial" w:cs="Arial" w:eastAsia="Arial" w:hAnsi="Arial"/>
                <w:sz w:val="14"/>
                <w:szCs w:val="14"/>
                <w:color w:val="auto"/>
                <w:shd w:val="clear" w:color="auto" w:fill="CCEEFF"/>
              </w:rPr>
              <w:t>The Fresh Market</w:t>
            </w:r>
          </w:p>
        </w:tc>
        <w:tc>
          <w:tcPr>
            <w:tcW w:w="0" w:type="dxa"/>
            <w:vAlign w:val="bottom"/>
          </w:tcPr>
          <w:p>
            <w:pPr>
              <w:spacing w:after="0"/>
              <w:rPr>
                <w:sz w:val="1"/>
                <w:szCs w:val="1"/>
                <w:color w:val="auto"/>
              </w:rPr>
            </w:pPr>
          </w:p>
        </w:tc>
      </w:tr>
      <w:tr>
        <w:trPr>
          <w:trHeight w:val="148"/>
        </w:trPr>
        <w:tc>
          <w:tcPr>
            <w:tcW w:w="26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Rockville, MD 20852(5)</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6"/>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Buy Buy Baby</w:t>
            </w:r>
          </w:p>
        </w:tc>
        <w:tc>
          <w:tcPr>
            <w:tcW w:w="1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gridSpan w:val="7"/>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Saks Fifth Avenue Off 5th</w:t>
            </w: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6"/>
            <w:shd w:val="clear" w:color="auto" w:fill="CCEEFF"/>
          </w:tcPr>
          <w:p>
            <w:pPr>
              <w:ind w:left="40"/>
              <w:spacing w:after="0" w:line="149" w:lineRule="exact"/>
              <w:rPr>
                <w:sz w:val="20"/>
                <w:szCs w:val="20"/>
                <w:color w:val="auto"/>
              </w:rPr>
            </w:pPr>
            <w:r>
              <w:rPr>
                <w:rFonts w:ascii="Arial" w:cs="Arial" w:eastAsia="Arial" w:hAnsi="Arial"/>
                <w:sz w:val="14"/>
                <w:szCs w:val="14"/>
                <w:color w:val="auto"/>
                <w:w w:val="91"/>
                <w:shd w:val="clear" w:color="auto" w:fill="CCEEFF"/>
              </w:rPr>
              <w:t>Container Store</w:t>
            </w:r>
          </w:p>
        </w:tc>
        <w:tc>
          <w:tcPr>
            <w:tcW w:w="1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4"/>
                <w:szCs w:val="14"/>
                <w:color w:val="auto"/>
                <w:w w:val="91"/>
                <w:shd w:val="clear" w:color="auto" w:fill="CCEEFF"/>
              </w:rPr>
              <w:t>Last Call Studio</w:t>
            </w:r>
          </w:p>
        </w:tc>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by Neiman Marcus</w:t>
            </w:r>
          </w:p>
        </w:tc>
        <w:tc>
          <w:tcPr>
            <w:tcW w:w="0" w:type="dxa"/>
            <w:vAlign w:val="bottom"/>
          </w:tcPr>
          <w:p>
            <w:pPr>
              <w:spacing w:after="0"/>
              <w:rPr>
                <w:sz w:val="1"/>
                <w:szCs w:val="1"/>
                <w:color w:val="auto"/>
              </w:rPr>
            </w:pPr>
          </w:p>
        </w:tc>
      </w:tr>
      <w:tr>
        <w:trPr>
          <w:trHeight w:val="157"/>
        </w:trPr>
        <w:tc>
          <w:tcPr>
            <w:tcW w:w="276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Congressional Plaza Residential</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2003, 2016</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1965</w:t>
            </w:r>
          </w:p>
        </w:tc>
        <w:tc>
          <w:tcPr>
            <w:tcW w:w="120" w:type="dxa"/>
            <w:vAlign w:val="bottom"/>
          </w:tcPr>
          <w:p>
            <w:pPr>
              <w:spacing w:after="0"/>
              <w:rPr>
                <w:sz w:val="13"/>
                <w:szCs w:val="13"/>
                <w:color w:val="auto"/>
              </w:rPr>
            </w:pPr>
          </w:p>
        </w:tc>
        <w:tc>
          <w:tcPr>
            <w:tcW w:w="1460" w:type="dxa"/>
            <w:vAlign w:val="bottom"/>
            <w:gridSpan w:val="2"/>
          </w:tcPr>
          <w:p>
            <w:pPr>
              <w:jc w:val="center"/>
              <w:ind w:right="60"/>
              <w:spacing w:after="0" w:line="157" w:lineRule="exact"/>
              <w:rPr>
                <w:sz w:val="20"/>
                <w:szCs w:val="20"/>
                <w:color w:val="auto"/>
              </w:rPr>
            </w:pPr>
            <w:r>
              <w:rPr>
                <w:rFonts w:ascii="Arial" w:cs="Arial" w:eastAsia="Arial" w:hAnsi="Arial"/>
                <w:sz w:val="14"/>
                <w:szCs w:val="14"/>
                <w:color w:val="auto"/>
                <w:w w:val="91"/>
              </w:rPr>
              <w:t>194 units</w:t>
            </w:r>
          </w:p>
        </w:tc>
        <w:tc>
          <w:tcPr>
            <w:tcW w:w="1240" w:type="dxa"/>
            <w:vAlign w:val="bottom"/>
            <w:gridSpan w:val="2"/>
          </w:tcPr>
          <w:p>
            <w:pPr>
              <w:jc w:val="center"/>
              <w:ind w:right="60"/>
              <w:spacing w:after="0" w:line="157" w:lineRule="exact"/>
              <w:rPr>
                <w:sz w:val="20"/>
                <w:szCs w:val="20"/>
                <w:color w:val="auto"/>
              </w:rPr>
            </w:pPr>
            <w:r>
              <w:rPr>
                <w:rFonts w:ascii="Arial" w:cs="Arial" w:eastAsia="Arial" w:hAnsi="Arial"/>
                <w:sz w:val="14"/>
                <w:szCs w:val="14"/>
                <w:color w:val="auto"/>
              </w:rPr>
              <w:t>N/A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60" w:type="dxa"/>
            <w:vAlign w:val="bottom"/>
            <w:gridSpan w:val="3"/>
          </w:tcPr>
          <w:p>
            <w:pPr>
              <w:ind w:left="40"/>
              <w:spacing w:after="0"/>
              <w:rPr>
                <w:sz w:val="20"/>
                <w:szCs w:val="20"/>
                <w:color w:val="auto"/>
              </w:rPr>
            </w:pPr>
            <w:r>
              <w:rPr>
                <w:rFonts w:ascii="Arial" w:cs="Arial" w:eastAsia="Arial" w:hAnsi="Arial"/>
                <w:sz w:val="14"/>
                <w:szCs w:val="14"/>
                <w:color w:val="auto"/>
              </w:rPr>
              <w:t>Rockville, MD 20852(5)</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1"/>
                <w:shd w:val="clear" w:color="auto" w:fill="CCEEFF"/>
              </w:rPr>
              <w:t>Courthouse Center</w:t>
            </w: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1975</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1997</w:t>
            </w:r>
          </w:p>
        </w:tc>
        <w:tc>
          <w:tcPr>
            <w:tcW w:w="14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3"/>
              </w:rPr>
              <w:t>36,000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$23.08</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Rockville, MD 20852</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Federal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1970</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1989</w:t>
            </w:r>
          </w:p>
        </w:tc>
        <w:tc>
          <w:tcPr>
            <w:tcW w:w="148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4"/>
              </w:rPr>
              <w:t>249,000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$36.50</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99%</w:t>
            </w:r>
          </w:p>
        </w:tc>
        <w:tc>
          <w:tcPr>
            <w:tcW w:w="100" w:type="dxa"/>
            <w:vAlign w:val="bottom"/>
          </w:tcPr>
          <w:p>
            <w:pPr>
              <w:spacing w:after="0"/>
              <w:rPr>
                <w:sz w:val="13"/>
                <w:szCs w:val="13"/>
                <w:color w:val="auto"/>
              </w:rPr>
            </w:pPr>
          </w:p>
        </w:tc>
        <w:tc>
          <w:tcPr>
            <w:tcW w:w="262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48"/>
        </w:trPr>
        <w:tc>
          <w:tcPr>
            <w:tcW w:w="27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Rockville, MD 20852</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7"/>
          </w:tcPr>
          <w:p>
            <w:pPr>
              <w:ind w:left="4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7"/>
          </w:tcPr>
          <w:p>
            <w:pPr>
              <w:ind w:left="40"/>
              <w:spacing w:after="0" w:line="149" w:lineRule="exact"/>
              <w:rPr>
                <w:sz w:val="20"/>
                <w:szCs w:val="20"/>
                <w:color w:val="auto"/>
              </w:rPr>
            </w:pPr>
            <w:r>
              <w:rPr>
                <w:rFonts w:ascii="Arial" w:cs="Arial" w:eastAsia="Arial" w:hAnsi="Arial"/>
                <w:sz w:val="14"/>
                <w:szCs w:val="14"/>
                <w:color w:val="auto"/>
              </w:rPr>
              <w:t>Micro Center</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7"/>
          </w:tcPr>
          <w:p>
            <w:pPr>
              <w:ind w:left="40"/>
              <w:spacing w:after="0"/>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63"/>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Free State Shopping Center</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1970</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2007</w:t>
            </w:r>
          </w:p>
        </w:tc>
        <w:tc>
          <w:tcPr>
            <w:tcW w:w="14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4"/>
              </w:rPr>
              <w:t>264,000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$17.57</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92%</w:t>
            </w:r>
          </w:p>
        </w:tc>
        <w:tc>
          <w:tcPr>
            <w:tcW w:w="100" w:type="dxa"/>
            <w:vAlign w:val="bottom"/>
            <w:shd w:val="clear" w:color="auto" w:fill="CCEEFF"/>
          </w:tcPr>
          <w:p>
            <w:pPr>
              <w:spacing w:after="0"/>
              <w:rPr>
                <w:sz w:val="14"/>
                <w:szCs w:val="14"/>
                <w:color w:val="auto"/>
              </w:rPr>
            </w:pPr>
          </w:p>
        </w:tc>
        <w:tc>
          <w:tcPr>
            <w:tcW w:w="72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w w:val="95"/>
                <w:shd w:val="clear" w:color="auto" w:fill="CCEEFF"/>
              </w:rPr>
              <w:t>Giant Food</w:t>
            </w:r>
          </w:p>
        </w:tc>
        <w:tc>
          <w:tcPr>
            <w:tcW w:w="2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7"/>
                <w:shd w:val="clear" w:color="auto" w:fill="CCEEFF"/>
              </w:rPr>
              <w:t>Bowie, MD 20715</w:t>
            </w:r>
          </w:p>
        </w:tc>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TJ Maxx</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gridSpan w:val="7"/>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Ross Dress For Less</w:t>
            </w:r>
          </w:p>
        </w:tc>
        <w:tc>
          <w:tcPr>
            <w:tcW w:w="0" w:type="dxa"/>
            <w:vAlign w:val="bottom"/>
          </w:tcPr>
          <w:p>
            <w:pPr>
              <w:spacing w:after="0"/>
              <w:rPr>
                <w:sz w:val="1"/>
                <w:szCs w:val="1"/>
                <w:color w:val="auto"/>
              </w:rPr>
            </w:pPr>
          </w:p>
        </w:tc>
      </w:tr>
      <w:tr>
        <w:trPr>
          <w:trHeight w:val="174"/>
        </w:trPr>
        <w:tc>
          <w:tcPr>
            <w:tcW w:w="11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Office Depot</w:t>
            </w:r>
          </w:p>
        </w:tc>
        <w:tc>
          <w:tcPr>
            <w:tcW w:w="16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Gaithersburg Square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1966</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1993</w:t>
            </w:r>
          </w:p>
        </w:tc>
        <w:tc>
          <w:tcPr>
            <w:tcW w:w="148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4"/>
              </w:rPr>
              <w:t>207,000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$27.98</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96%</w:t>
            </w:r>
          </w:p>
        </w:tc>
        <w:tc>
          <w:tcPr>
            <w:tcW w:w="100" w:type="dxa"/>
            <w:vAlign w:val="bottom"/>
          </w:tcPr>
          <w:p>
            <w:pPr>
              <w:spacing w:after="0"/>
              <w:rPr>
                <w:sz w:val="13"/>
                <w:szCs w:val="13"/>
                <w:color w:val="auto"/>
              </w:rPr>
            </w:pPr>
          </w:p>
        </w:tc>
        <w:tc>
          <w:tcPr>
            <w:tcW w:w="262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8"/>
        </w:trPr>
        <w:tc>
          <w:tcPr>
            <w:tcW w:w="27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Gaithersburg, MD 20878</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7"/>
          </w:tcPr>
          <w:p>
            <w:pPr>
              <w:ind w:left="40"/>
              <w:spacing w:after="0" w:line="149"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7"/>
          </w:tcPr>
          <w:p>
            <w:pPr>
              <w:ind w:left="40"/>
              <w:spacing w:after="0"/>
              <w:rPr>
                <w:sz w:val="20"/>
                <w:szCs w:val="20"/>
                <w:color w:val="auto"/>
              </w:rPr>
            </w:pPr>
            <w:r>
              <w:rPr>
                <w:rFonts w:ascii="Arial" w:cs="Arial" w:eastAsia="Arial" w:hAnsi="Arial"/>
                <w:sz w:val="14"/>
                <w:szCs w:val="14"/>
                <w:color w:val="auto"/>
              </w:rPr>
              <w:t>Ashley Furniture HomeStore</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Governor Plaza</w:t>
            </w: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1963</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1985</w:t>
            </w:r>
          </w:p>
        </w:tc>
        <w:tc>
          <w:tcPr>
            <w:tcW w:w="14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4"/>
              </w:rPr>
              <w:t>242,000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$19.44</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shd w:val="clear" w:color="auto" w:fill="CCEEFF"/>
              </w:rPr>
              <w:t>Aldi</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Glen Burnie, MD 21961</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gridSpan w:val="7"/>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Dick's Sporting Goods</w:t>
            </w:r>
          </w:p>
        </w:tc>
        <w:tc>
          <w:tcPr>
            <w:tcW w:w="0" w:type="dxa"/>
            <w:vAlign w:val="bottom"/>
          </w:tcPr>
          <w:p>
            <w:pPr>
              <w:spacing w:after="0"/>
              <w:rPr>
                <w:sz w:val="1"/>
                <w:szCs w:val="1"/>
                <w:color w:val="auto"/>
              </w:rPr>
            </w:pPr>
          </w:p>
        </w:tc>
      </w:tr>
      <w:tr>
        <w:trPr>
          <w:trHeight w:val="174"/>
        </w:trPr>
        <w:tc>
          <w:tcPr>
            <w:tcW w:w="11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4"/>
                <w:szCs w:val="14"/>
                <w:color w:val="auto"/>
                <w:w w:val="93"/>
                <w:shd w:val="clear" w:color="auto" w:fill="CCEEFF"/>
              </w:rPr>
              <w:t>A.C. Moore</w:t>
            </w:r>
          </w:p>
        </w:tc>
        <w:tc>
          <w:tcPr>
            <w:tcW w:w="24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Laurel</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1956</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1986</w:t>
            </w:r>
          </w:p>
        </w:tc>
        <w:tc>
          <w:tcPr>
            <w:tcW w:w="148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4"/>
              </w:rPr>
              <w:t>389,000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$22.54</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87%</w:t>
            </w:r>
          </w:p>
        </w:tc>
        <w:tc>
          <w:tcPr>
            <w:tcW w:w="100" w:type="dxa"/>
            <w:vAlign w:val="bottom"/>
          </w:tcPr>
          <w:p>
            <w:pPr>
              <w:spacing w:after="0"/>
              <w:rPr>
                <w:sz w:val="13"/>
                <w:szCs w:val="13"/>
                <w:color w:val="auto"/>
              </w:rPr>
            </w:pPr>
          </w:p>
        </w:tc>
        <w:tc>
          <w:tcPr>
            <w:tcW w:w="262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8"/>
        </w:trPr>
        <w:tc>
          <w:tcPr>
            <w:tcW w:w="27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Laurel, MD 20707</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7"/>
          </w:tcPr>
          <w:p>
            <w:pPr>
              <w:ind w:left="40"/>
              <w:spacing w:after="0" w:line="14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7"/>
          </w:tcPr>
          <w:p>
            <w:pPr>
              <w:ind w:left="4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1"/>
                <w:shd w:val="clear" w:color="auto" w:fill="CCEEFF"/>
              </w:rPr>
              <w:t>Montrose Crossing</w:t>
            </w: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1960-1979,</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2011/2013</w:t>
            </w:r>
          </w:p>
        </w:tc>
        <w:tc>
          <w:tcPr>
            <w:tcW w:w="14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4"/>
              </w:rPr>
              <w:t>364,000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$30.33</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94%</w:t>
            </w:r>
          </w:p>
        </w:tc>
        <w:tc>
          <w:tcPr>
            <w:tcW w:w="100" w:type="dxa"/>
            <w:vAlign w:val="bottom"/>
            <w:shd w:val="clear" w:color="auto" w:fill="CCEEFF"/>
          </w:tcPr>
          <w:p>
            <w:pPr>
              <w:spacing w:after="0"/>
              <w:rPr>
                <w:sz w:val="14"/>
                <w:szCs w:val="14"/>
                <w:color w:val="auto"/>
              </w:rPr>
            </w:pPr>
          </w:p>
        </w:tc>
        <w:tc>
          <w:tcPr>
            <w:tcW w:w="72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w w:val="95"/>
                <w:shd w:val="clear" w:color="auto" w:fill="CCEEFF"/>
              </w:rPr>
              <w:t>Giant Food</w:t>
            </w:r>
          </w:p>
        </w:tc>
        <w:tc>
          <w:tcPr>
            <w:tcW w:w="2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Rockville, MD 20852(5)(8)</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1996, 2011</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w w:val="90"/>
              </w:rPr>
              <w:t>Marshalls</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w w:val="93"/>
              </w:rPr>
              <w:t>Old Navy</w:t>
            </w:r>
          </w:p>
        </w:tc>
        <w:tc>
          <w:tcPr>
            <w:tcW w:w="360" w:type="dxa"/>
            <w:vAlign w:val="bottom"/>
            <w:gridSpan w:val="2"/>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w w:val="93"/>
                <w:shd w:val="clear" w:color="auto" w:fill="CCEEFF"/>
              </w:rPr>
              <w:t>Barnes &amp;</w:t>
            </w:r>
          </w:p>
        </w:tc>
        <w:tc>
          <w:tcPr>
            <w:tcW w:w="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87"/>
                <w:shd w:val="clear" w:color="auto" w:fill="CCEEFF"/>
              </w:rPr>
              <w:t>Noble</w:t>
            </w:r>
          </w:p>
        </w:tc>
        <w:tc>
          <w:tcPr>
            <w:tcW w:w="1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4"/>
                <w:szCs w:val="14"/>
                <w:color w:val="auto"/>
                <w:w w:val="96"/>
                <w:shd w:val="clear" w:color="auto" w:fill="CCEEFF"/>
              </w:rPr>
              <w:t>Bob's Discount</w:t>
            </w:r>
          </w:p>
        </w:tc>
        <w:tc>
          <w:tcPr>
            <w:tcW w:w="1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Furniture</w:t>
            </w:r>
          </w:p>
        </w:tc>
        <w:tc>
          <w:tcPr>
            <w:tcW w:w="0" w:type="dxa"/>
            <w:vAlign w:val="bottom"/>
          </w:tcPr>
          <w:p>
            <w:pPr>
              <w:spacing w:after="0"/>
              <w:rPr>
                <w:sz w:val="1"/>
                <w:szCs w:val="1"/>
                <w:color w:val="auto"/>
              </w:rPr>
            </w:pPr>
          </w:p>
        </w:tc>
      </w:tr>
      <w:tr>
        <w:trPr>
          <w:trHeight w:val="157"/>
        </w:trPr>
        <w:tc>
          <w:tcPr>
            <w:tcW w:w="276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Perring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1963</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1985</w:t>
            </w:r>
          </w:p>
        </w:tc>
        <w:tc>
          <w:tcPr>
            <w:tcW w:w="148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4"/>
              </w:rPr>
              <w:t>396,000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$14.63</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3"/>
                <w:szCs w:val="13"/>
                <w:color w:val="auto"/>
              </w:rPr>
            </w:pPr>
          </w:p>
        </w:tc>
        <w:tc>
          <w:tcPr>
            <w:tcW w:w="262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Shoppers Food Warehouse</w:t>
            </w:r>
          </w:p>
        </w:tc>
        <w:tc>
          <w:tcPr>
            <w:tcW w:w="0" w:type="dxa"/>
            <w:vAlign w:val="bottom"/>
          </w:tcPr>
          <w:p>
            <w:pPr>
              <w:spacing w:after="0"/>
              <w:rPr>
                <w:sz w:val="1"/>
                <w:szCs w:val="1"/>
                <w:color w:val="auto"/>
              </w:rPr>
            </w:pPr>
          </w:p>
        </w:tc>
      </w:tr>
      <w:tr>
        <w:trPr>
          <w:trHeight w:val="148"/>
        </w:trPr>
        <w:tc>
          <w:tcPr>
            <w:tcW w:w="27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Baltimore, MD 21134</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7"/>
          </w:tcPr>
          <w:p>
            <w:pPr>
              <w:ind w:left="40"/>
              <w:spacing w:after="0" w:line="149"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7"/>
          </w:tcPr>
          <w:p>
            <w:pPr>
              <w:ind w:left="40"/>
              <w:spacing w:after="0" w:line="149" w:lineRule="exact"/>
              <w:rPr>
                <w:sz w:val="20"/>
                <w:szCs w:val="20"/>
                <w:color w:val="auto"/>
              </w:rPr>
            </w:pPr>
            <w:r>
              <w:rPr>
                <w:rFonts w:ascii="Arial" w:cs="Arial" w:eastAsia="Arial" w:hAnsi="Arial"/>
                <w:sz w:val="14"/>
                <w:szCs w:val="14"/>
                <w:color w:val="auto"/>
              </w:rPr>
              <w:t>Micro Center</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7"/>
          </w:tcPr>
          <w:p>
            <w:pPr>
              <w:ind w:left="40"/>
              <w:spacing w:after="0"/>
              <w:rPr>
                <w:sz w:val="20"/>
                <w:szCs w:val="20"/>
                <w:color w:val="auto"/>
              </w:rPr>
            </w:pPr>
            <w:r>
              <w:rPr>
                <w:rFonts w:ascii="Arial" w:cs="Arial" w:eastAsia="Arial" w:hAnsi="Arial"/>
                <w:sz w:val="14"/>
                <w:szCs w:val="14"/>
                <w:color w:val="auto"/>
              </w:rPr>
              <w:t>Burlington</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Pike &amp; Rose</w:t>
            </w: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1963, 2014</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1982/2007/</w:t>
            </w:r>
          </w:p>
        </w:tc>
        <w:tc>
          <w:tcPr>
            <w:tcW w:w="14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4"/>
              </w:rPr>
              <w:t>402,000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$36.81</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00" w:type="dxa"/>
            <w:vAlign w:val="bottom"/>
            <w:shd w:val="clear" w:color="auto" w:fill="CCEEFF"/>
          </w:tcPr>
          <w:p>
            <w:pPr>
              <w:spacing w:after="0"/>
              <w:rPr>
                <w:sz w:val="14"/>
                <w:szCs w:val="14"/>
                <w:color w:val="auto"/>
              </w:rPr>
            </w:pPr>
          </w:p>
        </w:tc>
        <w:tc>
          <w:tcPr>
            <w:tcW w:w="96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iPic Theater</w:t>
            </w: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North Bethesda, MD 20852(10)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2012</w:t>
            </w: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Porsche</w:t>
            </w:r>
          </w:p>
        </w:tc>
        <w:tc>
          <w:tcPr>
            <w:tcW w:w="360" w:type="dxa"/>
            <w:vAlign w:val="bottom"/>
            <w:gridSpan w:val="2"/>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H&amp;M</w:t>
            </w:r>
          </w:p>
        </w:tc>
        <w:tc>
          <w:tcPr>
            <w:tcW w:w="200" w:type="dxa"/>
            <w:vAlign w:val="bottom"/>
            <w:shd w:val="clear" w:color="auto" w:fill="CCEEFF"/>
          </w:tcPr>
          <w:p>
            <w:pPr>
              <w:spacing w:after="0"/>
              <w:rPr>
                <w:sz w:val="12"/>
                <w:szCs w:val="12"/>
                <w:color w:val="auto"/>
              </w:rPr>
            </w:pPr>
          </w:p>
        </w:tc>
        <w:tc>
          <w:tcPr>
            <w:tcW w:w="2020" w:type="dxa"/>
            <w:vAlign w:val="bottom"/>
            <w:gridSpan w:val="3"/>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4"/>
                <w:shd w:val="clear" w:color="auto" w:fill="CCEEFF"/>
              </w:rPr>
              <w:t>REI</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20" w:type="dxa"/>
            <w:vAlign w:val="bottom"/>
            <w:gridSpan w:val="4"/>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Pinstripes Multiple Restaurants</w:t>
            </w:r>
          </w:p>
        </w:tc>
        <w:tc>
          <w:tcPr>
            <w:tcW w:w="0" w:type="dxa"/>
            <w:vAlign w:val="bottom"/>
          </w:tcPr>
          <w:p>
            <w:pPr>
              <w:spacing w:after="0"/>
              <w:rPr>
                <w:sz w:val="1"/>
                <w:szCs w:val="1"/>
                <w:color w:val="auto"/>
              </w:rPr>
            </w:pPr>
          </w:p>
        </w:tc>
      </w:tr>
      <w:tr>
        <w:trPr>
          <w:trHeight w:val="157"/>
        </w:trPr>
        <w:tc>
          <w:tcPr>
            <w:tcW w:w="276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Pike &amp; Rose Residential</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2014, 2016</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0"/>
              </w:rPr>
              <w:t>1982/2007</w:t>
            </w:r>
          </w:p>
        </w:tc>
        <w:tc>
          <w:tcPr>
            <w:tcW w:w="120" w:type="dxa"/>
            <w:vAlign w:val="bottom"/>
          </w:tcPr>
          <w:p>
            <w:pPr>
              <w:spacing w:after="0"/>
              <w:rPr>
                <w:sz w:val="13"/>
                <w:szCs w:val="13"/>
                <w:color w:val="auto"/>
              </w:rPr>
            </w:pPr>
          </w:p>
        </w:tc>
        <w:tc>
          <w:tcPr>
            <w:tcW w:w="1460" w:type="dxa"/>
            <w:vAlign w:val="bottom"/>
            <w:gridSpan w:val="2"/>
          </w:tcPr>
          <w:p>
            <w:pPr>
              <w:jc w:val="center"/>
              <w:ind w:right="60"/>
              <w:spacing w:after="0" w:line="157" w:lineRule="exact"/>
              <w:rPr>
                <w:sz w:val="20"/>
                <w:szCs w:val="20"/>
                <w:color w:val="auto"/>
              </w:rPr>
            </w:pPr>
            <w:r>
              <w:rPr>
                <w:rFonts w:ascii="Arial" w:cs="Arial" w:eastAsia="Arial" w:hAnsi="Arial"/>
                <w:sz w:val="14"/>
                <w:szCs w:val="14"/>
                <w:color w:val="auto"/>
                <w:w w:val="91"/>
              </w:rPr>
              <w:t>690 units</w:t>
            </w:r>
          </w:p>
        </w:tc>
        <w:tc>
          <w:tcPr>
            <w:tcW w:w="1240" w:type="dxa"/>
            <w:vAlign w:val="bottom"/>
            <w:gridSpan w:val="2"/>
          </w:tcPr>
          <w:p>
            <w:pPr>
              <w:jc w:val="center"/>
              <w:ind w:right="60"/>
              <w:spacing w:after="0" w:line="157" w:lineRule="exact"/>
              <w:rPr>
                <w:sz w:val="20"/>
                <w:szCs w:val="20"/>
                <w:color w:val="auto"/>
              </w:rPr>
            </w:pPr>
            <w:r>
              <w:rPr>
                <w:rFonts w:ascii="Arial" w:cs="Arial" w:eastAsia="Arial" w:hAnsi="Arial"/>
                <w:sz w:val="14"/>
                <w:szCs w:val="14"/>
                <w:color w:val="auto"/>
              </w:rPr>
              <w:t>N/A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60" w:type="dxa"/>
            <w:vAlign w:val="bottom"/>
            <w:gridSpan w:val="3"/>
          </w:tcPr>
          <w:p>
            <w:pPr>
              <w:ind w:left="40"/>
              <w:spacing w:after="0"/>
              <w:rPr>
                <w:sz w:val="20"/>
                <w:szCs w:val="20"/>
                <w:color w:val="auto"/>
              </w:rPr>
            </w:pPr>
            <w:r>
              <w:rPr>
                <w:rFonts w:ascii="Arial" w:cs="Arial" w:eastAsia="Arial" w:hAnsi="Arial"/>
                <w:sz w:val="14"/>
                <w:szCs w:val="14"/>
                <w:color w:val="auto"/>
              </w:rPr>
              <w:t>North Bethesda, MD 20852(10)</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1"/>
                <w:shd w:val="clear" w:color="auto" w:fill="CCEEFF"/>
              </w:rPr>
              <w:t>Plaza Del Mercado</w:t>
            </w: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1969</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4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4"/>
              </w:rPr>
              <w:t>117,000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$30.30</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shd w:val="clear" w:color="auto" w:fill="CCEEFF"/>
              </w:rPr>
              <w:t>Aldi</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20" w:type="dxa"/>
            <w:vAlign w:val="bottom"/>
            <w:gridSpan w:val="4"/>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9"/>
                <w:shd w:val="clear" w:color="auto" w:fill="CCEEFF"/>
              </w:rPr>
              <w:t>Silver Spring, MD</w:t>
            </w:r>
          </w:p>
        </w:tc>
        <w:tc>
          <w:tcPr>
            <w:tcW w:w="1500" w:type="dxa"/>
            <w:vAlign w:val="bottom"/>
            <w:shd w:val="clear" w:color="auto" w:fill="CCEEFF"/>
          </w:tcPr>
          <w:p>
            <w:pPr>
              <w:jc w:val="right"/>
              <w:ind w:right="1068"/>
              <w:spacing w:after="0" w:line="149" w:lineRule="exact"/>
              <w:rPr>
                <w:sz w:val="20"/>
                <w:szCs w:val="20"/>
                <w:color w:val="auto"/>
              </w:rPr>
            </w:pPr>
            <w:r>
              <w:rPr>
                <w:rFonts w:ascii="Arial" w:cs="Arial" w:eastAsia="Arial" w:hAnsi="Arial"/>
                <w:sz w:val="14"/>
                <w:szCs w:val="14"/>
                <w:color w:val="auto"/>
                <w:w w:val="87"/>
                <w:shd w:val="clear" w:color="auto" w:fill="CCEEFF"/>
              </w:rPr>
              <w:t>20906</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shd w:val="clear" w:color="auto" w:fill="CCEEFF"/>
              </w:rPr>
              <w:t>CVS</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20" w:type="dxa"/>
            <w:vAlign w:val="bottom"/>
            <w:gridSpan w:val="4"/>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L.A.</w:t>
            </w:r>
          </w:p>
        </w:tc>
        <w:tc>
          <w:tcPr>
            <w:tcW w:w="6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shd w:val="clear" w:color="auto" w:fill="CCEEFF"/>
              </w:rPr>
              <w:t>Fitness</w:t>
            </w:r>
          </w:p>
        </w:tc>
        <w:tc>
          <w:tcPr>
            <w:tcW w:w="16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Quince Orchard</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1975</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1993</w:t>
            </w:r>
          </w:p>
        </w:tc>
        <w:tc>
          <w:tcPr>
            <w:tcW w:w="148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4"/>
              </w:rPr>
              <w:t>267,000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$23.21</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96%</w:t>
            </w:r>
          </w:p>
        </w:tc>
        <w:tc>
          <w:tcPr>
            <w:tcW w:w="100" w:type="dxa"/>
            <w:vAlign w:val="bottom"/>
          </w:tcPr>
          <w:p>
            <w:pPr>
              <w:spacing w:after="0"/>
              <w:rPr>
                <w:sz w:val="13"/>
                <w:szCs w:val="13"/>
                <w:color w:val="auto"/>
              </w:rPr>
            </w:pPr>
          </w:p>
        </w:tc>
        <w:tc>
          <w:tcPr>
            <w:tcW w:w="262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Aldi</w:t>
            </w:r>
          </w:p>
        </w:tc>
        <w:tc>
          <w:tcPr>
            <w:tcW w:w="0" w:type="dxa"/>
            <w:vAlign w:val="bottom"/>
          </w:tcPr>
          <w:p>
            <w:pPr>
              <w:spacing w:after="0"/>
              <w:rPr>
                <w:sz w:val="1"/>
                <w:szCs w:val="1"/>
                <w:color w:val="auto"/>
              </w:rPr>
            </w:pPr>
          </w:p>
        </w:tc>
      </w:tr>
      <w:tr>
        <w:trPr>
          <w:trHeight w:val="148"/>
        </w:trPr>
        <w:tc>
          <w:tcPr>
            <w:tcW w:w="27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Gaithersburg, MD 20877(4)</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7"/>
          </w:tcPr>
          <w:p>
            <w:pPr>
              <w:ind w:left="40"/>
              <w:spacing w:after="0" w:line="149"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7"/>
          </w:tcPr>
          <w:p>
            <w:pPr>
              <w:ind w:left="40"/>
              <w:spacing w:after="0" w:line="149"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7"/>
          </w:tcPr>
          <w:p>
            <w:pPr>
              <w:ind w:left="40"/>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63"/>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Rockville Town Square</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2006-2007</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2006/2007</w:t>
            </w:r>
          </w:p>
        </w:tc>
        <w:tc>
          <w:tcPr>
            <w:tcW w:w="14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4"/>
              </w:rPr>
              <w:t>187,000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$27.93</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94%</w:t>
            </w:r>
          </w:p>
        </w:tc>
        <w:tc>
          <w:tcPr>
            <w:tcW w:w="100" w:type="dxa"/>
            <w:vAlign w:val="bottom"/>
            <w:shd w:val="clear" w:color="auto" w:fill="CCEEFF"/>
          </w:tcPr>
          <w:p>
            <w:pPr>
              <w:spacing w:after="0"/>
              <w:rPr>
                <w:sz w:val="14"/>
                <w:szCs w:val="14"/>
                <w:color w:val="auto"/>
              </w:rPr>
            </w:pPr>
          </w:p>
        </w:tc>
        <w:tc>
          <w:tcPr>
            <w:tcW w:w="262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Dawson's Market</w:t>
            </w:r>
          </w:p>
        </w:tc>
        <w:tc>
          <w:tcPr>
            <w:tcW w:w="0" w:type="dxa"/>
            <w:vAlign w:val="bottom"/>
          </w:tcPr>
          <w:p>
            <w:pPr>
              <w:spacing w:after="0"/>
              <w:rPr>
                <w:sz w:val="1"/>
                <w:szCs w:val="1"/>
                <w:color w:val="auto"/>
              </w:rPr>
            </w:pPr>
          </w:p>
        </w:tc>
      </w:tr>
      <w:tr>
        <w:trPr>
          <w:trHeight w:val="148"/>
        </w:trPr>
        <w:tc>
          <w:tcPr>
            <w:tcW w:w="26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Rockville, MD 20852(4)</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0"/>
                <w:shd w:val="clear" w:color="auto" w:fill="CCEEFF"/>
              </w:rPr>
              <w:t>CVS</w:t>
            </w:r>
          </w:p>
        </w:tc>
        <w:tc>
          <w:tcPr>
            <w:tcW w:w="80" w:type="dxa"/>
            <w:vAlign w:val="bottom"/>
            <w:shd w:val="clear" w:color="auto" w:fill="CCEEFF"/>
          </w:tcPr>
          <w:p>
            <w:pPr>
              <w:spacing w:after="0"/>
              <w:rPr>
                <w:sz w:val="12"/>
                <w:szCs w:val="12"/>
                <w:color w:val="auto"/>
              </w:rPr>
            </w:pPr>
          </w:p>
        </w:tc>
        <w:tc>
          <w:tcPr>
            <w:tcW w:w="2220" w:type="dxa"/>
            <w:vAlign w:val="bottom"/>
            <w:gridSpan w:val="4"/>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3"/>
                <w:szCs w:val="13"/>
                <w:color w:val="auto"/>
                <w:w w:val="71"/>
                <w:shd w:val="clear" w:color="auto" w:fill="CCEEFF"/>
              </w:rPr>
              <w:t>Gold's</w:t>
            </w: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87"/>
                <w:shd w:val="clear" w:color="auto" w:fill="CCEEFF"/>
              </w:rPr>
              <w:t>Gym</w:t>
            </w:r>
          </w:p>
        </w:tc>
        <w:tc>
          <w:tcPr>
            <w:tcW w:w="190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Multiple</w:t>
            </w:r>
          </w:p>
        </w:tc>
        <w:tc>
          <w:tcPr>
            <w:tcW w:w="1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Restaurants</w:t>
            </w:r>
          </w:p>
        </w:tc>
        <w:tc>
          <w:tcPr>
            <w:tcW w:w="0" w:type="dxa"/>
            <w:vAlign w:val="bottom"/>
          </w:tcPr>
          <w:p>
            <w:pPr>
              <w:spacing w:after="0"/>
              <w:rPr>
                <w:sz w:val="1"/>
                <w:szCs w:val="1"/>
                <w:color w:val="auto"/>
              </w:rPr>
            </w:pPr>
          </w:p>
        </w:tc>
      </w:tr>
      <w:tr>
        <w:trPr>
          <w:trHeight w:val="157"/>
        </w:trPr>
        <w:tc>
          <w:tcPr>
            <w:tcW w:w="276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Rollingwood Apartments</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1960</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1971</w:t>
            </w:r>
          </w:p>
        </w:tc>
        <w:tc>
          <w:tcPr>
            <w:tcW w:w="120" w:type="dxa"/>
            <w:vAlign w:val="bottom"/>
          </w:tcPr>
          <w:p>
            <w:pPr>
              <w:spacing w:after="0"/>
              <w:rPr>
                <w:sz w:val="13"/>
                <w:szCs w:val="13"/>
                <w:color w:val="auto"/>
              </w:rPr>
            </w:pPr>
          </w:p>
        </w:tc>
        <w:tc>
          <w:tcPr>
            <w:tcW w:w="1460" w:type="dxa"/>
            <w:vAlign w:val="bottom"/>
            <w:gridSpan w:val="2"/>
          </w:tcPr>
          <w:p>
            <w:pPr>
              <w:jc w:val="center"/>
              <w:ind w:right="60"/>
              <w:spacing w:after="0" w:line="157" w:lineRule="exact"/>
              <w:rPr>
                <w:sz w:val="20"/>
                <w:szCs w:val="20"/>
                <w:color w:val="auto"/>
              </w:rPr>
            </w:pPr>
            <w:r>
              <w:rPr>
                <w:rFonts w:ascii="Arial" w:cs="Arial" w:eastAsia="Arial" w:hAnsi="Arial"/>
                <w:sz w:val="14"/>
                <w:szCs w:val="14"/>
                <w:color w:val="auto"/>
                <w:w w:val="91"/>
              </w:rPr>
              <w:t>282 units</w:t>
            </w:r>
          </w:p>
        </w:tc>
        <w:tc>
          <w:tcPr>
            <w:tcW w:w="1240" w:type="dxa"/>
            <w:vAlign w:val="bottom"/>
            <w:gridSpan w:val="2"/>
          </w:tcPr>
          <w:p>
            <w:pPr>
              <w:jc w:val="center"/>
              <w:ind w:right="60"/>
              <w:spacing w:after="0" w:line="157" w:lineRule="exact"/>
              <w:rPr>
                <w:sz w:val="20"/>
                <w:szCs w:val="20"/>
                <w:color w:val="auto"/>
              </w:rPr>
            </w:pPr>
            <w:r>
              <w:rPr>
                <w:rFonts w:ascii="Arial" w:cs="Arial" w:eastAsia="Arial" w:hAnsi="Arial"/>
                <w:sz w:val="14"/>
                <w:szCs w:val="14"/>
                <w:color w:val="auto"/>
              </w:rPr>
              <w:t>N/A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60" w:type="dxa"/>
            <w:vAlign w:val="bottom"/>
            <w:gridSpan w:val="3"/>
          </w:tcPr>
          <w:p>
            <w:pPr>
              <w:ind w:left="40"/>
              <w:spacing w:after="0"/>
              <w:rPr>
                <w:sz w:val="20"/>
                <w:szCs w:val="20"/>
                <w:color w:val="auto"/>
              </w:rPr>
            </w:pPr>
            <w:r>
              <w:rPr>
                <w:rFonts w:ascii="Arial" w:cs="Arial" w:eastAsia="Arial" w:hAnsi="Arial"/>
                <w:sz w:val="14"/>
                <w:szCs w:val="14"/>
                <w:color w:val="auto"/>
              </w:rPr>
              <w:t>Silver Spring, MD 20910(8)</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THE AVENUE at White Marsh</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1997</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2007</w:t>
            </w:r>
          </w:p>
        </w:tc>
        <w:tc>
          <w:tcPr>
            <w:tcW w:w="14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4"/>
              </w:rPr>
              <w:t>315,000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$23.87</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4"/>
                <w:szCs w:val="14"/>
                <w:color w:val="auto"/>
              </w:rPr>
            </w:pPr>
          </w:p>
        </w:tc>
        <w:tc>
          <w:tcPr>
            <w:tcW w:w="4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AMC</w:t>
            </w:r>
          </w:p>
        </w:tc>
        <w:tc>
          <w:tcPr>
            <w:tcW w:w="2220" w:type="dxa"/>
            <w:vAlign w:val="bottom"/>
            <w:gridSpan w:val="4"/>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Baltimore, MD 21236(6)(8)</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8"/>
                <w:shd w:val="clear" w:color="auto" w:fill="CCEEFF"/>
              </w:rPr>
              <w:t>Ulta</w:t>
            </w:r>
          </w:p>
        </w:tc>
        <w:tc>
          <w:tcPr>
            <w:tcW w:w="120" w:type="dxa"/>
            <w:vAlign w:val="bottom"/>
            <w:gridSpan w:val="2"/>
            <w:shd w:val="clear" w:color="auto" w:fill="CCEEFF"/>
          </w:tcPr>
          <w:p>
            <w:pPr>
              <w:spacing w:after="0"/>
              <w:rPr>
                <w:sz w:val="12"/>
                <w:szCs w:val="12"/>
                <w:color w:val="auto"/>
              </w:rPr>
            </w:pPr>
          </w:p>
        </w:tc>
        <w:tc>
          <w:tcPr>
            <w:tcW w:w="2220" w:type="dxa"/>
            <w:vAlign w:val="bottom"/>
            <w:gridSpan w:val="4"/>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Old</w:t>
            </w:r>
          </w:p>
        </w:tc>
        <w:tc>
          <w:tcPr>
            <w:tcW w:w="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3"/>
                <w:shd w:val="clear" w:color="auto" w:fill="CCEEFF"/>
              </w:rPr>
              <w:t>Navy</w:t>
            </w:r>
          </w:p>
        </w:tc>
        <w:tc>
          <w:tcPr>
            <w:tcW w:w="2020" w:type="dxa"/>
            <w:vAlign w:val="bottom"/>
            <w:gridSpan w:val="3"/>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w w:val="93"/>
                <w:shd w:val="clear" w:color="auto" w:fill="CCEEFF"/>
              </w:rPr>
              <w:t>Barnes &amp;</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w w:val="87"/>
                <w:shd w:val="clear" w:color="auto" w:fill="CCEEFF"/>
              </w:rPr>
              <w:t>Noble</w:t>
            </w:r>
          </w:p>
        </w:tc>
        <w:tc>
          <w:tcPr>
            <w:tcW w:w="16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The Shoppes at Nottingham Square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5"/>
              </w:rPr>
              <w:t>2005-2006</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2007</w:t>
            </w:r>
          </w:p>
        </w:tc>
        <w:tc>
          <w:tcPr>
            <w:tcW w:w="148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3"/>
              </w:rPr>
              <w:t>32,000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$50.29</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60" w:type="dxa"/>
            <w:vAlign w:val="bottom"/>
            <w:gridSpan w:val="3"/>
          </w:tcPr>
          <w:p>
            <w:pPr>
              <w:ind w:left="40"/>
              <w:spacing w:after="0"/>
              <w:rPr>
                <w:sz w:val="20"/>
                <w:szCs w:val="20"/>
                <w:color w:val="auto"/>
              </w:rPr>
            </w:pPr>
            <w:r>
              <w:rPr>
                <w:rFonts w:ascii="Arial" w:cs="Arial" w:eastAsia="Arial" w:hAnsi="Arial"/>
                <w:sz w:val="14"/>
                <w:szCs w:val="14"/>
                <w:color w:val="auto"/>
              </w:rPr>
              <w:t>Baltimore, MD 21236</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Towson Residential (Flats @703)</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2007</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4,000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$71.41</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Baltimore, MD 21236</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4"/>
                <w:szCs w:val="14"/>
                <w:color w:val="auto"/>
                <w:w w:val="91"/>
              </w:rPr>
              <w:t>105 units</w:t>
            </w:r>
          </w:p>
        </w:tc>
        <w:tc>
          <w:tcPr>
            <w:tcW w:w="124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4"/>
                <w:szCs w:val="14"/>
                <w:color w:val="auto"/>
              </w:rPr>
              <w:t>N/A</w:t>
            </w: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55%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1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60" w:type="dxa"/>
            <w:vAlign w:val="bottom"/>
            <w:gridSpan w:val="2"/>
            <w:vMerge w:val="continue"/>
            <w:shd w:val="clear" w:color="auto" w:fill="CCEEFF"/>
          </w:tcPr>
          <w:p>
            <w:pPr>
              <w:spacing w:after="0"/>
              <w:rPr>
                <w:sz w:val="11"/>
                <w:szCs w:val="11"/>
                <w:color w:val="auto"/>
              </w:rPr>
            </w:pPr>
          </w:p>
        </w:tc>
        <w:tc>
          <w:tcPr>
            <w:tcW w:w="1240" w:type="dxa"/>
            <w:vAlign w:val="bottom"/>
            <w:gridSpan w:val="2"/>
            <w:vMerge w:val="continue"/>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14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76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White Marsh Other</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1985</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2007</w:t>
            </w:r>
          </w:p>
        </w:tc>
        <w:tc>
          <w:tcPr>
            <w:tcW w:w="148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3"/>
              </w:rPr>
              <w:t>69,000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$30.32</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60" w:type="dxa"/>
            <w:vAlign w:val="bottom"/>
            <w:gridSpan w:val="3"/>
          </w:tcPr>
          <w:p>
            <w:pPr>
              <w:ind w:left="40"/>
              <w:spacing w:after="0"/>
              <w:rPr>
                <w:sz w:val="20"/>
                <w:szCs w:val="20"/>
                <w:color w:val="auto"/>
              </w:rPr>
            </w:pPr>
            <w:r>
              <w:rPr>
                <w:rFonts w:ascii="Arial" w:cs="Arial" w:eastAsia="Arial" w:hAnsi="Arial"/>
                <w:sz w:val="14"/>
                <w:szCs w:val="14"/>
                <w:color w:val="auto"/>
              </w:rPr>
              <w:t>Baltimore, MD 21236</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7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White Marsh Plaza</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1987</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2007</w:t>
            </w:r>
          </w:p>
        </w:tc>
        <w:tc>
          <w:tcPr>
            <w:tcW w:w="14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3"/>
              </w:rPr>
              <w:t>80,000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$22.31</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00" w:type="dxa"/>
            <w:vAlign w:val="bottom"/>
            <w:shd w:val="clear" w:color="auto" w:fill="CCEEFF"/>
          </w:tcPr>
          <w:p>
            <w:pPr>
              <w:spacing w:after="0"/>
              <w:rPr>
                <w:sz w:val="14"/>
                <w:szCs w:val="14"/>
                <w:color w:val="auto"/>
              </w:rPr>
            </w:pPr>
          </w:p>
        </w:tc>
        <w:tc>
          <w:tcPr>
            <w:tcW w:w="262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94"/>
        </w:trPr>
        <w:tc>
          <w:tcPr>
            <w:tcW w:w="27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Baltimore, MD 21236</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76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Wildwood</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1958</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1969</w:t>
            </w:r>
          </w:p>
        </w:tc>
        <w:tc>
          <w:tcPr>
            <w:tcW w:w="148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3"/>
              </w:rPr>
              <w:t>83,000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$99.04</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98%</w:t>
            </w:r>
          </w:p>
        </w:tc>
        <w:tc>
          <w:tcPr>
            <w:tcW w:w="100" w:type="dxa"/>
            <w:vAlign w:val="bottom"/>
          </w:tcPr>
          <w:p>
            <w:pPr>
              <w:spacing w:after="0"/>
              <w:rPr>
                <w:sz w:val="13"/>
                <w:szCs w:val="13"/>
                <w:color w:val="auto"/>
              </w:rPr>
            </w:pPr>
          </w:p>
        </w:tc>
        <w:tc>
          <w:tcPr>
            <w:tcW w:w="262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Balducci's</w:t>
            </w:r>
          </w:p>
        </w:tc>
        <w:tc>
          <w:tcPr>
            <w:tcW w:w="0" w:type="dxa"/>
            <w:vAlign w:val="bottom"/>
          </w:tcPr>
          <w:p>
            <w:pPr>
              <w:spacing w:after="0"/>
              <w:rPr>
                <w:sz w:val="1"/>
                <w:szCs w:val="1"/>
                <w:color w:val="auto"/>
              </w:rPr>
            </w:pPr>
          </w:p>
        </w:tc>
      </w:tr>
      <w:tr>
        <w:trPr>
          <w:trHeight w:val="182"/>
        </w:trPr>
        <w:tc>
          <w:tcPr>
            <w:tcW w:w="2760" w:type="dxa"/>
            <w:vAlign w:val="bottom"/>
            <w:gridSpan w:val="3"/>
          </w:tcPr>
          <w:p>
            <w:pPr>
              <w:ind w:left="40"/>
              <w:spacing w:after="0"/>
              <w:rPr>
                <w:sz w:val="20"/>
                <w:szCs w:val="20"/>
                <w:color w:val="auto"/>
              </w:rPr>
            </w:pPr>
            <w:r>
              <w:rPr>
                <w:rFonts w:ascii="Arial" w:cs="Arial" w:eastAsia="Arial" w:hAnsi="Arial"/>
                <w:sz w:val="14"/>
                <w:szCs w:val="14"/>
                <w:color w:val="auto"/>
              </w:rPr>
              <w:t>Bethesda, MD 20814</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gridSpan w:val="7"/>
          </w:tcPr>
          <w:p>
            <w:pPr>
              <w:ind w:left="4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6" w:right="2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Square Feet(1)</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Average Rent</w:t>
            </w:r>
          </w:p>
        </w:tc>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6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1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Per Square</w:t>
            </w:r>
          </w:p>
        </w:tc>
        <w:tc>
          <w:tcPr>
            <w:tcW w:w="1140" w:type="dxa"/>
            <w:vAlign w:val="bottom"/>
            <w:gridSpan w:val="2"/>
            <w:vMerge w:val="continue"/>
          </w:tcPr>
          <w:p>
            <w:pPr>
              <w:spacing w:after="0"/>
              <w:rPr>
                <w:sz w:val="12"/>
                <w:szCs w:val="12"/>
                <w:color w:val="auto"/>
              </w:rPr>
            </w:pPr>
          </w:p>
        </w:tc>
        <w:tc>
          <w:tcPr>
            <w:tcW w:w="262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92"/>
        </w:trPr>
        <w:tc>
          <w:tcPr>
            <w:tcW w:w="2760" w:type="dxa"/>
            <w:vAlign w:val="bottom"/>
            <w:gridSpan w:val="7"/>
            <w:vMerge w:val="continue"/>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Completed</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Acquired</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/Apartment Units</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Foot(2)</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Leased(3)</w:t>
            </w:r>
          </w:p>
        </w:tc>
        <w:tc>
          <w:tcPr>
            <w:tcW w:w="2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40" w:type="dxa"/>
            <w:vAlign w:val="bottom"/>
            <w:tcBorders>
              <w:top w:val="single" w:sz="8" w:color="auto"/>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7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3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60" w:type="dxa"/>
            <w:vAlign w:val="bottom"/>
            <w:gridSpan w:val="7"/>
          </w:tcPr>
          <w:p>
            <w:pPr>
              <w:ind w:left="40"/>
              <w:spacing w:after="0"/>
              <w:rPr>
                <w:sz w:val="20"/>
                <w:szCs w:val="20"/>
                <w:color w:val="auto"/>
              </w:rPr>
            </w:pPr>
            <w:r>
              <w:rPr>
                <w:rFonts w:ascii="Arial" w:cs="Arial" w:eastAsia="Arial" w:hAnsi="Arial"/>
                <w:sz w:val="14"/>
                <w:szCs w:val="14"/>
                <w:b w:val="1"/>
                <w:bCs w:val="1"/>
                <w:color w:val="auto"/>
              </w:rPr>
              <w:t>Massachusetts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760" w:type="dxa"/>
            <w:vAlign w:val="bottom"/>
            <w:gridSpan w:val="7"/>
            <w:shd w:val="clear" w:color="auto" w:fill="CCEEFF"/>
          </w:tcPr>
          <w:p>
            <w:pPr>
              <w:ind w:left="40"/>
              <w:spacing w:after="0" w:line="157" w:lineRule="exact"/>
              <w:rPr>
                <w:sz w:val="20"/>
                <w:szCs w:val="20"/>
                <w:color w:val="auto"/>
              </w:rPr>
            </w:pPr>
            <w:r>
              <w:rPr>
                <w:rFonts w:ascii="Arial" w:cs="Arial" w:eastAsia="Arial" w:hAnsi="Arial"/>
                <w:sz w:val="14"/>
                <w:szCs w:val="14"/>
                <w:color w:val="auto"/>
              </w:rPr>
              <w:t>Assembly Row/</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1"/>
              </w:rPr>
              <w:t>2005, 2014</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2005-2011/</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810,000</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$24.97</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99%</w:t>
            </w:r>
          </w:p>
        </w:tc>
        <w:tc>
          <w:tcPr>
            <w:tcW w:w="100" w:type="dxa"/>
            <w:vAlign w:val="bottom"/>
            <w:shd w:val="clear" w:color="auto" w:fill="CCEEFF"/>
          </w:tcPr>
          <w:p>
            <w:pPr>
              <w:spacing w:after="0"/>
              <w:rPr>
                <w:sz w:val="13"/>
                <w:szCs w:val="13"/>
                <w:color w:val="auto"/>
              </w:rPr>
            </w:pPr>
          </w:p>
        </w:tc>
        <w:tc>
          <w:tcPr>
            <w:tcW w:w="26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48"/>
        </w:trPr>
        <w:tc>
          <w:tcPr>
            <w:tcW w:w="2760" w:type="dxa"/>
            <w:vAlign w:val="bottom"/>
            <w:gridSpan w:val="7"/>
            <w:shd w:val="clear" w:color="auto" w:fill="CCEEFF"/>
          </w:tcPr>
          <w:p>
            <w:pPr>
              <w:ind w:left="40"/>
              <w:spacing w:after="0" w:line="149" w:lineRule="exact"/>
              <w:rPr>
                <w:sz w:val="20"/>
                <w:szCs w:val="20"/>
                <w:color w:val="auto"/>
              </w:rPr>
            </w:pPr>
            <w:r>
              <w:rPr>
                <w:rFonts w:ascii="Arial" w:cs="Arial" w:eastAsia="Arial" w:hAnsi="Arial"/>
                <w:sz w:val="14"/>
                <w:szCs w:val="14"/>
                <w:color w:val="auto"/>
              </w:rPr>
              <w:t>Assembly Square Marketplace</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2013</w:t>
            </w: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8"/>
        </w:trPr>
        <w:tc>
          <w:tcPr>
            <w:tcW w:w="2760" w:type="dxa"/>
            <w:vAlign w:val="bottom"/>
            <w:gridSpan w:val="7"/>
            <w:shd w:val="clear" w:color="auto" w:fill="CCEEFF"/>
          </w:tcPr>
          <w:p>
            <w:pPr>
              <w:ind w:left="40"/>
              <w:spacing w:after="0" w:line="149" w:lineRule="exact"/>
              <w:rPr>
                <w:sz w:val="20"/>
                <w:szCs w:val="20"/>
                <w:color w:val="auto"/>
              </w:rPr>
            </w:pPr>
            <w:r>
              <w:rPr>
                <w:rFonts w:ascii="Arial" w:cs="Arial" w:eastAsia="Arial" w:hAnsi="Arial"/>
                <w:sz w:val="14"/>
                <w:szCs w:val="14"/>
                <w:color w:val="auto"/>
              </w:rPr>
              <w:t>Somerville, MA 02145(10)</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AMC</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LEGOLAND Discovery Center</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Multiple Restaurants &amp; Outlets</w:t>
            </w:r>
          </w:p>
        </w:tc>
        <w:tc>
          <w:tcPr>
            <w:tcW w:w="0" w:type="dxa"/>
            <w:vAlign w:val="bottom"/>
          </w:tcPr>
          <w:p>
            <w:pPr>
              <w:spacing w:after="0"/>
              <w:rPr>
                <w:sz w:val="1"/>
                <w:szCs w:val="1"/>
                <w:color w:val="auto"/>
              </w:rPr>
            </w:pPr>
          </w:p>
        </w:tc>
      </w:tr>
      <w:tr>
        <w:trPr>
          <w:trHeight w:val="157"/>
        </w:trPr>
        <w:tc>
          <w:tcPr>
            <w:tcW w:w="276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Assembly Row Residential</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2"/>
              </w:rPr>
              <w:t>2005-2011</w:t>
            </w:r>
          </w:p>
        </w:tc>
        <w:tc>
          <w:tcPr>
            <w:tcW w:w="120" w:type="dxa"/>
            <w:vAlign w:val="bottom"/>
          </w:tcPr>
          <w:p>
            <w:pPr>
              <w:spacing w:after="0"/>
              <w:rPr>
                <w:sz w:val="13"/>
                <w:szCs w:val="13"/>
                <w:color w:val="auto"/>
              </w:rPr>
            </w:pPr>
          </w:p>
        </w:tc>
        <w:tc>
          <w:tcPr>
            <w:tcW w:w="1460" w:type="dxa"/>
            <w:vAlign w:val="bottom"/>
            <w:gridSpan w:val="2"/>
          </w:tcPr>
          <w:p>
            <w:pPr>
              <w:jc w:val="center"/>
              <w:ind w:right="60"/>
              <w:spacing w:after="0" w:line="157" w:lineRule="exact"/>
              <w:rPr>
                <w:sz w:val="20"/>
                <w:szCs w:val="20"/>
                <w:color w:val="auto"/>
              </w:rPr>
            </w:pPr>
            <w:r>
              <w:rPr>
                <w:rFonts w:ascii="Arial" w:cs="Arial" w:eastAsia="Arial" w:hAnsi="Arial"/>
                <w:sz w:val="14"/>
                <w:szCs w:val="14"/>
                <w:color w:val="auto"/>
                <w:w w:val="91"/>
              </w:rPr>
              <w:t>141 units</w:t>
            </w:r>
          </w:p>
        </w:tc>
        <w:tc>
          <w:tcPr>
            <w:tcW w:w="1240" w:type="dxa"/>
            <w:vAlign w:val="bottom"/>
            <w:gridSpan w:val="2"/>
          </w:tcPr>
          <w:p>
            <w:pPr>
              <w:jc w:val="center"/>
              <w:ind w:right="60"/>
              <w:spacing w:after="0" w:line="157" w:lineRule="exact"/>
              <w:rPr>
                <w:sz w:val="20"/>
                <w:szCs w:val="20"/>
                <w:color w:val="auto"/>
              </w:rPr>
            </w:pPr>
            <w:r>
              <w:rPr>
                <w:rFonts w:ascii="Arial" w:cs="Arial" w:eastAsia="Arial" w:hAnsi="Arial"/>
                <w:sz w:val="14"/>
                <w:szCs w:val="14"/>
                <w:color w:val="auto"/>
              </w:rPr>
              <w:t>N/A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94%</w:t>
            </w:r>
          </w:p>
        </w:tc>
        <w:tc>
          <w:tcPr>
            <w:tcW w:w="1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60" w:type="dxa"/>
            <w:vAlign w:val="bottom"/>
            <w:gridSpan w:val="7"/>
          </w:tcPr>
          <w:p>
            <w:pPr>
              <w:ind w:left="40"/>
              <w:spacing w:after="0"/>
              <w:rPr>
                <w:sz w:val="20"/>
                <w:szCs w:val="20"/>
                <w:color w:val="auto"/>
              </w:rPr>
            </w:pPr>
            <w:r>
              <w:rPr>
                <w:rFonts w:ascii="Arial" w:cs="Arial" w:eastAsia="Arial" w:hAnsi="Arial"/>
                <w:sz w:val="14"/>
                <w:szCs w:val="14"/>
                <w:color w:val="auto"/>
              </w:rPr>
              <w:t>Somerville, MA 02145(10)</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76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Atlantic Plaza</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1960</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123,000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$16.43</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96%</w:t>
            </w:r>
          </w:p>
        </w:tc>
        <w:tc>
          <w:tcPr>
            <w:tcW w:w="100" w:type="dxa"/>
            <w:vAlign w:val="bottom"/>
            <w:shd w:val="clear" w:color="auto" w:fill="CCEEFF"/>
          </w:tcPr>
          <w:p>
            <w:pPr>
              <w:spacing w:after="0"/>
              <w:rPr>
                <w:sz w:val="14"/>
                <w:szCs w:val="14"/>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94"/>
        </w:trPr>
        <w:tc>
          <w:tcPr>
            <w:tcW w:w="276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North Reading, MA 01864</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76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Campus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1970</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2004</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116,000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$16.13</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98%</w:t>
            </w:r>
          </w:p>
        </w:tc>
        <w:tc>
          <w:tcPr>
            <w:tcW w:w="100" w:type="dxa"/>
            <w:vAlign w:val="bottom"/>
          </w:tcPr>
          <w:p>
            <w:pPr>
              <w:spacing w:after="0"/>
              <w:rPr>
                <w:sz w:val="13"/>
                <w:szCs w:val="13"/>
                <w:color w:val="auto"/>
              </w:rPr>
            </w:pPr>
          </w:p>
        </w:tc>
        <w:tc>
          <w:tcPr>
            <w:tcW w:w="2620" w:type="dxa"/>
            <w:vAlign w:val="bottom"/>
          </w:tcPr>
          <w:p>
            <w:pPr>
              <w:ind w:left="40"/>
              <w:spacing w:after="0" w:line="157" w:lineRule="exact"/>
              <w:rPr>
                <w:sz w:val="20"/>
                <w:szCs w:val="20"/>
                <w:color w:val="auto"/>
              </w:rPr>
            </w:pPr>
            <w:r>
              <w:rPr>
                <w:rFonts w:ascii="Arial" w:cs="Arial" w:eastAsia="Arial" w:hAnsi="Arial"/>
                <w:sz w:val="14"/>
                <w:szCs w:val="14"/>
                <w:color w:val="auto"/>
              </w:rPr>
              <w:t>Roche Bros.</w:t>
            </w:r>
          </w:p>
        </w:tc>
        <w:tc>
          <w:tcPr>
            <w:tcW w:w="0" w:type="dxa"/>
            <w:vAlign w:val="bottom"/>
          </w:tcPr>
          <w:p>
            <w:pPr>
              <w:spacing w:after="0"/>
              <w:rPr>
                <w:sz w:val="1"/>
                <w:szCs w:val="1"/>
                <w:color w:val="auto"/>
              </w:rPr>
            </w:pPr>
          </w:p>
        </w:tc>
      </w:tr>
      <w:tr>
        <w:trPr>
          <w:trHeight w:val="188"/>
        </w:trPr>
        <w:tc>
          <w:tcPr>
            <w:tcW w:w="2760" w:type="dxa"/>
            <w:vAlign w:val="bottom"/>
            <w:gridSpan w:val="7"/>
          </w:tcPr>
          <w:p>
            <w:pPr>
              <w:ind w:left="40"/>
              <w:spacing w:after="0"/>
              <w:rPr>
                <w:sz w:val="20"/>
                <w:szCs w:val="20"/>
                <w:color w:val="auto"/>
              </w:rPr>
            </w:pPr>
            <w:r>
              <w:rPr>
                <w:rFonts w:ascii="Arial" w:cs="Arial" w:eastAsia="Arial" w:hAnsi="Arial"/>
                <w:sz w:val="14"/>
                <w:szCs w:val="14"/>
                <w:color w:val="auto"/>
              </w:rPr>
              <w:t>Bridgewater, MA 02324</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ind w:left="40"/>
              <w:spacing w:after="0"/>
              <w:rPr>
                <w:sz w:val="20"/>
                <w:szCs w:val="20"/>
                <w:color w:val="auto"/>
              </w:rPr>
            </w:pPr>
            <w:r>
              <w:rPr>
                <w:rFonts w:ascii="Arial" w:cs="Arial" w:eastAsia="Arial" w:hAnsi="Arial"/>
                <w:sz w:val="14"/>
                <w:szCs w:val="14"/>
                <w:color w:val="auto"/>
              </w:rPr>
              <w:t>Burlington</w:t>
            </w:r>
          </w:p>
        </w:tc>
        <w:tc>
          <w:tcPr>
            <w:tcW w:w="0" w:type="dxa"/>
            <w:vAlign w:val="bottom"/>
          </w:tcPr>
          <w:p>
            <w:pPr>
              <w:spacing w:after="0"/>
              <w:rPr>
                <w:sz w:val="1"/>
                <w:szCs w:val="1"/>
                <w:color w:val="auto"/>
              </w:rPr>
            </w:pPr>
          </w:p>
        </w:tc>
      </w:tr>
      <w:tr>
        <w:trPr>
          <w:trHeight w:val="163"/>
        </w:trPr>
        <w:tc>
          <w:tcPr>
            <w:tcW w:w="276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Chelsea Commons</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1962-1969,</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2006-2008</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222,000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$12.32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99%</w:t>
            </w:r>
          </w:p>
        </w:tc>
        <w:tc>
          <w:tcPr>
            <w:tcW w:w="100" w:type="dxa"/>
            <w:vAlign w:val="bottom"/>
            <w:shd w:val="clear" w:color="auto" w:fill="CCEEFF"/>
          </w:tcPr>
          <w:p>
            <w:pPr>
              <w:spacing w:after="0"/>
              <w:rPr>
                <w:sz w:val="14"/>
                <w:szCs w:val="14"/>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94"/>
        </w:trPr>
        <w:tc>
          <w:tcPr>
            <w:tcW w:w="276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Chelsea, MA 02150(8)</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2008</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Planet Fitness</w:t>
            </w:r>
          </w:p>
        </w:tc>
        <w:tc>
          <w:tcPr>
            <w:tcW w:w="0" w:type="dxa"/>
            <w:vAlign w:val="bottom"/>
          </w:tcPr>
          <w:p>
            <w:pPr>
              <w:spacing w:after="0"/>
              <w:rPr>
                <w:sz w:val="1"/>
                <w:szCs w:val="1"/>
                <w:color w:val="auto"/>
              </w:rPr>
            </w:pPr>
          </w:p>
        </w:tc>
      </w:tr>
      <w:tr>
        <w:trPr>
          <w:trHeight w:val="157"/>
        </w:trPr>
        <w:tc>
          <w:tcPr>
            <w:tcW w:w="276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Chelsea Commons Residential</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2013</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2008</w:t>
            </w:r>
          </w:p>
        </w:tc>
        <w:tc>
          <w:tcPr>
            <w:tcW w:w="120" w:type="dxa"/>
            <w:vAlign w:val="bottom"/>
          </w:tcPr>
          <w:p>
            <w:pPr>
              <w:spacing w:after="0"/>
              <w:rPr>
                <w:sz w:val="13"/>
                <w:szCs w:val="13"/>
                <w:color w:val="auto"/>
              </w:rPr>
            </w:pPr>
          </w:p>
        </w:tc>
        <w:tc>
          <w:tcPr>
            <w:tcW w:w="1460" w:type="dxa"/>
            <w:vAlign w:val="bottom"/>
            <w:gridSpan w:val="2"/>
          </w:tcPr>
          <w:p>
            <w:pPr>
              <w:jc w:val="center"/>
              <w:ind w:right="80"/>
              <w:spacing w:after="0" w:line="157" w:lineRule="exact"/>
              <w:rPr>
                <w:sz w:val="20"/>
                <w:szCs w:val="20"/>
                <w:color w:val="auto"/>
              </w:rPr>
            </w:pPr>
            <w:r>
              <w:rPr>
                <w:rFonts w:ascii="Arial" w:cs="Arial" w:eastAsia="Arial" w:hAnsi="Arial"/>
                <w:sz w:val="14"/>
                <w:szCs w:val="14"/>
                <w:color w:val="auto"/>
                <w:w w:val="93"/>
              </w:rPr>
              <w:t>56 units</w:t>
            </w:r>
          </w:p>
        </w:tc>
        <w:tc>
          <w:tcPr>
            <w:tcW w:w="1240" w:type="dxa"/>
            <w:vAlign w:val="bottom"/>
            <w:gridSpan w:val="2"/>
          </w:tcPr>
          <w:p>
            <w:pPr>
              <w:jc w:val="center"/>
              <w:ind w:right="60"/>
              <w:spacing w:after="0" w:line="157" w:lineRule="exact"/>
              <w:rPr>
                <w:sz w:val="20"/>
                <w:szCs w:val="20"/>
                <w:color w:val="auto"/>
              </w:rPr>
            </w:pPr>
            <w:r>
              <w:rPr>
                <w:rFonts w:ascii="Arial" w:cs="Arial" w:eastAsia="Arial" w:hAnsi="Arial"/>
                <w:sz w:val="14"/>
                <w:szCs w:val="14"/>
                <w:color w:val="auto"/>
              </w:rPr>
              <w:t>N/A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91%</w:t>
            </w:r>
          </w:p>
        </w:tc>
        <w:tc>
          <w:tcPr>
            <w:tcW w:w="1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60" w:type="dxa"/>
            <w:vAlign w:val="bottom"/>
            <w:gridSpan w:val="7"/>
          </w:tcPr>
          <w:p>
            <w:pPr>
              <w:ind w:left="40"/>
              <w:spacing w:after="0"/>
              <w:rPr>
                <w:sz w:val="20"/>
                <w:szCs w:val="20"/>
                <w:color w:val="auto"/>
              </w:rPr>
            </w:pPr>
            <w:r>
              <w:rPr>
                <w:rFonts w:ascii="Arial" w:cs="Arial" w:eastAsia="Arial" w:hAnsi="Arial"/>
                <w:sz w:val="14"/>
                <w:szCs w:val="14"/>
                <w:color w:val="auto"/>
              </w:rPr>
              <w:t>Chelsea, MA 02150</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76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Dedham Plaza</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1959</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1993/2016</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241,000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$16.75</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96%</w:t>
            </w:r>
          </w:p>
        </w:tc>
        <w:tc>
          <w:tcPr>
            <w:tcW w:w="100" w:type="dxa"/>
            <w:vAlign w:val="bottom"/>
            <w:shd w:val="clear" w:color="auto" w:fill="CCEEFF"/>
          </w:tcPr>
          <w:p>
            <w:pPr>
              <w:spacing w:after="0"/>
              <w:rPr>
                <w:sz w:val="14"/>
                <w:szCs w:val="14"/>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Star Market</w:t>
            </w:r>
          </w:p>
        </w:tc>
        <w:tc>
          <w:tcPr>
            <w:tcW w:w="0" w:type="dxa"/>
            <w:vAlign w:val="bottom"/>
          </w:tcPr>
          <w:p>
            <w:pPr>
              <w:spacing w:after="0"/>
              <w:rPr>
                <w:sz w:val="1"/>
                <w:szCs w:val="1"/>
                <w:color w:val="auto"/>
              </w:rPr>
            </w:pPr>
          </w:p>
        </w:tc>
      </w:tr>
      <w:tr>
        <w:trPr>
          <w:trHeight w:val="194"/>
        </w:trPr>
        <w:tc>
          <w:tcPr>
            <w:tcW w:w="276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Dedham, MA 02026</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Planet Fitness</w:t>
            </w:r>
          </w:p>
        </w:tc>
        <w:tc>
          <w:tcPr>
            <w:tcW w:w="0" w:type="dxa"/>
            <w:vAlign w:val="bottom"/>
          </w:tcPr>
          <w:p>
            <w:pPr>
              <w:spacing w:after="0"/>
              <w:rPr>
                <w:sz w:val="1"/>
                <w:szCs w:val="1"/>
                <w:color w:val="auto"/>
              </w:rPr>
            </w:pPr>
          </w:p>
        </w:tc>
      </w:tr>
      <w:tr>
        <w:trPr>
          <w:trHeight w:val="157"/>
        </w:trPr>
        <w:tc>
          <w:tcPr>
            <w:tcW w:w="276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Linden Square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1960, 2008</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2006</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223,000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$48.82</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96%</w:t>
            </w:r>
          </w:p>
        </w:tc>
        <w:tc>
          <w:tcPr>
            <w:tcW w:w="100" w:type="dxa"/>
            <w:vAlign w:val="bottom"/>
          </w:tcPr>
          <w:p>
            <w:pPr>
              <w:spacing w:after="0"/>
              <w:rPr>
                <w:sz w:val="13"/>
                <w:szCs w:val="13"/>
                <w:color w:val="auto"/>
              </w:rPr>
            </w:pPr>
          </w:p>
        </w:tc>
        <w:tc>
          <w:tcPr>
            <w:tcW w:w="2620" w:type="dxa"/>
            <w:vAlign w:val="bottom"/>
          </w:tcPr>
          <w:p>
            <w:pPr>
              <w:ind w:left="40"/>
              <w:spacing w:after="0" w:line="157" w:lineRule="exact"/>
              <w:rPr>
                <w:sz w:val="20"/>
                <w:szCs w:val="20"/>
                <w:color w:val="auto"/>
              </w:rPr>
            </w:pPr>
            <w:r>
              <w:rPr>
                <w:rFonts w:ascii="Arial" w:cs="Arial" w:eastAsia="Arial" w:hAnsi="Arial"/>
                <w:sz w:val="14"/>
                <w:szCs w:val="14"/>
                <w:color w:val="auto"/>
              </w:rPr>
              <w:t>Roche Bros.</w:t>
            </w:r>
          </w:p>
        </w:tc>
        <w:tc>
          <w:tcPr>
            <w:tcW w:w="0" w:type="dxa"/>
            <w:vAlign w:val="bottom"/>
          </w:tcPr>
          <w:p>
            <w:pPr>
              <w:spacing w:after="0"/>
              <w:rPr>
                <w:sz w:val="1"/>
                <w:szCs w:val="1"/>
                <w:color w:val="auto"/>
              </w:rPr>
            </w:pPr>
          </w:p>
        </w:tc>
      </w:tr>
      <w:tr>
        <w:trPr>
          <w:trHeight w:val="188"/>
        </w:trPr>
        <w:tc>
          <w:tcPr>
            <w:tcW w:w="2760" w:type="dxa"/>
            <w:vAlign w:val="bottom"/>
            <w:gridSpan w:val="7"/>
          </w:tcPr>
          <w:p>
            <w:pPr>
              <w:ind w:left="40"/>
              <w:spacing w:after="0"/>
              <w:rPr>
                <w:sz w:val="20"/>
                <w:szCs w:val="20"/>
                <w:color w:val="auto"/>
              </w:rPr>
            </w:pPr>
            <w:r>
              <w:rPr>
                <w:rFonts w:ascii="Arial" w:cs="Arial" w:eastAsia="Arial" w:hAnsi="Arial"/>
                <w:sz w:val="14"/>
                <w:szCs w:val="14"/>
                <w:color w:val="auto"/>
              </w:rPr>
              <w:t>Wellesley, MA 02481</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ind w:left="4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63"/>
        </w:trPr>
        <w:tc>
          <w:tcPr>
            <w:tcW w:w="276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North Dartmouth</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2006</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48,000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$15.31</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4"/>
                <w:szCs w:val="14"/>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94"/>
        </w:trPr>
        <w:tc>
          <w:tcPr>
            <w:tcW w:w="276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North Dartmouth, MA 02747</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76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Queen Anne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1967</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1994</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149,000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$17.77</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3"/>
                <w:szCs w:val="13"/>
                <w:color w:val="auto"/>
              </w:rPr>
            </w:pPr>
          </w:p>
        </w:tc>
        <w:tc>
          <w:tcPr>
            <w:tcW w:w="2620" w:type="dxa"/>
            <w:vAlign w:val="bottom"/>
          </w:tcPr>
          <w:p>
            <w:pPr>
              <w:ind w:left="40"/>
              <w:spacing w:after="0" w:line="157" w:lineRule="exact"/>
              <w:rPr>
                <w:sz w:val="20"/>
                <w:szCs w:val="20"/>
                <w:color w:val="auto"/>
              </w:rPr>
            </w:pPr>
            <w:r>
              <w:rPr>
                <w:rFonts w:ascii="Arial" w:cs="Arial" w:eastAsia="Arial" w:hAnsi="Arial"/>
                <w:sz w:val="14"/>
                <w:szCs w:val="14"/>
                <w:color w:val="auto"/>
              </w:rPr>
              <w:t>Big Y Foods</w:t>
            </w:r>
          </w:p>
        </w:tc>
        <w:tc>
          <w:tcPr>
            <w:tcW w:w="0" w:type="dxa"/>
            <w:vAlign w:val="bottom"/>
          </w:tcPr>
          <w:p>
            <w:pPr>
              <w:spacing w:after="0"/>
              <w:rPr>
                <w:sz w:val="1"/>
                <w:szCs w:val="1"/>
                <w:color w:val="auto"/>
              </w:rPr>
            </w:pPr>
          </w:p>
        </w:tc>
      </w:tr>
      <w:tr>
        <w:trPr>
          <w:trHeight w:val="148"/>
        </w:trPr>
        <w:tc>
          <w:tcPr>
            <w:tcW w:w="2760" w:type="dxa"/>
            <w:vAlign w:val="bottom"/>
            <w:gridSpan w:val="7"/>
          </w:tcPr>
          <w:p>
            <w:pPr>
              <w:ind w:left="40"/>
              <w:spacing w:after="0" w:line="149" w:lineRule="exact"/>
              <w:rPr>
                <w:sz w:val="20"/>
                <w:szCs w:val="20"/>
                <w:color w:val="auto"/>
              </w:rPr>
            </w:pPr>
            <w:r>
              <w:rPr>
                <w:rFonts w:ascii="Arial" w:cs="Arial" w:eastAsia="Arial" w:hAnsi="Arial"/>
                <w:sz w:val="14"/>
                <w:szCs w:val="14"/>
                <w:color w:val="auto"/>
              </w:rPr>
              <w:t>Norwell, MA 02061</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ind w:left="4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ind w:left="40"/>
              <w:spacing w:after="0"/>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63"/>
        </w:trPr>
        <w:tc>
          <w:tcPr>
            <w:tcW w:w="276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Saugus Plaza</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1976</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1996</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169,000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$12.24</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4"/>
                <w:szCs w:val="14"/>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Super Stop &amp; Shop</w:t>
            </w:r>
          </w:p>
        </w:tc>
        <w:tc>
          <w:tcPr>
            <w:tcW w:w="0" w:type="dxa"/>
            <w:vAlign w:val="bottom"/>
          </w:tcPr>
          <w:p>
            <w:pPr>
              <w:spacing w:after="0"/>
              <w:rPr>
                <w:sz w:val="1"/>
                <w:szCs w:val="1"/>
                <w:color w:val="auto"/>
              </w:rPr>
            </w:pPr>
          </w:p>
        </w:tc>
      </w:tr>
      <w:tr>
        <w:trPr>
          <w:trHeight w:val="194"/>
        </w:trPr>
        <w:tc>
          <w:tcPr>
            <w:tcW w:w="276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Saugus, MA 01906</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Kmart</w:t>
            </w:r>
          </w:p>
        </w:tc>
        <w:tc>
          <w:tcPr>
            <w:tcW w:w="0" w:type="dxa"/>
            <w:vAlign w:val="bottom"/>
          </w:tcPr>
          <w:p>
            <w:pPr>
              <w:spacing w:after="0"/>
              <w:rPr>
                <w:sz w:val="1"/>
                <w:szCs w:val="1"/>
                <w:color w:val="auto"/>
              </w:rPr>
            </w:pPr>
          </w:p>
        </w:tc>
      </w:tr>
      <w:tr>
        <w:trPr>
          <w:trHeight w:val="162"/>
        </w:trPr>
        <w:tc>
          <w:tcPr>
            <w:tcW w:w="2760" w:type="dxa"/>
            <w:vAlign w:val="bottom"/>
            <w:gridSpan w:val="7"/>
          </w:tcPr>
          <w:p>
            <w:pPr>
              <w:ind w:left="40"/>
              <w:spacing w:after="0"/>
              <w:rPr>
                <w:sz w:val="20"/>
                <w:szCs w:val="20"/>
                <w:color w:val="auto"/>
              </w:rPr>
            </w:pPr>
            <w:r>
              <w:rPr>
                <w:rFonts w:ascii="Arial" w:cs="Arial" w:eastAsia="Arial" w:hAnsi="Arial"/>
                <w:sz w:val="14"/>
                <w:szCs w:val="14"/>
                <w:b w:val="1"/>
                <w:bCs w:val="1"/>
                <w:color w:val="auto"/>
              </w:rPr>
              <w:t>Michigan</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760" w:type="dxa"/>
            <w:vAlign w:val="bottom"/>
            <w:gridSpan w:val="7"/>
            <w:shd w:val="clear" w:color="auto" w:fill="CCEEFF"/>
          </w:tcPr>
          <w:p>
            <w:pPr>
              <w:ind w:left="40"/>
              <w:spacing w:after="0" w:line="157" w:lineRule="exact"/>
              <w:rPr>
                <w:sz w:val="20"/>
                <w:szCs w:val="20"/>
                <w:color w:val="auto"/>
              </w:rPr>
            </w:pPr>
            <w:r>
              <w:rPr>
                <w:rFonts w:ascii="Arial" w:cs="Arial" w:eastAsia="Arial" w:hAnsi="Arial"/>
                <w:sz w:val="14"/>
                <w:szCs w:val="14"/>
                <w:color w:val="auto"/>
              </w:rPr>
              <w:t>Gratiot Plaza</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1964</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1973</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217,000</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$12.15</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3"/>
                <w:szCs w:val="13"/>
                <w:color w:val="auto"/>
              </w:rPr>
            </w:pPr>
          </w:p>
        </w:tc>
        <w:tc>
          <w:tcPr>
            <w:tcW w:w="26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48"/>
        </w:trPr>
        <w:tc>
          <w:tcPr>
            <w:tcW w:w="2760" w:type="dxa"/>
            <w:vAlign w:val="bottom"/>
            <w:gridSpan w:val="7"/>
            <w:shd w:val="clear" w:color="auto" w:fill="CCEEFF"/>
          </w:tcPr>
          <w:p>
            <w:pPr>
              <w:ind w:left="40"/>
              <w:spacing w:after="0" w:line="149" w:lineRule="exact"/>
              <w:rPr>
                <w:sz w:val="20"/>
                <w:szCs w:val="20"/>
                <w:color w:val="auto"/>
              </w:rPr>
            </w:pPr>
            <w:r>
              <w:rPr>
                <w:rFonts w:ascii="Arial" w:cs="Arial" w:eastAsia="Arial" w:hAnsi="Arial"/>
                <w:sz w:val="14"/>
                <w:szCs w:val="14"/>
                <w:color w:val="auto"/>
              </w:rPr>
              <w:t>Roseville, MI 48066</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Best Buy</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62"/>
        </w:trPr>
        <w:tc>
          <w:tcPr>
            <w:tcW w:w="2760" w:type="dxa"/>
            <w:vAlign w:val="bottom"/>
            <w:gridSpan w:val="7"/>
          </w:tcPr>
          <w:p>
            <w:pPr>
              <w:ind w:left="40"/>
              <w:spacing w:after="0"/>
              <w:rPr>
                <w:sz w:val="20"/>
                <w:szCs w:val="20"/>
                <w:color w:val="auto"/>
              </w:rPr>
            </w:pPr>
            <w:r>
              <w:rPr>
                <w:rFonts w:ascii="Arial" w:cs="Arial" w:eastAsia="Arial" w:hAnsi="Arial"/>
                <w:sz w:val="14"/>
                <w:szCs w:val="14"/>
                <w:b w:val="1"/>
                <w:bCs w:val="1"/>
                <w:color w:val="auto"/>
              </w:rPr>
              <w:t>New Jersey</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760" w:type="dxa"/>
            <w:vAlign w:val="bottom"/>
            <w:gridSpan w:val="7"/>
            <w:shd w:val="clear" w:color="auto" w:fill="CCEEFF"/>
          </w:tcPr>
          <w:p>
            <w:pPr>
              <w:ind w:left="40"/>
              <w:spacing w:after="0" w:line="157" w:lineRule="exact"/>
              <w:rPr>
                <w:sz w:val="20"/>
                <w:szCs w:val="20"/>
                <w:color w:val="auto"/>
              </w:rPr>
            </w:pPr>
            <w:r>
              <w:rPr>
                <w:rFonts w:ascii="Arial" w:cs="Arial" w:eastAsia="Arial" w:hAnsi="Arial"/>
                <w:sz w:val="14"/>
                <w:szCs w:val="14"/>
                <w:color w:val="auto"/>
              </w:rPr>
              <w:t>Brick Plaza</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1958</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1989</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422,000</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$21.40</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77%</w:t>
            </w:r>
          </w:p>
        </w:tc>
        <w:tc>
          <w:tcPr>
            <w:tcW w:w="100" w:type="dxa"/>
            <w:vAlign w:val="bottom"/>
            <w:shd w:val="clear" w:color="auto" w:fill="CCEEFF"/>
          </w:tcPr>
          <w:p>
            <w:pPr>
              <w:spacing w:after="0"/>
              <w:rPr>
                <w:sz w:val="13"/>
                <w:szCs w:val="13"/>
                <w:color w:val="auto"/>
              </w:rPr>
            </w:pPr>
          </w:p>
        </w:tc>
        <w:tc>
          <w:tcPr>
            <w:tcW w:w="26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AMC</w:t>
            </w:r>
          </w:p>
        </w:tc>
        <w:tc>
          <w:tcPr>
            <w:tcW w:w="0" w:type="dxa"/>
            <w:vAlign w:val="bottom"/>
          </w:tcPr>
          <w:p>
            <w:pPr>
              <w:spacing w:after="0"/>
              <w:rPr>
                <w:sz w:val="1"/>
                <w:szCs w:val="1"/>
                <w:color w:val="auto"/>
              </w:rPr>
            </w:pPr>
          </w:p>
        </w:tc>
      </w:tr>
      <w:tr>
        <w:trPr>
          <w:trHeight w:val="148"/>
        </w:trPr>
        <w:tc>
          <w:tcPr>
            <w:tcW w:w="2760" w:type="dxa"/>
            <w:vAlign w:val="bottom"/>
            <w:gridSpan w:val="7"/>
            <w:shd w:val="clear" w:color="auto" w:fill="CCEEFF"/>
          </w:tcPr>
          <w:p>
            <w:pPr>
              <w:ind w:left="40"/>
              <w:spacing w:after="0" w:line="149" w:lineRule="exact"/>
              <w:rPr>
                <w:sz w:val="20"/>
                <w:szCs w:val="20"/>
                <w:color w:val="auto"/>
              </w:rPr>
            </w:pPr>
            <w:r>
              <w:rPr>
                <w:rFonts w:ascii="Arial" w:cs="Arial" w:eastAsia="Arial" w:hAnsi="Arial"/>
                <w:sz w:val="14"/>
                <w:szCs w:val="14"/>
                <w:color w:val="auto"/>
              </w:rPr>
              <w:t>Brick Township, NJ 08723(4)</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Ulta DSW</w:t>
            </w:r>
          </w:p>
        </w:tc>
        <w:tc>
          <w:tcPr>
            <w:tcW w:w="0" w:type="dxa"/>
            <w:vAlign w:val="bottom"/>
          </w:tcPr>
          <w:p>
            <w:pPr>
              <w:spacing w:after="0"/>
              <w:rPr>
                <w:sz w:val="1"/>
                <w:szCs w:val="1"/>
                <w:color w:val="auto"/>
              </w:rPr>
            </w:pPr>
          </w:p>
        </w:tc>
      </w:tr>
      <w:tr>
        <w:trPr>
          <w:trHeight w:val="157"/>
        </w:trPr>
        <w:tc>
          <w:tcPr>
            <w:tcW w:w="276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Brook 35</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1986, 2004</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3"/>
              </w:rPr>
              <w:t>98,000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$36.09</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99%</w:t>
            </w:r>
          </w:p>
        </w:tc>
        <w:tc>
          <w:tcPr>
            <w:tcW w:w="100" w:type="dxa"/>
            <w:vAlign w:val="bottom"/>
          </w:tcPr>
          <w:p>
            <w:pPr>
              <w:spacing w:after="0"/>
              <w:rPr>
                <w:sz w:val="13"/>
                <w:szCs w:val="13"/>
                <w:color w:val="auto"/>
              </w:rPr>
            </w:pPr>
          </w:p>
        </w:tc>
        <w:tc>
          <w:tcPr>
            <w:tcW w:w="2620" w:type="dxa"/>
            <w:vAlign w:val="bottom"/>
          </w:tcPr>
          <w:p>
            <w:pPr>
              <w:ind w:left="40"/>
              <w:spacing w:after="0" w:line="157" w:lineRule="exact"/>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48"/>
        </w:trPr>
        <w:tc>
          <w:tcPr>
            <w:tcW w:w="2760" w:type="dxa"/>
            <w:vAlign w:val="bottom"/>
            <w:gridSpan w:val="7"/>
          </w:tcPr>
          <w:p>
            <w:pPr>
              <w:ind w:left="40"/>
              <w:spacing w:after="0" w:line="149" w:lineRule="exact"/>
              <w:rPr>
                <w:sz w:val="20"/>
                <w:szCs w:val="20"/>
                <w:color w:val="auto"/>
              </w:rPr>
            </w:pPr>
            <w:r>
              <w:rPr>
                <w:rFonts w:ascii="Arial" w:cs="Arial" w:eastAsia="Arial" w:hAnsi="Arial"/>
                <w:sz w:val="14"/>
                <w:szCs w:val="14"/>
                <w:color w:val="auto"/>
              </w:rPr>
              <w:t>Sea Grit, NJ 08750(5)(6)(8)</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ind w:left="40"/>
              <w:spacing w:after="0" w:line="149" w:lineRule="exact"/>
              <w:rPr>
                <w:sz w:val="20"/>
                <w:szCs w:val="20"/>
                <w:color w:val="auto"/>
              </w:rPr>
            </w:pPr>
            <w:r>
              <w:rPr>
                <w:rFonts w:ascii="Arial" w:cs="Arial" w:eastAsia="Arial" w:hAnsi="Arial"/>
                <w:sz w:val="14"/>
                <w:szCs w:val="14"/>
                <w:color w:val="auto"/>
              </w:rPr>
              <w:t>Gap</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ind w:left="40"/>
              <w:spacing w:after="0" w:line="149" w:lineRule="exact"/>
              <w:rPr>
                <w:sz w:val="20"/>
                <w:szCs w:val="20"/>
                <w:color w:val="auto"/>
              </w:rPr>
            </w:pPr>
            <w:r>
              <w:rPr>
                <w:rFonts w:ascii="Arial" w:cs="Arial" w:eastAsia="Arial" w:hAnsi="Arial"/>
                <w:sz w:val="14"/>
                <w:szCs w:val="14"/>
                <w:color w:val="auto"/>
              </w:rPr>
              <w:t>Coach</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ind w:left="40"/>
              <w:spacing w:after="0"/>
              <w:rPr>
                <w:sz w:val="20"/>
                <w:szCs w:val="20"/>
                <w:color w:val="auto"/>
              </w:rPr>
            </w:pPr>
            <w:r>
              <w:rPr>
                <w:rFonts w:ascii="Arial" w:cs="Arial" w:eastAsia="Arial" w:hAnsi="Arial"/>
                <w:sz w:val="14"/>
                <w:szCs w:val="14"/>
                <w:color w:val="auto"/>
              </w:rPr>
              <w:t>Williams-Sonoma</w:t>
            </w:r>
          </w:p>
        </w:tc>
        <w:tc>
          <w:tcPr>
            <w:tcW w:w="0" w:type="dxa"/>
            <w:vAlign w:val="bottom"/>
          </w:tcPr>
          <w:p>
            <w:pPr>
              <w:spacing w:after="0"/>
              <w:rPr>
                <w:sz w:val="1"/>
                <w:szCs w:val="1"/>
                <w:color w:val="auto"/>
              </w:rPr>
            </w:pPr>
          </w:p>
        </w:tc>
      </w:tr>
      <w:tr>
        <w:trPr>
          <w:trHeight w:val="163"/>
        </w:trPr>
        <w:tc>
          <w:tcPr>
            <w:tcW w:w="276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Ellisburg</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1959</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1992</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268,000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$16.35</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93%</w:t>
            </w:r>
          </w:p>
        </w:tc>
        <w:tc>
          <w:tcPr>
            <w:tcW w:w="100" w:type="dxa"/>
            <w:vAlign w:val="bottom"/>
            <w:shd w:val="clear" w:color="auto" w:fill="CCEEFF"/>
          </w:tcPr>
          <w:p>
            <w:pPr>
              <w:spacing w:after="0"/>
              <w:rPr>
                <w:sz w:val="14"/>
                <w:szCs w:val="14"/>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48"/>
        </w:trPr>
        <w:tc>
          <w:tcPr>
            <w:tcW w:w="2760" w:type="dxa"/>
            <w:vAlign w:val="bottom"/>
            <w:gridSpan w:val="7"/>
            <w:shd w:val="clear" w:color="auto" w:fill="CCEEFF"/>
          </w:tcPr>
          <w:p>
            <w:pPr>
              <w:ind w:left="40"/>
              <w:spacing w:after="0" w:line="149" w:lineRule="exact"/>
              <w:rPr>
                <w:sz w:val="20"/>
                <w:szCs w:val="20"/>
                <w:color w:val="auto"/>
              </w:rPr>
            </w:pPr>
            <w:r>
              <w:rPr>
                <w:rFonts w:ascii="Arial" w:cs="Arial" w:eastAsia="Arial" w:hAnsi="Arial"/>
                <w:sz w:val="14"/>
                <w:szCs w:val="14"/>
                <w:color w:val="auto"/>
              </w:rPr>
              <w:t>Cherry Hill, NJ 08034</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Stein Mart</w:t>
            </w:r>
          </w:p>
        </w:tc>
        <w:tc>
          <w:tcPr>
            <w:tcW w:w="0" w:type="dxa"/>
            <w:vAlign w:val="bottom"/>
          </w:tcPr>
          <w:p>
            <w:pPr>
              <w:spacing w:after="0"/>
              <w:rPr>
                <w:sz w:val="1"/>
                <w:szCs w:val="1"/>
                <w:color w:val="auto"/>
              </w:rPr>
            </w:pPr>
          </w:p>
        </w:tc>
      </w:tr>
      <w:tr>
        <w:trPr>
          <w:trHeight w:val="157"/>
        </w:trPr>
        <w:tc>
          <w:tcPr>
            <w:tcW w:w="276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Mercer Mall</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1975</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0"/>
              </w:rPr>
              <w:t>2003/2017</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530,000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$24.71</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98%</w:t>
            </w:r>
          </w:p>
        </w:tc>
        <w:tc>
          <w:tcPr>
            <w:tcW w:w="100" w:type="dxa"/>
            <w:vAlign w:val="bottom"/>
          </w:tcPr>
          <w:p>
            <w:pPr>
              <w:spacing w:after="0"/>
              <w:rPr>
                <w:sz w:val="13"/>
                <w:szCs w:val="13"/>
                <w:color w:val="auto"/>
              </w:rPr>
            </w:pPr>
          </w:p>
        </w:tc>
        <w:tc>
          <w:tcPr>
            <w:tcW w:w="2620" w:type="dxa"/>
            <w:vAlign w:val="bottom"/>
          </w:tcPr>
          <w:p>
            <w:pPr>
              <w:ind w:left="40"/>
              <w:spacing w:after="0" w:line="157" w:lineRule="exact"/>
              <w:rPr>
                <w:sz w:val="20"/>
                <w:szCs w:val="20"/>
                <w:color w:val="auto"/>
              </w:rPr>
            </w:pPr>
            <w:r>
              <w:rPr>
                <w:rFonts w:ascii="Arial" w:cs="Arial" w:eastAsia="Arial" w:hAnsi="Arial"/>
                <w:sz w:val="14"/>
                <w:szCs w:val="14"/>
                <w:color w:val="auto"/>
              </w:rPr>
              <w:t>Shop Rite</w:t>
            </w:r>
          </w:p>
        </w:tc>
        <w:tc>
          <w:tcPr>
            <w:tcW w:w="0" w:type="dxa"/>
            <w:vAlign w:val="bottom"/>
          </w:tcPr>
          <w:p>
            <w:pPr>
              <w:spacing w:after="0"/>
              <w:rPr>
                <w:sz w:val="1"/>
                <w:szCs w:val="1"/>
                <w:color w:val="auto"/>
              </w:rPr>
            </w:pPr>
          </w:p>
        </w:tc>
      </w:tr>
      <w:tr>
        <w:trPr>
          <w:trHeight w:val="148"/>
        </w:trPr>
        <w:tc>
          <w:tcPr>
            <w:tcW w:w="2760" w:type="dxa"/>
            <w:vAlign w:val="bottom"/>
            <w:gridSpan w:val="7"/>
          </w:tcPr>
          <w:p>
            <w:pPr>
              <w:ind w:left="40"/>
              <w:spacing w:after="0" w:line="149" w:lineRule="exact"/>
              <w:rPr>
                <w:sz w:val="20"/>
                <w:szCs w:val="20"/>
                <w:color w:val="auto"/>
              </w:rPr>
            </w:pPr>
            <w:r>
              <w:rPr>
                <w:rFonts w:ascii="Arial" w:cs="Arial" w:eastAsia="Arial" w:hAnsi="Arial"/>
                <w:sz w:val="14"/>
                <w:szCs w:val="14"/>
                <w:color w:val="auto"/>
              </w:rPr>
              <w:t>Lawrenceville, NJ 08648(4)</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ind w:left="4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ind w:left="40"/>
              <w:spacing w:after="0" w:line="149" w:lineRule="exact"/>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ind w:left="40"/>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ind w:left="40"/>
              <w:spacing w:after="0"/>
              <w:rPr>
                <w:sz w:val="20"/>
                <w:szCs w:val="20"/>
                <w:color w:val="auto"/>
              </w:rPr>
            </w:pPr>
            <w:r>
              <w:rPr>
                <w:rFonts w:ascii="Arial" w:cs="Arial" w:eastAsia="Arial" w:hAnsi="Arial"/>
                <w:sz w:val="14"/>
                <w:szCs w:val="14"/>
                <w:color w:val="auto"/>
              </w:rPr>
              <w:t>REI</w:t>
            </w:r>
          </w:p>
        </w:tc>
        <w:tc>
          <w:tcPr>
            <w:tcW w:w="0" w:type="dxa"/>
            <w:vAlign w:val="bottom"/>
          </w:tcPr>
          <w:p>
            <w:pPr>
              <w:spacing w:after="0"/>
              <w:rPr>
                <w:sz w:val="1"/>
                <w:szCs w:val="1"/>
                <w:color w:val="auto"/>
              </w:rPr>
            </w:pPr>
          </w:p>
        </w:tc>
      </w:tr>
      <w:tr>
        <w:trPr>
          <w:trHeight w:val="163"/>
        </w:trPr>
        <w:tc>
          <w:tcPr>
            <w:tcW w:w="276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The Grove at Shrewsbury</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1988, 1993</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2014</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193,000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$46.49</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00" w:type="dxa"/>
            <w:vAlign w:val="bottom"/>
            <w:shd w:val="clear" w:color="auto" w:fill="CCEEFF"/>
          </w:tcPr>
          <w:p>
            <w:pPr>
              <w:spacing w:after="0"/>
              <w:rPr>
                <w:sz w:val="14"/>
                <w:szCs w:val="14"/>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Lululemon</w:t>
            </w:r>
          </w:p>
        </w:tc>
        <w:tc>
          <w:tcPr>
            <w:tcW w:w="0" w:type="dxa"/>
            <w:vAlign w:val="bottom"/>
          </w:tcPr>
          <w:p>
            <w:pPr>
              <w:spacing w:after="0"/>
              <w:rPr>
                <w:sz w:val="1"/>
                <w:szCs w:val="1"/>
                <w:color w:val="auto"/>
              </w:rPr>
            </w:pPr>
          </w:p>
        </w:tc>
      </w:tr>
      <w:tr>
        <w:trPr>
          <w:trHeight w:val="148"/>
        </w:trPr>
        <w:tc>
          <w:tcPr>
            <w:tcW w:w="2760" w:type="dxa"/>
            <w:vAlign w:val="bottom"/>
            <w:gridSpan w:val="7"/>
            <w:shd w:val="clear" w:color="auto" w:fill="CCEEFF"/>
          </w:tcPr>
          <w:p>
            <w:pPr>
              <w:ind w:left="40"/>
              <w:spacing w:after="0" w:line="149" w:lineRule="exact"/>
              <w:rPr>
                <w:sz w:val="20"/>
                <w:szCs w:val="20"/>
                <w:color w:val="auto"/>
              </w:rPr>
            </w:pPr>
            <w:r>
              <w:rPr>
                <w:rFonts w:ascii="Arial" w:cs="Arial" w:eastAsia="Arial" w:hAnsi="Arial"/>
                <w:sz w:val="14"/>
                <w:szCs w:val="14"/>
                <w:color w:val="auto"/>
              </w:rPr>
              <w:t>Shrewsbury, NJ 07702(5)(6)(8)</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&amp; 2007</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Anthropologie</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Pottery Barn</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Williams-Sonoma</w:t>
            </w:r>
          </w:p>
        </w:tc>
        <w:tc>
          <w:tcPr>
            <w:tcW w:w="0" w:type="dxa"/>
            <w:vAlign w:val="bottom"/>
          </w:tcPr>
          <w:p>
            <w:pPr>
              <w:spacing w:after="0"/>
              <w:rPr>
                <w:sz w:val="1"/>
                <w:szCs w:val="1"/>
                <w:color w:val="auto"/>
              </w:rPr>
            </w:pPr>
          </w:p>
        </w:tc>
      </w:tr>
      <w:tr>
        <w:trPr>
          <w:trHeight w:val="157"/>
        </w:trPr>
        <w:tc>
          <w:tcPr>
            <w:tcW w:w="276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Troy</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1966</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1980</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211,000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$22.45</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99%</w:t>
            </w:r>
          </w:p>
        </w:tc>
        <w:tc>
          <w:tcPr>
            <w:tcW w:w="100" w:type="dxa"/>
            <w:vAlign w:val="bottom"/>
          </w:tcPr>
          <w:p>
            <w:pPr>
              <w:spacing w:after="0"/>
              <w:rPr>
                <w:sz w:val="13"/>
                <w:szCs w:val="13"/>
                <w:color w:val="auto"/>
              </w:rPr>
            </w:pPr>
          </w:p>
        </w:tc>
        <w:tc>
          <w:tcPr>
            <w:tcW w:w="2620" w:type="dxa"/>
            <w:vAlign w:val="bottom"/>
          </w:tcPr>
          <w:p>
            <w:pPr>
              <w:ind w:left="40"/>
              <w:spacing w:after="0" w:line="157" w:lineRule="exact"/>
              <w:rPr>
                <w:sz w:val="20"/>
                <w:szCs w:val="20"/>
                <w:color w:val="auto"/>
              </w:rPr>
            </w:pPr>
            <w:r>
              <w:rPr>
                <w:rFonts w:ascii="Arial" w:cs="Arial" w:eastAsia="Arial" w:hAnsi="Arial"/>
                <w:sz w:val="14"/>
                <w:szCs w:val="14"/>
                <w:color w:val="auto"/>
              </w:rPr>
              <w:t>L.A. Fitness Michaels</w:t>
            </w:r>
          </w:p>
        </w:tc>
        <w:tc>
          <w:tcPr>
            <w:tcW w:w="0" w:type="dxa"/>
            <w:vAlign w:val="bottom"/>
          </w:tcPr>
          <w:p>
            <w:pPr>
              <w:spacing w:after="0"/>
              <w:rPr>
                <w:sz w:val="1"/>
                <w:szCs w:val="1"/>
                <w:color w:val="auto"/>
              </w:rPr>
            </w:pPr>
          </w:p>
        </w:tc>
      </w:tr>
      <w:tr>
        <w:trPr>
          <w:trHeight w:val="188"/>
        </w:trPr>
        <w:tc>
          <w:tcPr>
            <w:tcW w:w="2760" w:type="dxa"/>
            <w:vAlign w:val="bottom"/>
            <w:gridSpan w:val="7"/>
          </w:tcPr>
          <w:p>
            <w:pPr>
              <w:ind w:left="40"/>
              <w:spacing w:after="0"/>
              <w:rPr>
                <w:sz w:val="20"/>
                <w:szCs w:val="20"/>
                <w:color w:val="auto"/>
              </w:rPr>
            </w:pPr>
            <w:r>
              <w:rPr>
                <w:rFonts w:ascii="Arial" w:cs="Arial" w:eastAsia="Arial" w:hAnsi="Arial"/>
                <w:sz w:val="14"/>
                <w:szCs w:val="14"/>
                <w:color w:val="auto"/>
              </w:rPr>
              <w:t>Parsippany-Troy, NJ 07054</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760" w:type="dxa"/>
            <w:vAlign w:val="bottom"/>
            <w:gridSpan w:val="7"/>
            <w:shd w:val="clear" w:color="auto" w:fill="CCEEFF"/>
          </w:tcPr>
          <w:p>
            <w:pPr>
              <w:ind w:left="40"/>
              <w:spacing w:after="0"/>
              <w:rPr>
                <w:sz w:val="20"/>
                <w:szCs w:val="20"/>
                <w:color w:val="auto"/>
              </w:rPr>
            </w:pPr>
            <w:r>
              <w:rPr>
                <w:rFonts w:ascii="Arial" w:cs="Arial" w:eastAsia="Arial" w:hAnsi="Arial"/>
                <w:sz w:val="14"/>
                <w:szCs w:val="14"/>
                <w:b w:val="1"/>
                <w:bCs w:val="1"/>
                <w:color w:val="auto"/>
              </w:rPr>
              <w:t>New York</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17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9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3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6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76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Fresh Meadows</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1949</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1997</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404,000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$32.35</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99%</w:t>
            </w:r>
          </w:p>
        </w:tc>
        <w:tc>
          <w:tcPr>
            <w:tcW w:w="100" w:type="dxa"/>
            <w:vAlign w:val="bottom"/>
          </w:tcPr>
          <w:p>
            <w:pPr>
              <w:spacing w:after="0"/>
              <w:rPr>
                <w:sz w:val="13"/>
                <w:szCs w:val="13"/>
                <w:color w:val="auto"/>
              </w:rPr>
            </w:pPr>
          </w:p>
        </w:tc>
        <w:tc>
          <w:tcPr>
            <w:tcW w:w="2620" w:type="dxa"/>
            <w:vAlign w:val="bottom"/>
          </w:tcPr>
          <w:p>
            <w:pPr>
              <w:ind w:left="40"/>
              <w:spacing w:after="0" w:line="157" w:lineRule="exact"/>
              <w:rPr>
                <w:sz w:val="20"/>
                <w:szCs w:val="20"/>
                <w:color w:val="auto"/>
              </w:rPr>
            </w:pPr>
            <w:r>
              <w:rPr>
                <w:rFonts w:ascii="Arial" w:cs="Arial" w:eastAsia="Arial" w:hAnsi="Arial"/>
                <w:sz w:val="14"/>
                <w:szCs w:val="14"/>
                <w:color w:val="auto"/>
              </w:rPr>
              <w:t>Island of Gold</w:t>
            </w:r>
          </w:p>
        </w:tc>
        <w:tc>
          <w:tcPr>
            <w:tcW w:w="0" w:type="dxa"/>
            <w:vAlign w:val="bottom"/>
          </w:tcPr>
          <w:p>
            <w:pPr>
              <w:spacing w:after="0"/>
              <w:rPr>
                <w:sz w:val="1"/>
                <w:szCs w:val="1"/>
                <w:color w:val="auto"/>
              </w:rPr>
            </w:pPr>
          </w:p>
        </w:tc>
      </w:tr>
      <w:tr>
        <w:trPr>
          <w:trHeight w:val="148"/>
        </w:trPr>
        <w:tc>
          <w:tcPr>
            <w:tcW w:w="2760" w:type="dxa"/>
            <w:vAlign w:val="bottom"/>
            <w:gridSpan w:val="7"/>
          </w:tcPr>
          <w:p>
            <w:pPr>
              <w:ind w:left="40"/>
              <w:spacing w:after="0" w:line="149" w:lineRule="exact"/>
              <w:rPr>
                <w:sz w:val="20"/>
                <w:szCs w:val="20"/>
                <w:color w:val="auto"/>
              </w:rPr>
            </w:pPr>
            <w:r>
              <w:rPr>
                <w:rFonts w:ascii="Arial" w:cs="Arial" w:eastAsia="Arial" w:hAnsi="Arial"/>
                <w:sz w:val="14"/>
                <w:szCs w:val="14"/>
                <w:color w:val="auto"/>
              </w:rPr>
              <w:t>Queens, NY 11365</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ind w:left="40"/>
              <w:spacing w:after="0" w:line="149" w:lineRule="exact"/>
              <w:rPr>
                <w:sz w:val="20"/>
                <w:szCs w:val="20"/>
                <w:color w:val="auto"/>
              </w:rPr>
            </w:pPr>
            <w:r>
              <w:rPr>
                <w:rFonts w:ascii="Arial" w:cs="Arial" w:eastAsia="Arial" w:hAnsi="Arial"/>
                <w:sz w:val="14"/>
                <w:szCs w:val="14"/>
                <w:color w:val="auto"/>
              </w:rPr>
              <w:t>AMC</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ind w:left="40"/>
              <w:spacing w:after="0" w:line="149" w:lineRule="exact"/>
              <w:rPr>
                <w:sz w:val="20"/>
                <w:szCs w:val="20"/>
                <w:color w:val="auto"/>
              </w:rPr>
            </w:pPr>
            <w:r>
              <w:rPr>
                <w:rFonts w:ascii="Arial" w:cs="Arial" w:eastAsia="Arial" w:hAnsi="Arial"/>
                <w:sz w:val="14"/>
                <w:szCs w:val="14"/>
                <w:color w:val="auto"/>
              </w:rPr>
              <w:t>Kohl's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ind w:left="40"/>
              <w:spacing w:after="0"/>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63"/>
        </w:trPr>
        <w:tc>
          <w:tcPr>
            <w:tcW w:w="276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Greenlawn Plaza</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1975, 2004</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2006</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106,000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$18.07</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96%</w:t>
            </w:r>
          </w:p>
        </w:tc>
        <w:tc>
          <w:tcPr>
            <w:tcW w:w="100" w:type="dxa"/>
            <w:vAlign w:val="bottom"/>
            <w:shd w:val="clear" w:color="auto" w:fill="CCEEFF"/>
          </w:tcPr>
          <w:p>
            <w:pPr>
              <w:spacing w:after="0"/>
              <w:rPr>
                <w:sz w:val="14"/>
                <w:szCs w:val="14"/>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Greenlawn Farms</w:t>
            </w:r>
          </w:p>
        </w:tc>
        <w:tc>
          <w:tcPr>
            <w:tcW w:w="0" w:type="dxa"/>
            <w:vAlign w:val="bottom"/>
          </w:tcPr>
          <w:p>
            <w:pPr>
              <w:spacing w:after="0"/>
              <w:rPr>
                <w:sz w:val="1"/>
                <w:szCs w:val="1"/>
                <w:color w:val="auto"/>
              </w:rPr>
            </w:pPr>
          </w:p>
        </w:tc>
      </w:tr>
      <w:tr>
        <w:trPr>
          <w:trHeight w:val="194"/>
        </w:trPr>
        <w:tc>
          <w:tcPr>
            <w:tcW w:w="276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Greenlawn, NY 11743</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Tuesday Morning</w:t>
            </w:r>
          </w:p>
        </w:tc>
        <w:tc>
          <w:tcPr>
            <w:tcW w:w="0" w:type="dxa"/>
            <w:vAlign w:val="bottom"/>
          </w:tcPr>
          <w:p>
            <w:pPr>
              <w:spacing w:after="0"/>
              <w:rPr>
                <w:sz w:val="1"/>
                <w:szCs w:val="1"/>
                <w:color w:val="auto"/>
              </w:rPr>
            </w:pPr>
          </w:p>
        </w:tc>
      </w:tr>
      <w:tr>
        <w:trPr>
          <w:trHeight w:val="157"/>
        </w:trPr>
        <w:tc>
          <w:tcPr>
            <w:tcW w:w="276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Hauppauge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1963</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1998</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134,000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$28.72</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3"/>
                <w:szCs w:val="13"/>
                <w:color w:val="auto"/>
              </w:rPr>
            </w:pPr>
          </w:p>
        </w:tc>
        <w:tc>
          <w:tcPr>
            <w:tcW w:w="2620" w:type="dxa"/>
            <w:vAlign w:val="bottom"/>
          </w:tcPr>
          <w:p>
            <w:pPr>
              <w:ind w:left="40"/>
              <w:spacing w:after="0" w:line="157" w:lineRule="exact"/>
              <w:rPr>
                <w:sz w:val="20"/>
                <w:szCs w:val="20"/>
                <w:color w:val="auto"/>
              </w:rPr>
            </w:pPr>
            <w:r>
              <w:rPr>
                <w:rFonts w:ascii="Arial" w:cs="Arial" w:eastAsia="Arial" w:hAnsi="Arial"/>
                <w:sz w:val="14"/>
                <w:szCs w:val="14"/>
                <w:color w:val="auto"/>
              </w:rPr>
              <w:t>Shop Rite</w:t>
            </w:r>
          </w:p>
        </w:tc>
        <w:tc>
          <w:tcPr>
            <w:tcW w:w="0" w:type="dxa"/>
            <w:vAlign w:val="bottom"/>
          </w:tcPr>
          <w:p>
            <w:pPr>
              <w:spacing w:after="0"/>
              <w:rPr>
                <w:sz w:val="1"/>
                <w:szCs w:val="1"/>
                <w:color w:val="auto"/>
              </w:rPr>
            </w:pPr>
          </w:p>
        </w:tc>
      </w:tr>
      <w:tr>
        <w:trPr>
          <w:trHeight w:val="182"/>
        </w:trPr>
        <w:tc>
          <w:tcPr>
            <w:tcW w:w="2760" w:type="dxa"/>
            <w:vAlign w:val="bottom"/>
            <w:gridSpan w:val="7"/>
          </w:tcPr>
          <w:p>
            <w:pPr>
              <w:ind w:left="40"/>
              <w:spacing w:after="0"/>
              <w:rPr>
                <w:sz w:val="20"/>
                <w:szCs w:val="20"/>
                <w:color w:val="auto"/>
              </w:rPr>
            </w:pPr>
            <w:r>
              <w:rPr>
                <w:rFonts w:ascii="Arial" w:cs="Arial" w:eastAsia="Arial" w:hAnsi="Arial"/>
                <w:sz w:val="14"/>
                <w:szCs w:val="14"/>
                <w:color w:val="auto"/>
              </w:rPr>
              <w:t>Hauppauge, NY 11788</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Pr>
          <w:p>
            <w:pPr>
              <w:ind w:left="40"/>
              <w:spacing w:after="0"/>
              <w:rPr>
                <w:sz w:val="20"/>
                <w:szCs w:val="20"/>
                <w:color w:val="auto"/>
              </w:rPr>
            </w:pPr>
            <w:r>
              <w:rPr>
                <w:rFonts w:ascii="Arial" w:cs="Arial" w:eastAsia="Arial" w:hAnsi="Arial"/>
                <w:sz w:val="14"/>
                <w:szCs w:val="14"/>
                <w:color w:val="auto"/>
              </w:rPr>
              <w:t>A.C. Moore</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6" w:right="2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Square Feet(1)</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Average Rent</w:t>
            </w:r>
          </w:p>
        </w:tc>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4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20" w:type="dxa"/>
            <w:vAlign w:val="bottom"/>
            <w:vMerge w:val="restart"/>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Per Square</w:t>
            </w:r>
          </w:p>
        </w:tc>
        <w:tc>
          <w:tcPr>
            <w:tcW w:w="1140" w:type="dxa"/>
            <w:vAlign w:val="bottom"/>
            <w:gridSpan w:val="2"/>
            <w:vMerge w:val="continue"/>
          </w:tcPr>
          <w:p>
            <w:pPr>
              <w:spacing w:after="0"/>
              <w:rPr>
                <w:sz w:val="12"/>
                <w:szCs w:val="12"/>
                <w:color w:val="auto"/>
              </w:rPr>
            </w:pPr>
          </w:p>
        </w:tc>
        <w:tc>
          <w:tcPr>
            <w:tcW w:w="262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gridSpan w:val="5"/>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Completed</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/Apartment Units</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Foot(2)</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Leased(3)</w:t>
            </w:r>
          </w:p>
        </w:tc>
        <w:tc>
          <w:tcPr>
            <w:tcW w:w="100" w:type="dxa"/>
            <w:vAlign w:val="bottom"/>
            <w:tcBorders>
              <w:bottom w:val="single" w:sz="8" w:color="CCEEFF"/>
            </w:tcBorders>
          </w:tcPr>
          <w:p>
            <w:pPr>
              <w:spacing w:after="0"/>
              <w:rPr>
                <w:sz w:val="16"/>
                <w:szCs w:val="16"/>
                <w:color w:val="auto"/>
              </w:rPr>
            </w:pPr>
          </w:p>
        </w:tc>
        <w:tc>
          <w:tcPr>
            <w:tcW w:w="2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760" w:type="dxa"/>
            <w:vAlign w:val="bottom"/>
            <w:gridSpan w:val="6"/>
            <w:shd w:val="clear" w:color="auto" w:fill="CCEEFF"/>
          </w:tcPr>
          <w:p>
            <w:pPr>
              <w:ind w:left="40"/>
              <w:spacing w:after="0" w:line="156" w:lineRule="exact"/>
              <w:rPr>
                <w:sz w:val="20"/>
                <w:szCs w:val="20"/>
                <w:color w:val="auto"/>
              </w:rPr>
            </w:pPr>
            <w:r>
              <w:rPr>
                <w:rFonts w:ascii="Arial" w:cs="Arial" w:eastAsia="Arial" w:hAnsi="Arial"/>
                <w:sz w:val="14"/>
                <w:szCs w:val="14"/>
                <w:color w:val="auto"/>
              </w:rPr>
              <w:t>Huntington</w:t>
            </w:r>
          </w:p>
        </w:tc>
        <w:tc>
          <w:tcPr>
            <w:tcW w:w="104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89"/>
              </w:rPr>
              <w:t>1962</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91"/>
              </w:rPr>
              <w:t>1988/2007/</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94"/>
              </w:rPr>
              <w:t>279,000</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93"/>
              </w:rPr>
              <w:t>$25.36</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92"/>
              </w:rPr>
              <w:t>99%</w:t>
            </w:r>
          </w:p>
        </w:tc>
        <w:tc>
          <w:tcPr>
            <w:tcW w:w="100" w:type="dxa"/>
            <w:vAlign w:val="bottom"/>
            <w:shd w:val="clear" w:color="auto" w:fill="CCEEFF"/>
          </w:tcPr>
          <w:p>
            <w:pPr>
              <w:spacing w:after="0"/>
              <w:rPr>
                <w:sz w:val="13"/>
                <w:szCs w:val="13"/>
                <w:color w:val="auto"/>
              </w:rPr>
            </w:pPr>
          </w:p>
        </w:tc>
        <w:tc>
          <w:tcPr>
            <w:tcW w:w="2620" w:type="dxa"/>
            <w:vAlign w:val="bottom"/>
            <w:shd w:val="clear" w:color="auto" w:fill="CCEEFF"/>
          </w:tcPr>
          <w:p>
            <w:pPr>
              <w:ind w:left="40"/>
              <w:spacing w:after="0" w:line="156" w:lineRule="exact"/>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148"/>
        </w:trPr>
        <w:tc>
          <w:tcPr>
            <w:tcW w:w="2760" w:type="dxa"/>
            <w:vAlign w:val="bottom"/>
            <w:gridSpan w:val="6"/>
            <w:shd w:val="clear" w:color="auto" w:fill="CCEEFF"/>
          </w:tcPr>
          <w:p>
            <w:pPr>
              <w:ind w:left="40"/>
              <w:spacing w:after="0" w:line="149" w:lineRule="exact"/>
              <w:rPr>
                <w:sz w:val="20"/>
                <w:szCs w:val="20"/>
                <w:color w:val="auto"/>
              </w:rPr>
            </w:pPr>
            <w:r>
              <w:rPr>
                <w:rFonts w:ascii="Arial" w:cs="Arial" w:eastAsia="Arial" w:hAnsi="Arial"/>
                <w:sz w:val="14"/>
                <w:szCs w:val="14"/>
                <w:color w:val="auto"/>
              </w:rPr>
              <w:t>Huntington, NY 11746</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2015</w:t>
            </w: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57"/>
        </w:trPr>
        <w:tc>
          <w:tcPr>
            <w:tcW w:w="276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Huntington Square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1980, 2007</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2010</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3"/>
              </w:rPr>
              <w:t>74,000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$27.96</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85%</w:t>
            </w:r>
          </w:p>
        </w:tc>
        <w:tc>
          <w:tcPr>
            <w:tcW w:w="100" w:type="dxa"/>
            <w:vAlign w:val="bottom"/>
          </w:tcPr>
          <w:p>
            <w:pPr>
              <w:spacing w:after="0"/>
              <w:rPr>
                <w:sz w:val="13"/>
                <w:szCs w:val="13"/>
                <w:color w:val="auto"/>
              </w:rPr>
            </w:pPr>
          </w:p>
        </w:tc>
        <w:tc>
          <w:tcPr>
            <w:tcW w:w="2620" w:type="dxa"/>
            <w:vAlign w:val="bottom"/>
          </w:tcPr>
          <w:p>
            <w:pPr>
              <w:ind w:left="40"/>
              <w:spacing w:after="0" w:line="157"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88"/>
        </w:trPr>
        <w:tc>
          <w:tcPr>
            <w:tcW w:w="2760" w:type="dxa"/>
            <w:vAlign w:val="bottom"/>
            <w:gridSpan w:val="6"/>
          </w:tcPr>
          <w:p>
            <w:pPr>
              <w:ind w:left="40"/>
              <w:spacing w:after="0"/>
              <w:rPr>
                <w:sz w:val="20"/>
                <w:szCs w:val="20"/>
                <w:color w:val="auto"/>
              </w:rPr>
            </w:pPr>
            <w:r>
              <w:rPr>
                <w:rFonts w:ascii="Arial" w:cs="Arial" w:eastAsia="Arial" w:hAnsi="Arial"/>
                <w:sz w:val="14"/>
                <w:szCs w:val="14"/>
                <w:color w:val="auto"/>
              </w:rPr>
              <w:t>East Northport, NY 11731(4)</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76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Melville Mall</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1974</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2006</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251,000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$26.14</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95%</w:t>
            </w:r>
          </w:p>
        </w:tc>
        <w:tc>
          <w:tcPr>
            <w:tcW w:w="100" w:type="dxa"/>
            <w:vAlign w:val="bottom"/>
            <w:shd w:val="clear" w:color="auto" w:fill="CCEEFF"/>
          </w:tcPr>
          <w:p>
            <w:pPr>
              <w:spacing w:after="0"/>
              <w:rPr>
                <w:sz w:val="14"/>
                <w:szCs w:val="14"/>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Uncle Giuseppe's Marketplace</w:t>
            </w:r>
          </w:p>
        </w:tc>
        <w:tc>
          <w:tcPr>
            <w:tcW w:w="0" w:type="dxa"/>
            <w:vAlign w:val="bottom"/>
          </w:tcPr>
          <w:p>
            <w:pPr>
              <w:spacing w:after="0"/>
              <w:rPr>
                <w:sz w:val="1"/>
                <w:szCs w:val="1"/>
                <w:color w:val="auto"/>
              </w:rPr>
            </w:pPr>
          </w:p>
        </w:tc>
      </w:tr>
      <w:tr>
        <w:trPr>
          <w:trHeight w:val="148"/>
        </w:trPr>
        <w:tc>
          <w:tcPr>
            <w:tcW w:w="2760" w:type="dxa"/>
            <w:vAlign w:val="bottom"/>
            <w:gridSpan w:val="6"/>
            <w:shd w:val="clear" w:color="auto" w:fill="CCEEFF"/>
          </w:tcPr>
          <w:p>
            <w:pPr>
              <w:ind w:left="40"/>
              <w:spacing w:after="0" w:line="149" w:lineRule="exact"/>
              <w:rPr>
                <w:sz w:val="20"/>
                <w:szCs w:val="20"/>
                <w:color w:val="auto"/>
              </w:rPr>
            </w:pPr>
            <w:r>
              <w:rPr>
                <w:rFonts w:ascii="Arial" w:cs="Arial" w:eastAsia="Arial" w:hAnsi="Arial"/>
                <w:sz w:val="14"/>
                <w:szCs w:val="14"/>
                <w:color w:val="auto"/>
              </w:rPr>
              <w:t>Huntington, NY 11747(4)</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Field &amp; Stream</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Macy's Backstage</w:t>
            </w:r>
          </w:p>
        </w:tc>
        <w:tc>
          <w:tcPr>
            <w:tcW w:w="0" w:type="dxa"/>
            <w:vAlign w:val="bottom"/>
          </w:tcPr>
          <w:p>
            <w:pPr>
              <w:spacing w:after="0"/>
              <w:rPr>
                <w:sz w:val="1"/>
                <w:szCs w:val="1"/>
                <w:color w:val="auto"/>
              </w:rPr>
            </w:pPr>
          </w:p>
        </w:tc>
      </w:tr>
      <w:tr>
        <w:trPr>
          <w:trHeight w:val="162"/>
        </w:trPr>
        <w:tc>
          <w:tcPr>
            <w:tcW w:w="2760" w:type="dxa"/>
            <w:vAlign w:val="bottom"/>
            <w:gridSpan w:val="6"/>
          </w:tcPr>
          <w:p>
            <w:pPr>
              <w:ind w:left="40"/>
              <w:spacing w:after="0"/>
              <w:rPr>
                <w:sz w:val="20"/>
                <w:szCs w:val="20"/>
                <w:color w:val="auto"/>
              </w:rPr>
            </w:pPr>
            <w:r>
              <w:rPr>
                <w:rFonts w:ascii="Arial" w:cs="Arial" w:eastAsia="Arial" w:hAnsi="Arial"/>
                <w:sz w:val="14"/>
                <w:szCs w:val="14"/>
                <w:b w:val="1"/>
                <w:bCs w:val="1"/>
                <w:color w:val="auto"/>
              </w:rPr>
              <w:t>North Carolina</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760" w:type="dxa"/>
            <w:vAlign w:val="bottom"/>
            <w:gridSpan w:val="6"/>
            <w:shd w:val="clear" w:color="auto" w:fill="CCEEFF"/>
          </w:tcPr>
          <w:p>
            <w:pPr>
              <w:ind w:left="40"/>
              <w:spacing w:after="0" w:line="157" w:lineRule="exact"/>
              <w:rPr>
                <w:sz w:val="20"/>
                <w:szCs w:val="20"/>
                <w:color w:val="auto"/>
              </w:rPr>
            </w:pPr>
            <w:r>
              <w:rPr>
                <w:rFonts w:ascii="Arial" w:cs="Arial" w:eastAsia="Arial" w:hAnsi="Arial"/>
                <w:sz w:val="14"/>
                <w:szCs w:val="14"/>
                <w:color w:val="auto"/>
              </w:rPr>
              <w:t>Eastgate Crossing</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1963</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1986</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159,000</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$26.94</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95%</w:t>
            </w:r>
          </w:p>
        </w:tc>
        <w:tc>
          <w:tcPr>
            <w:tcW w:w="100" w:type="dxa"/>
            <w:vAlign w:val="bottom"/>
            <w:shd w:val="clear" w:color="auto" w:fill="CCEEFF"/>
          </w:tcPr>
          <w:p>
            <w:pPr>
              <w:spacing w:after="0"/>
              <w:rPr>
                <w:sz w:val="13"/>
                <w:szCs w:val="13"/>
                <w:color w:val="auto"/>
              </w:rPr>
            </w:pPr>
          </w:p>
        </w:tc>
        <w:tc>
          <w:tcPr>
            <w:tcW w:w="26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48"/>
        </w:trPr>
        <w:tc>
          <w:tcPr>
            <w:tcW w:w="2760" w:type="dxa"/>
            <w:vAlign w:val="bottom"/>
            <w:gridSpan w:val="6"/>
            <w:shd w:val="clear" w:color="auto" w:fill="CCEEFF"/>
          </w:tcPr>
          <w:p>
            <w:pPr>
              <w:ind w:left="40"/>
              <w:spacing w:after="0" w:line="149" w:lineRule="exact"/>
              <w:rPr>
                <w:sz w:val="20"/>
                <w:szCs w:val="20"/>
                <w:color w:val="auto"/>
              </w:rPr>
            </w:pPr>
            <w:r>
              <w:rPr>
                <w:rFonts w:ascii="Arial" w:cs="Arial" w:eastAsia="Arial" w:hAnsi="Arial"/>
                <w:sz w:val="14"/>
                <w:szCs w:val="14"/>
                <w:color w:val="auto"/>
              </w:rPr>
              <w:t>Chapel Hill, NC 27514</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Stein Mart</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Petco</w:t>
            </w:r>
          </w:p>
        </w:tc>
        <w:tc>
          <w:tcPr>
            <w:tcW w:w="0" w:type="dxa"/>
            <w:vAlign w:val="bottom"/>
          </w:tcPr>
          <w:p>
            <w:pPr>
              <w:spacing w:after="0"/>
              <w:rPr>
                <w:sz w:val="1"/>
                <w:szCs w:val="1"/>
                <w:color w:val="auto"/>
              </w:rPr>
            </w:pPr>
          </w:p>
        </w:tc>
      </w:tr>
      <w:tr>
        <w:trPr>
          <w:trHeight w:val="162"/>
        </w:trPr>
        <w:tc>
          <w:tcPr>
            <w:tcW w:w="2760" w:type="dxa"/>
            <w:vAlign w:val="bottom"/>
            <w:gridSpan w:val="6"/>
          </w:tcPr>
          <w:p>
            <w:pPr>
              <w:ind w:left="40"/>
              <w:spacing w:after="0"/>
              <w:rPr>
                <w:sz w:val="20"/>
                <w:szCs w:val="20"/>
                <w:color w:val="auto"/>
              </w:rPr>
            </w:pPr>
            <w:r>
              <w:rPr>
                <w:rFonts w:ascii="Arial" w:cs="Arial" w:eastAsia="Arial" w:hAnsi="Arial"/>
                <w:sz w:val="14"/>
                <w:szCs w:val="14"/>
                <w:b w:val="1"/>
                <w:bCs w:val="1"/>
                <w:color w:val="auto"/>
              </w:rPr>
              <w:t>Pennsylvania</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760" w:type="dxa"/>
            <w:vAlign w:val="bottom"/>
            <w:gridSpan w:val="6"/>
            <w:shd w:val="clear" w:color="auto" w:fill="CCEEFF"/>
          </w:tcPr>
          <w:p>
            <w:pPr>
              <w:ind w:left="40"/>
              <w:spacing w:after="0" w:line="157" w:lineRule="exact"/>
              <w:rPr>
                <w:sz w:val="20"/>
                <w:szCs w:val="20"/>
                <w:color w:val="auto"/>
              </w:rPr>
            </w:pPr>
            <w:r>
              <w:rPr>
                <w:rFonts w:ascii="Arial" w:cs="Arial" w:eastAsia="Arial" w:hAnsi="Arial"/>
                <w:sz w:val="14"/>
                <w:szCs w:val="14"/>
                <w:color w:val="auto"/>
              </w:rPr>
              <w:t>Andorra</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1953</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1988</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264,000</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$14.82</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89%</w:t>
            </w:r>
          </w:p>
        </w:tc>
        <w:tc>
          <w:tcPr>
            <w:tcW w:w="100" w:type="dxa"/>
            <w:vAlign w:val="bottom"/>
            <w:shd w:val="clear" w:color="auto" w:fill="CCEEFF"/>
          </w:tcPr>
          <w:p>
            <w:pPr>
              <w:spacing w:after="0"/>
              <w:rPr>
                <w:sz w:val="13"/>
                <w:szCs w:val="13"/>
                <w:color w:val="auto"/>
              </w:rPr>
            </w:pPr>
          </w:p>
        </w:tc>
        <w:tc>
          <w:tcPr>
            <w:tcW w:w="26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48"/>
        </w:trPr>
        <w:tc>
          <w:tcPr>
            <w:tcW w:w="2760" w:type="dxa"/>
            <w:vAlign w:val="bottom"/>
            <w:gridSpan w:val="6"/>
            <w:shd w:val="clear" w:color="auto" w:fill="CCEEFF"/>
          </w:tcPr>
          <w:p>
            <w:pPr>
              <w:ind w:left="40"/>
              <w:spacing w:after="0" w:line="149" w:lineRule="exact"/>
              <w:rPr>
                <w:sz w:val="20"/>
                <w:szCs w:val="20"/>
                <w:color w:val="auto"/>
              </w:rPr>
            </w:pPr>
            <w:r>
              <w:rPr>
                <w:rFonts w:ascii="Arial" w:cs="Arial" w:eastAsia="Arial" w:hAnsi="Arial"/>
                <w:sz w:val="14"/>
                <w:szCs w:val="14"/>
                <w:color w:val="auto"/>
              </w:rPr>
              <w:t>Philadelphia, PA 19128</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Kohl's</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57"/>
        </w:trPr>
        <w:tc>
          <w:tcPr>
            <w:tcW w:w="276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Bala Cynwyd</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1955</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1993</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294,000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$24.84</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3"/>
                <w:szCs w:val="13"/>
                <w:color w:val="auto"/>
              </w:rPr>
            </w:pPr>
          </w:p>
        </w:tc>
        <w:tc>
          <w:tcPr>
            <w:tcW w:w="2620" w:type="dxa"/>
            <w:vAlign w:val="bottom"/>
          </w:tcPr>
          <w:p>
            <w:pPr>
              <w:ind w:left="40"/>
              <w:spacing w:after="0" w:line="157"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48"/>
        </w:trPr>
        <w:tc>
          <w:tcPr>
            <w:tcW w:w="2760" w:type="dxa"/>
            <w:vAlign w:val="bottom"/>
            <w:gridSpan w:val="6"/>
          </w:tcPr>
          <w:p>
            <w:pPr>
              <w:ind w:left="40"/>
              <w:spacing w:after="0" w:line="149" w:lineRule="exact"/>
              <w:rPr>
                <w:sz w:val="20"/>
                <w:szCs w:val="20"/>
                <w:color w:val="auto"/>
              </w:rPr>
            </w:pPr>
            <w:r>
              <w:rPr>
                <w:rFonts w:ascii="Arial" w:cs="Arial" w:eastAsia="Arial" w:hAnsi="Arial"/>
                <w:sz w:val="14"/>
                <w:szCs w:val="14"/>
                <w:color w:val="auto"/>
              </w:rPr>
              <w:t>Bala Cynwyd, PA 19004</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ind w:left="40"/>
              <w:spacing w:after="0" w:line="149" w:lineRule="exact"/>
              <w:rPr>
                <w:sz w:val="20"/>
                <w:szCs w:val="20"/>
                <w:color w:val="auto"/>
              </w:rPr>
            </w:pPr>
            <w:r>
              <w:rPr>
                <w:rFonts w:ascii="Arial" w:cs="Arial" w:eastAsia="Arial" w:hAnsi="Arial"/>
                <w:sz w:val="14"/>
                <w:szCs w:val="14"/>
                <w:color w:val="auto"/>
              </w:rPr>
              <w:t>Lord &amp; Taylor</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ind w:left="40"/>
              <w:spacing w:after="0" w:line="149"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ind w:left="4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63"/>
        </w:trPr>
        <w:tc>
          <w:tcPr>
            <w:tcW w:w="276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Flourtown</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1957</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1980</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156,000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$22.05</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99%</w:t>
            </w:r>
          </w:p>
        </w:tc>
        <w:tc>
          <w:tcPr>
            <w:tcW w:w="100" w:type="dxa"/>
            <w:vAlign w:val="bottom"/>
            <w:shd w:val="clear" w:color="auto" w:fill="CCEEFF"/>
          </w:tcPr>
          <w:p>
            <w:pPr>
              <w:spacing w:after="0"/>
              <w:rPr>
                <w:sz w:val="14"/>
                <w:szCs w:val="14"/>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94"/>
        </w:trPr>
        <w:tc>
          <w:tcPr>
            <w:tcW w:w="276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Flourtown, PA 19031</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Movie Tavern</w:t>
            </w:r>
          </w:p>
        </w:tc>
        <w:tc>
          <w:tcPr>
            <w:tcW w:w="0" w:type="dxa"/>
            <w:vAlign w:val="bottom"/>
          </w:tcPr>
          <w:p>
            <w:pPr>
              <w:spacing w:after="0"/>
              <w:rPr>
                <w:sz w:val="1"/>
                <w:szCs w:val="1"/>
                <w:color w:val="auto"/>
              </w:rPr>
            </w:pPr>
          </w:p>
        </w:tc>
      </w:tr>
      <w:tr>
        <w:trPr>
          <w:trHeight w:val="157"/>
        </w:trPr>
        <w:tc>
          <w:tcPr>
            <w:tcW w:w="276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Lancaster</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1958</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1980</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127,000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$18.41</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98%</w:t>
            </w:r>
          </w:p>
        </w:tc>
        <w:tc>
          <w:tcPr>
            <w:tcW w:w="100" w:type="dxa"/>
            <w:vAlign w:val="bottom"/>
          </w:tcPr>
          <w:p>
            <w:pPr>
              <w:spacing w:after="0"/>
              <w:rPr>
                <w:sz w:val="13"/>
                <w:szCs w:val="13"/>
                <w:color w:val="auto"/>
              </w:rPr>
            </w:pPr>
          </w:p>
        </w:tc>
        <w:tc>
          <w:tcPr>
            <w:tcW w:w="2620" w:type="dxa"/>
            <w:vAlign w:val="bottom"/>
          </w:tcPr>
          <w:p>
            <w:pPr>
              <w:ind w:left="4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88"/>
        </w:trPr>
        <w:tc>
          <w:tcPr>
            <w:tcW w:w="2760" w:type="dxa"/>
            <w:vAlign w:val="bottom"/>
            <w:gridSpan w:val="6"/>
          </w:tcPr>
          <w:p>
            <w:pPr>
              <w:ind w:left="40"/>
              <w:spacing w:after="0"/>
              <w:rPr>
                <w:sz w:val="20"/>
                <w:szCs w:val="20"/>
                <w:color w:val="auto"/>
              </w:rPr>
            </w:pPr>
            <w:r>
              <w:rPr>
                <w:rFonts w:ascii="Arial" w:cs="Arial" w:eastAsia="Arial" w:hAnsi="Arial"/>
                <w:sz w:val="14"/>
                <w:szCs w:val="14"/>
                <w:color w:val="auto"/>
              </w:rPr>
              <w:t>Lancaster, PA 17601(4)</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ind w:left="40"/>
              <w:spacing w:after="0"/>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63"/>
        </w:trPr>
        <w:tc>
          <w:tcPr>
            <w:tcW w:w="276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Langhorne Square</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1966</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1985</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227,000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$16.90</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00" w:type="dxa"/>
            <w:vAlign w:val="bottom"/>
            <w:shd w:val="clear" w:color="auto" w:fill="CCEEFF"/>
          </w:tcPr>
          <w:p>
            <w:pPr>
              <w:spacing w:after="0"/>
              <w:rPr>
                <w:sz w:val="14"/>
                <w:szCs w:val="14"/>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Redner's Warehouse Mkts.</w:t>
            </w:r>
          </w:p>
        </w:tc>
        <w:tc>
          <w:tcPr>
            <w:tcW w:w="0" w:type="dxa"/>
            <w:vAlign w:val="bottom"/>
          </w:tcPr>
          <w:p>
            <w:pPr>
              <w:spacing w:after="0"/>
              <w:rPr>
                <w:sz w:val="1"/>
                <w:szCs w:val="1"/>
                <w:color w:val="auto"/>
              </w:rPr>
            </w:pPr>
          </w:p>
        </w:tc>
      </w:tr>
      <w:tr>
        <w:trPr>
          <w:trHeight w:val="148"/>
        </w:trPr>
        <w:tc>
          <w:tcPr>
            <w:tcW w:w="2760" w:type="dxa"/>
            <w:vAlign w:val="bottom"/>
            <w:gridSpan w:val="6"/>
            <w:shd w:val="clear" w:color="auto" w:fill="CCEEFF"/>
          </w:tcPr>
          <w:p>
            <w:pPr>
              <w:ind w:left="40"/>
              <w:spacing w:after="0" w:line="149" w:lineRule="exact"/>
              <w:rPr>
                <w:sz w:val="20"/>
                <w:szCs w:val="20"/>
                <w:color w:val="auto"/>
              </w:rPr>
            </w:pPr>
            <w:r>
              <w:rPr>
                <w:rFonts w:ascii="Arial" w:cs="Arial" w:eastAsia="Arial" w:hAnsi="Arial"/>
                <w:sz w:val="14"/>
                <w:szCs w:val="14"/>
                <w:color w:val="auto"/>
              </w:rPr>
              <w:t>Levittown, PA 19056</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Planet Fitness</w:t>
            </w:r>
          </w:p>
        </w:tc>
        <w:tc>
          <w:tcPr>
            <w:tcW w:w="0" w:type="dxa"/>
            <w:vAlign w:val="bottom"/>
          </w:tcPr>
          <w:p>
            <w:pPr>
              <w:spacing w:after="0"/>
              <w:rPr>
                <w:sz w:val="1"/>
                <w:szCs w:val="1"/>
                <w:color w:val="auto"/>
              </w:rPr>
            </w:pPr>
          </w:p>
        </w:tc>
      </w:tr>
      <w:tr>
        <w:trPr>
          <w:trHeight w:val="157"/>
        </w:trPr>
        <w:tc>
          <w:tcPr>
            <w:tcW w:w="276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Lawrence Park</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1972</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1980</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374,000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$20.85</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97%</w:t>
            </w:r>
          </w:p>
        </w:tc>
        <w:tc>
          <w:tcPr>
            <w:tcW w:w="100" w:type="dxa"/>
            <w:vAlign w:val="bottom"/>
          </w:tcPr>
          <w:p>
            <w:pPr>
              <w:spacing w:after="0"/>
              <w:rPr>
                <w:sz w:val="13"/>
                <w:szCs w:val="13"/>
                <w:color w:val="auto"/>
              </w:rPr>
            </w:pPr>
          </w:p>
        </w:tc>
        <w:tc>
          <w:tcPr>
            <w:tcW w:w="2620" w:type="dxa"/>
            <w:vAlign w:val="bottom"/>
          </w:tcPr>
          <w:p>
            <w:pPr>
              <w:ind w:left="40"/>
              <w:spacing w:after="0" w:line="157"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48"/>
        </w:trPr>
        <w:tc>
          <w:tcPr>
            <w:tcW w:w="2760" w:type="dxa"/>
            <w:vAlign w:val="bottom"/>
            <w:gridSpan w:val="6"/>
          </w:tcPr>
          <w:p>
            <w:pPr>
              <w:ind w:left="40"/>
              <w:spacing w:after="0" w:line="149" w:lineRule="exact"/>
              <w:rPr>
                <w:sz w:val="20"/>
                <w:szCs w:val="20"/>
                <w:color w:val="auto"/>
              </w:rPr>
            </w:pPr>
            <w:r>
              <w:rPr>
                <w:rFonts w:ascii="Arial" w:cs="Arial" w:eastAsia="Arial" w:hAnsi="Arial"/>
                <w:sz w:val="14"/>
                <w:szCs w:val="14"/>
                <w:color w:val="auto"/>
              </w:rPr>
              <w:t>Broomall, PA 19008</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ind w:left="4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ind w:left="40"/>
              <w:spacing w:after="0" w:line="149"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ind w:left="40"/>
              <w:spacing w:after="0"/>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63"/>
        </w:trPr>
        <w:tc>
          <w:tcPr>
            <w:tcW w:w="276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Northeast</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1959</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1983</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288,000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$13.68</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85%</w:t>
            </w:r>
          </w:p>
        </w:tc>
        <w:tc>
          <w:tcPr>
            <w:tcW w:w="100" w:type="dxa"/>
            <w:vAlign w:val="bottom"/>
            <w:shd w:val="clear" w:color="auto" w:fill="CCEEFF"/>
          </w:tcPr>
          <w:p>
            <w:pPr>
              <w:spacing w:after="0"/>
              <w:rPr>
                <w:sz w:val="14"/>
                <w:szCs w:val="14"/>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8"/>
        </w:trPr>
        <w:tc>
          <w:tcPr>
            <w:tcW w:w="2760" w:type="dxa"/>
            <w:vAlign w:val="bottom"/>
            <w:gridSpan w:val="6"/>
            <w:shd w:val="clear" w:color="auto" w:fill="CCEEFF"/>
          </w:tcPr>
          <w:p>
            <w:pPr>
              <w:ind w:left="40"/>
              <w:spacing w:after="0" w:line="149" w:lineRule="exact"/>
              <w:rPr>
                <w:sz w:val="20"/>
                <w:szCs w:val="20"/>
                <w:color w:val="auto"/>
              </w:rPr>
            </w:pPr>
            <w:r>
              <w:rPr>
                <w:rFonts w:ascii="Arial" w:cs="Arial" w:eastAsia="Arial" w:hAnsi="Arial"/>
                <w:sz w:val="14"/>
                <w:szCs w:val="14"/>
                <w:color w:val="auto"/>
              </w:rPr>
              <w:t>Philadelphia, PA 19114</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Burlington</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 Moore</w:t>
            </w:r>
          </w:p>
        </w:tc>
        <w:tc>
          <w:tcPr>
            <w:tcW w:w="0" w:type="dxa"/>
            <w:vAlign w:val="bottom"/>
          </w:tcPr>
          <w:p>
            <w:pPr>
              <w:spacing w:after="0"/>
              <w:rPr>
                <w:sz w:val="1"/>
                <w:szCs w:val="1"/>
                <w:color w:val="auto"/>
              </w:rPr>
            </w:pPr>
          </w:p>
        </w:tc>
      </w:tr>
      <w:tr>
        <w:trPr>
          <w:trHeight w:val="157"/>
        </w:trPr>
        <w:tc>
          <w:tcPr>
            <w:tcW w:w="276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Town Center of New Britain</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1969</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2006</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124,000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$10.07</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90%</w:t>
            </w:r>
          </w:p>
        </w:tc>
        <w:tc>
          <w:tcPr>
            <w:tcW w:w="100" w:type="dxa"/>
            <w:vAlign w:val="bottom"/>
          </w:tcPr>
          <w:p>
            <w:pPr>
              <w:spacing w:after="0"/>
              <w:rPr>
                <w:sz w:val="13"/>
                <w:szCs w:val="13"/>
                <w:color w:val="auto"/>
              </w:rPr>
            </w:pPr>
          </w:p>
        </w:tc>
        <w:tc>
          <w:tcPr>
            <w:tcW w:w="2620" w:type="dxa"/>
            <w:vAlign w:val="bottom"/>
          </w:tcPr>
          <w:p>
            <w:pPr>
              <w:ind w:left="4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8"/>
        </w:trPr>
        <w:tc>
          <w:tcPr>
            <w:tcW w:w="2760" w:type="dxa"/>
            <w:vAlign w:val="bottom"/>
            <w:gridSpan w:val="6"/>
          </w:tcPr>
          <w:p>
            <w:pPr>
              <w:ind w:left="40"/>
              <w:spacing w:after="0" w:line="149" w:lineRule="exact"/>
              <w:rPr>
                <w:sz w:val="20"/>
                <w:szCs w:val="20"/>
                <w:color w:val="auto"/>
              </w:rPr>
            </w:pPr>
            <w:r>
              <w:rPr>
                <w:rFonts w:ascii="Arial" w:cs="Arial" w:eastAsia="Arial" w:hAnsi="Arial"/>
                <w:sz w:val="14"/>
                <w:szCs w:val="14"/>
                <w:color w:val="auto"/>
              </w:rPr>
              <w:t>New Britain, PA 18901</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ind w:left="40"/>
              <w:spacing w:after="0" w:line="149" w:lineRule="exact"/>
              <w:rPr>
                <w:sz w:val="20"/>
                <w:szCs w:val="20"/>
                <w:color w:val="auto"/>
              </w:rPr>
            </w:pPr>
            <w:r>
              <w:rPr>
                <w:rFonts w:ascii="Arial" w:cs="Arial" w:eastAsia="Arial" w:hAnsi="Arial"/>
                <w:sz w:val="14"/>
                <w:szCs w:val="14"/>
                <w:color w:val="auto"/>
              </w:rPr>
              <w:t>Rite Aid</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ind w:left="40"/>
              <w:spacing w:after="0"/>
              <w:rPr>
                <w:sz w:val="20"/>
                <w:szCs w:val="20"/>
                <w:color w:val="auto"/>
              </w:rPr>
            </w:pPr>
            <w:r>
              <w:rPr>
                <w:rFonts w:ascii="Arial" w:cs="Arial" w:eastAsia="Arial" w:hAnsi="Arial"/>
                <w:sz w:val="14"/>
                <w:szCs w:val="14"/>
                <w:color w:val="auto"/>
              </w:rPr>
              <w:t>Dollar Tree</w:t>
            </w:r>
          </w:p>
        </w:tc>
        <w:tc>
          <w:tcPr>
            <w:tcW w:w="0" w:type="dxa"/>
            <w:vAlign w:val="bottom"/>
          </w:tcPr>
          <w:p>
            <w:pPr>
              <w:spacing w:after="0"/>
              <w:rPr>
                <w:sz w:val="1"/>
                <w:szCs w:val="1"/>
                <w:color w:val="auto"/>
              </w:rPr>
            </w:pPr>
          </w:p>
        </w:tc>
      </w:tr>
      <w:tr>
        <w:trPr>
          <w:trHeight w:val="163"/>
        </w:trPr>
        <w:tc>
          <w:tcPr>
            <w:tcW w:w="276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Willow Grove</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1953</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1984</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211,000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$19.28</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96%</w:t>
            </w:r>
          </w:p>
        </w:tc>
        <w:tc>
          <w:tcPr>
            <w:tcW w:w="100" w:type="dxa"/>
            <w:vAlign w:val="bottom"/>
            <w:shd w:val="clear" w:color="auto" w:fill="CCEEFF"/>
          </w:tcPr>
          <w:p>
            <w:pPr>
              <w:spacing w:after="0"/>
              <w:rPr>
                <w:sz w:val="14"/>
                <w:szCs w:val="14"/>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8"/>
        </w:trPr>
        <w:tc>
          <w:tcPr>
            <w:tcW w:w="2760" w:type="dxa"/>
            <w:vAlign w:val="bottom"/>
            <w:gridSpan w:val="6"/>
            <w:shd w:val="clear" w:color="auto" w:fill="CCEEFF"/>
          </w:tcPr>
          <w:p>
            <w:pPr>
              <w:ind w:left="40"/>
              <w:spacing w:after="0" w:line="149" w:lineRule="exact"/>
              <w:rPr>
                <w:sz w:val="20"/>
                <w:szCs w:val="20"/>
                <w:color w:val="auto"/>
              </w:rPr>
            </w:pPr>
            <w:r>
              <w:rPr>
                <w:rFonts w:ascii="Arial" w:cs="Arial" w:eastAsia="Arial" w:hAnsi="Arial"/>
                <w:sz w:val="14"/>
                <w:szCs w:val="14"/>
                <w:color w:val="auto"/>
              </w:rPr>
              <w:t>Willow Grove, PA 19090</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57"/>
        </w:trPr>
        <w:tc>
          <w:tcPr>
            <w:tcW w:w="276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Wynnewood</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1948</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1996</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251,000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$27.83</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3"/>
                <w:szCs w:val="13"/>
                <w:color w:val="auto"/>
              </w:rPr>
            </w:pPr>
          </w:p>
        </w:tc>
        <w:tc>
          <w:tcPr>
            <w:tcW w:w="2620" w:type="dxa"/>
            <w:vAlign w:val="bottom"/>
          </w:tcPr>
          <w:p>
            <w:pPr>
              <w:ind w:left="4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8"/>
        </w:trPr>
        <w:tc>
          <w:tcPr>
            <w:tcW w:w="2760" w:type="dxa"/>
            <w:vAlign w:val="bottom"/>
            <w:gridSpan w:val="6"/>
          </w:tcPr>
          <w:p>
            <w:pPr>
              <w:ind w:left="40"/>
              <w:spacing w:after="0" w:line="149" w:lineRule="exact"/>
              <w:rPr>
                <w:sz w:val="20"/>
                <w:szCs w:val="20"/>
                <w:color w:val="auto"/>
              </w:rPr>
            </w:pPr>
            <w:r>
              <w:rPr>
                <w:rFonts w:ascii="Arial" w:cs="Arial" w:eastAsia="Arial" w:hAnsi="Arial"/>
                <w:sz w:val="14"/>
                <w:szCs w:val="14"/>
                <w:color w:val="auto"/>
              </w:rPr>
              <w:t>Wynnewood, PA 19096</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ind w:left="40"/>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ind w:left="40"/>
              <w:spacing w:after="0" w:line="149"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ind w:left="40"/>
              <w:spacing w:after="0"/>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68"/>
        </w:trPr>
        <w:tc>
          <w:tcPr>
            <w:tcW w:w="2760" w:type="dxa"/>
            <w:vAlign w:val="bottom"/>
            <w:gridSpan w:val="6"/>
            <w:shd w:val="clear" w:color="auto" w:fill="CCEEFF"/>
          </w:tcPr>
          <w:p>
            <w:pPr>
              <w:ind w:left="40"/>
              <w:spacing w:after="0"/>
              <w:rPr>
                <w:sz w:val="20"/>
                <w:szCs w:val="20"/>
                <w:color w:val="auto"/>
              </w:rPr>
            </w:pPr>
            <w:r>
              <w:rPr>
                <w:rFonts w:ascii="Arial" w:cs="Arial" w:eastAsia="Arial" w:hAnsi="Arial"/>
                <w:sz w:val="14"/>
                <w:szCs w:val="14"/>
                <w:b w:val="1"/>
                <w:bCs w:val="1"/>
                <w:color w:val="auto"/>
              </w:rPr>
              <w:t>Virginia</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16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9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3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6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76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29th Place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5"/>
              </w:rPr>
              <w:t>1975-2001</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2007</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169,000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$18.25</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97%</w:t>
            </w:r>
          </w:p>
        </w:tc>
        <w:tc>
          <w:tcPr>
            <w:tcW w:w="100" w:type="dxa"/>
            <w:vAlign w:val="bottom"/>
          </w:tcPr>
          <w:p>
            <w:pPr>
              <w:spacing w:after="0"/>
              <w:rPr>
                <w:sz w:val="13"/>
                <w:szCs w:val="13"/>
                <w:color w:val="auto"/>
              </w:rPr>
            </w:pPr>
          </w:p>
        </w:tc>
        <w:tc>
          <w:tcPr>
            <w:tcW w:w="2620" w:type="dxa"/>
            <w:vAlign w:val="bottom"/>
          </w:tcPr>
          <w:p>
            <w:pPr>
              <w:ind w:left="40"/>
              <w:spacing w:after="0" w:line="157"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48"/>
        </w:trPr>
        <w:tc>
          <w:tcPr>
            <w:tcW w:w="2760" w:type="dxa"/>
            <w:vAlign w:val="bottom"/>
            <w:gridSpan w:val="6"/>
          </w:tcPr>
          <w:p>
            <w:pPr>
              <w:ind w:left="40"/>
              <w:spacing w:after="0" w:line="149" w:lineRule="exact"/>
              <w:rPr>
                <w:sz w:val="20"/>
                <w:szCs w:val="20"/>
                <w:color w:val="auto"/>
              </w:rPr>
            </w:pPr>
            <w:r>
              <w:rPr>
                <w:rFonts w:ascii="Arial" w:cs="Arial" w:eastAsia="Arial" w:hAnsi="Arial"/>
                <w:sz w:val="14"/>
                <w:szCs w:val="14"/>
                <w:color w:val="auto"/>
              </w:rPr>
              <w:t>Charlottesville, VA 22091(8)</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ind w:left="40"/>
              <w:spacing w:after="0" w:line="149"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ind w:left="40"/>
              <w:spacing w:after="0" w:line="149" w:lineRule="exact"/>
              <w:rPr>
                <w:sz w:val="20"/>
                <w:szCs w:val="20"/>
                <w:color w:val="auto"/>
              </w:rPr>
            </w:pPr>
            <w:r>
              <w:rPr>
                <w:rFonts w:ascii="Arial" w:cs="Arial" w:eastAsia="Arial" w:hAnsi="Arial"/>
                <w:sz w:val="14"/>
                <w:szCs w:val="14"/>
                <w:color w:val="auto"/>
              </w:rPr>
              <w:t>Stein Mart</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ind w:left="40"/>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63"/>
        </w:trPr>
        <w:tc>
          <w:tcPr>
            <w:tcW w:w="276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Barcoft Plaza</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1963, 1972,</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2006/2007/</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115,000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$24.18</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90%</w:t>
            </w:r>
          </w:p>
        </w:tc>
        <w:tc>
          <w:tcPr>
            <w:tcW w:w="100" w:type="dxa"/>
            <w:vAlign w:val="bottom"/>
            <w:shd w:val="clear" w:color="auto" w:fill="CCEEFF"/>
          </w:tcPr>
          <w:p>
            <w:pPr>
              <w:spacing w:after="0"/>
              <w:rPr>
                <w:sz w:val="14"/>
                <w:szCs w:val="14"/>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94"/>
        </w:trPr>
        <w:tc>
          <w:tcPr>
            <w:tcW w:w="276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Falls Church, VA 22041</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1990, &amp; 2000</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76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Barracks Road</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1958</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1985</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498,000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$27.37</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98%</w:t>
            </w:r>
          </w:p>
        </w:tc>
        <w:tc>
          <w:tcPr>
            <w:tcW w:w="100" w:type="dxa"/>
            <w:vAlign w:val="bottom"/>
          </w:tcPr>
          <w:p>
            <w:pPr>
              <w:spacing w:after="0"/>
              <w:rPr>
                <w:sz w:val="13"/>
                <w:szCs w:val="13"/>
                <w:color w:val="auto"/>
              </w:rPr>
            </w:pPr>
          </w:p>
        </w:tc>
        <w:tc>
          <w:tcPr>
            <w:tcW w:w="2620" w:type="dxa"/>
            <w:vAlign w:val="bottom"/>
          </w:tcPr>
          <w:p>
            <w:pPr>
              <w:ind w:left="40"/>
              <w:spacing w:after="0" w:line="157" w:lineRule="exact"/>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48"/>
        </w:trPr>
        <w:tc>
          <w:tcPr>
            <w:tcW w:w="2760" w:type="dxa"/>
            <w:vAlign w:val="bottom"/>
            <w:gridSpan w:val="6"/>
          </w:tcPr>
          <w:p>
            <w:pPr>
              <w:ind w:left="40"/>
              <w:spacing w:after="0" w:line="149" w:lineRule="exact"/>
              <w:rPr>
                <w:sz w:val="20"/>
                <w:szCs w:val="20"/>
                <w:color w:val="auto"/>
              </w:rPr>
            </w:pPr>
            <w:r>
              <w:rPr>
                <w:rFonts w:ascii="Arial" w:cs="Arial" w:eastAsia="Arial" w:hAnsi="Arial"/>
                <w:sz w:val="14"/>
                <w:szCs w:val="14"/>
                <w:color w:val="auto"/>
              </w:rPr>
              <w:t>Charlottesville, VA 22905</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ind w:left="40"/>
              <w:spacing w:after="0" w:line="149" w:lineRule="exact"/>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ind w:left="40"/>
              <w:spacing w:after="0" w:line="149" w:lineRule="exact"/>
              <w:rPr>
                <w:sz w:val="20"/>
                <w:szCs w:val="20"/>
                <w:color w:val="auto"/>
              </w:rPr>
            </w:pPr>
            <w:r>
              <w:rPr>
                <w:rFonts w:ascii="Arial" w:cs="Arial" w:eastAsia="Arial" w:hAnsi="Arial"/>
                <w:sz w:val="14"/>
                <w:szCs w:val="14"/>
                <w:color w:val="auto"/>
              </w:rPr>
              <w:t>Anthropologie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ind w:left="40"/>
              <w:spacing w:after="0" w:line="149" w:lineRule="exact"/>
              <w:rPr>
                <w:sz w:val="20"/>
                <w:szCs w:val="20"/>
                <w:color w:val="auto"/>
              </w:rPr>
            </w:pPr>
            <w:r>
              <w:rPr>
                <w:rFonts w:ascii="Arial" w:cs="Arial" w:eastAsia="Arial" w:hAnsi="Arial"/>
                <w:sz w:val="14"/>
                <w:szCs w:val="14"/>
                <w:color w:val="auto"/>
              </w:rPr>
              <w:t>Nike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ind w:left="40"/>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ind w:left="40"/>
              <w:spacing w:after="0"/>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63"/>
        </w:trPr>
        <w:tc>
          <w:tcPr>
            <w:tcW w:w="276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Falls Plaza</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1960-1962</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1967/1972</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144,000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$35.09</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94%</w:t>
            </w:r>
          </w:p>
        </w:tc>
        <w:tc>
          <w:tcPr>
            <w:tcW w:w="100" w:type="dxa"/>
            <w:vAlign w:val="bottom"/>
            <w:shd w:val="clear" w:color="auto" w:fill="CCEEFF"/>
          </w:tcPr>
          <w:p>
            <w:pPr>
              <w:spacing w:after="0"/>
              <w:rPr>
                <w:sz w:val="14"/>
                <w:szCs w:val="14"/>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8"/>
        </w:trPr>
        <w:tc>
          <w:tcPr>
            <w:tcW w:w="2760" w:type="dxa"/>
            <w:vAlign w:val="bottom"/>
            <w:gridSpan w:val="6"/>
            <w:shd w:val="clear" w:color="auto" w:fill="CCEEFF"/>
          </w:tcPr>
          <w:p>
            <w:pPr>
              <w:ind w:left="40"/>
              <w:spacing w:after="0" w:line="149" w:lineRule="exact"/>
              <w:rPr>
                <w:sz w:val="20"/>
                <w:szCs w:val="20"/>
                <w:color w:val="auto"/>
              </w:rPr>
            </w:pPr>
            <w:r>
              <w:rPr>
                <w:rFonts w:ascii="Arial" w:cs="Arial" w:eastAsia="Arial" w:hAnsi="Arial"/>
                <w:sz w:val="14"/>
                <w:szCs w:val="14"/>
                <w:color w:val="auto"/>
              </w:rPr>
              <w:t>Falls Church, VA 22046</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57"/>
        </w:trPr>
        <w:tc>
          <w:tcPr>
            <w:tcW w:w="276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Graham Park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1971</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1983</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260,000</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w w:val="93"/>
              </w:rPr>
              <w:t>$26.40</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89%</w:t>
            </w:r>
          </w:p>
        </w:tc>
        <w:tc>
          <w:tcPr>
            <w:tcW w:w="100" w:type="dxa"/>
            <w:vAlign w:val="bottom"/>
          </w:tcPr>
          <w:p>
            <w:pPr>
              <w:spacing w:after="0"/>
              <w:rPr>
                <w:sz w:val="13"/>
                <w:szCs w:val="13"/>
                <w:color w:val="auto"/>
              </w:rPr>
            </w:pPr>
          </w:p>
        </w:tc>
        <w:tc>
          <w:tcPr>
            <w:tcW w:w="2620" w:type="dxa"/>
            <w:vAlign w:val="bottom"/>
          </w:tcPr>
          <w:p>
            <w:pPr>
              <w:ind w:left="4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8"/>
        </w:trPr>
        <w:tc>
          <w:tcPr>
            <w:tcW w:w="2760" w:type="dxa"/>
            <w:vAlign w:val="bottom"/>
            <w:gridSpan w:val="6"/>
          </w:tcPr>
          <w:p>
            <w:pPr>
              <w:ind w:left="40"/>
              <w:spacing w:after="0" w:line="149" w:lineRule="exact"/>
              <w:rPr>
                <w:sz w:val="20"/>
                <w:szCs w:val="20"/>
                <w:color w:val="auto"/>
              </w:rPr>
            </w:pPr>
            <w:r>
              <w:rPr>
                <w:rFonts w:ascii="Arial" w:cs="Arial" w:eastAsia="Arial" w:hAnsi="Arial"/>
                <w:sz w:val="14"/>
                <w:szCs w:val="14"/>
                <w:color w:val="auto"/>
              </w:rPr>
              <w:t>Fairfax, VA 22042</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ind w:left="40"/>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Pr>
          <w:p>
            <w:pPr>
              <w:ind w:left="40"/>
              <w:spacing w:after="0"/>
              <w:rPr>
                <w:sz w:val="20"/>
                <w:szCs w:val="20"/>
                <w:color w:val="auto"/>
              </w:rPr>
            </w:pPr>
            <w:r>
              <w:rPr>
                <w:rFonts w:ascii="Arial" w:cs="Arial" w:eastAsia="Arial" w:hAnsi="Arial"/>
                <w:sz w:val="14"/>
                <w:szCs w:val="14"/>
                <w:color w:val="auto"/>
              </w:rPr>
              <w:t>Stein Mart</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6" w:right="23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Square Feet(1)</w:t>
            </w:r>
          </w:p>
        </w:tc>
        <w:tc>
          <w:tcPr>
            <w:tcW w:w="10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Average Rent</w:t>
            </w:r>
          </w:p>
        </w:tc>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20" w:type="dxa"/>
            <w:vAlign w:val="bottom"/>
            <w:vMerge w:val="restart"/>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Per Square</w:t>
            </w:r>
          </w:p>
        </w:tc>
        <w:tc>
          <w:tcPr>
            <w:tcW w:w="1140" w:type="dxa"/>
            <w:vAlign w:val="bottom"/>
            <w:gridSpan w:val="2"/>
            <w:vMerge w:val="continue"/>
          </w:tcPr>
          <w:p>
            <w:pPr>
              <w:spacing w:after="0"/>
              <w:rPr>
                <w:sz w:val="12"/>
                <w:szCs w:val="12"/>
                <w:color w:val="auto"/>
              </w:rPr>
            </w:pPr>
          </w:p>
        </w:tc>
        <w:tc>
          <w:tcPr>
            <w:tcW w:w="262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Completed</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/Apartment Units</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Foot(2)</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Leased(3)</w:t>
            </w:r>
          </w:p>
        </w:tc>
        <w:tc>
          <w:tcPr>
            <w:tcW w:w="100" w:type="dxa"/>
            <w:vAlign w:val="bottom"/>
            <w:tcBorders>
              <w:bottom w:val="single" w:sz="8" w:color="CCEEFF"/>
            </w:tcBorders>
          </w:tcPr>
          <w:p>
            <w:pPr>
              <w:spacing w:after="0"/>
              <w:rPr>
                <w:sz w:val="16"/>
                <w:szCs w:val="16"/>
                <w:color w:val="auto"/>
              </w:rPr>
            </w:pPr>
          </w:p>
        </w:tc>
        <w:tc>
          <w:tcPr>
            <w:tcW w:w="2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760" w:type="dxa"/>
            <w:vAlign w:val="bottom"/>
            <w:gridSpan w:val="2"/>
            <w:shd w:val="clear" w:color="auto" w:fill="CCEEFF"/>
          </w:tcPr>
          <w:p>
            <w:pPr>
              <w:ind w:left="40"/>
              <w:spacing w:after="0" w:line="156" w:lineRule="exact"/>
              <w:rPr>
                <w:sz w:val="20"/>
                <w:szCs w:val="20"/>
                <w:color w:val="auto"/>
              </w:rPr>
            </w:pPr>
            <w:r>
              <w:rPr>
                <w:rFonts w:ascii="Arial" w:cs="Arial" w:eastAsia="Arial" w:hAnsi="Arial"/>
                <w:sz w:val="14"/>
                <w:szCs w:val="14"/>
                <w:color w:val="auto"/>
              </w:rPr>
              <w:t>Idylwood Plaza</w:t>
            </w:r>
          </w:p>
        </w:tc>
        <w:tc>
          <w:tcPr>
            <w:tcW w:w="104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89"/>
              </w:rPr>
              <w:t>1991</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89"/>
              </w:rPr>
              <w:t>1994</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93"/>
              </w:rPr>
              <w:t>73,000</w:t>
            </w:r>
          </w:p>
        </w:tc>
        <w:tc>
          <w:tcPr>
            <w:tcW w:w="1240" w:type="dxa"/>
            <w:vAlign w:val="bottom"/>
            <w:gridSpan w:val="2"/>
            <w:shd w:val="clear" w:color="auto" w:fill="CCEEFF"/>
          </w:tcPr>
          <w:p>
            <w:pPr>
              <w:jc w:val="center"/>
              <w:ind w:left="48"/>
              <w:spacing w:after="0" w:line="156" w:lineRule="exact"/>
              <w:rPr>
                <w:sz w:val="20"/>
                <w:szCs w:val="20"/>
                <w:color w:val="auto"/>
              </w:rPr>
            </w:pPr>
            <w:r>
              <w:rPr>
                <w:rFonts w:ascii="Arial" w:cs="Arial" w:eastAsia="Arial" w:hAnsi="Arial"/>
                <w:sz w:val="14"/>
                <w:szCs w:val="14"/>
                <w:color w:val="auto"/>
                <w:w w:val="93"/>
              </w:rPr>
              <w:t>$47.24</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92"/>
              </w:rPr>
              <w:t>95%</w:t>
            </w:r>
          </w:p>
        </w:tc>
        <w:tc>
          <w:tcPr>
            <w:tcW w:w="100" w:type="dxa"/>
            <w:vAlign w:val="bottom"/>
            <w:shd w:val="clear" w:color="auto" w:fill="CCEEFF"/>
          </w:tcPr>
          <w:p>
            <w:pPr>
              <w:spacing w:after="0"/>
              <w:rPr>
                <w:sz w:val="13"/>
                <w:szCs w:val="13"/>
                <w:color w:val="auto"/>
              </w:rPr>
            </w:pPr>
          </w:p>
        </w:tc>
        <w:tc>
          <w:tcPr>
            <w:tcW w:w="2620" w:type="dxa"/>
            <w:vAlign w:val="bottom"/>
            <w:shd w:val="clear" w:color="auto" w:fill="CCEEFF"/>
          </w:tcPr>
          <w:p>
            <w:pPr>
              <w:ind w:left="40"/>
              <w:spacing w:after="0" w:line="156"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94"/>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Falls Church, VA 22030</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7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Leesburg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1967</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1998</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236,000</w:t>
            </w:r>
          </w:p>
        </w:tc>
        <w:tc>
          <w:tcPr>
            <w:tcW w:w="124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3"/>
              </w:rPr>
              <w:t>$22.80</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93%</w:t>
            </w:r>
          </w:p>
        </w:tc>
        <w:tc>
          <w:tcPr>
            <w:tcW w:w="100" w:type="dxa"/>
            <w:vAlign w:val="bottom"/>
          </w:tcPr>
          <w:p>
            <w:pPr>
              <w:spacing w:after="0"/>
              <w:rPr>
                <w:sz w:val="13"/>
                <w:szCs w:val="13"/>
                <w:color w:val="auto"/>
              </w:rPr>
            </w:pPr>
          </w:p>
        </w:tc>
        <w:tc>
          <w:tcPr>
            <w:tcW w:w="2620" w:type="dxa"/>
            <w:vAlign w:val="bottom"/>
          </w:tcPr>
          <w:p>
            <w:pPr>
              <w:ind w:left="4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8"/>
        </w:trPr>
        <w:tc>
          <w:tcPr>
            <w:tcW w:w="2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Leesburg, VA 20176</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ind w:left="40"/>
              <w:spacing w:after="0" w:line="149" w:lineRule="exact"/>
              <w:rPr>
                <w:sz w:val="20"/>
                <w:szCs w:val="20"/>
                <w:color w:val="auto"/>
              </w:rPr>
            </w:pPr>
            <w:r>
              <w:rPr>
                <w:rFonts w:ascii="Arial" w:cs="Arial" w:eastAsia="Arial" w:hAnsi="Arial"/>
                <w:sz w:val="14"/>
                <w:szCs w:val="14"/>
                <w:color w:val="auto"/>
              </w:rPr>
              <w:t>Petsmart</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ind w:left="40"/>
              <w:spacing w:after="0" w:line="149" w:lineRule="exact"/>
              <w:rPr>
                <w:sz w:val="20"/>
                <w:szCs w:val="20"/>
                <w:color w:val="auto"/>
              </w:rPr>
            </w:pPr>
            <w:r>
              <w:rPr>
                <w:rFonts w:ascii="Arial" w:cs="Arial" w:eastAsia="Arial" w:hAnsi="Arial"/>
                <w:sz w:val="14"/>
                <w:szCs w:val="14"/>
                <w:color w:val="auto"/>
              </w:rPr>
              <w:t>Gold's Gym</w:t>
            </w:r>
          </w:p>
        </w:tc>
        <w:tc>
          <w:tcPr>
            <w:tcW w:w="0" w:type="dxa"/>
            <w:vAlign w:val="bottom"/>
          </w:tcPr>
          <w:p>
            <w:pPr>
              <w:spacing w:after="0"/>
              <w:rPr>
                <w:sz w:val="1"/>
                <w:szCs w:val="1"/>
                <w:color w:val="auto"/>
              </w:rPr>
            </w:pPr>
          </w:p>
        </w:tc>
      </w:tr>
      <w:tr>
        <w:trPr>
          <w:trHeight w:val="188"/>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ind w:left="40"/>
              <w:spacing w:after="0"/>
              <w:rPr>
                <w:sz w:val="20"/>
                <w:szCs w:val="20"/>
                <w:color w:val="auto"/>
              </w:rPr>
            </w:pPr>
            <w:r>
              <w:rPr>
                <w:rFonts w:ascii="Arial" w:cs="Arial" w:eastAsia="Arial" w:hAnsi="Arial"/>
                <w:sz w:val="14"/>
                <w:szCs w:val="14"/>
                <w:color w:val="auto"/>
              </w:rPr>
              <w:t>Office Depot</w:t>
            </w:r>
          </w:p>
        </w:tc>
        <w:tc>
          <w:tcPr>
            <w:tcW w:w="0" w:type="dxa"/>
            <w:vAlign w:val="bottom"/>
          </w:tcPr>
          <w:p>
            <w:pPr>
              <w:spacing w:after="0"/>
              <w:rPr>
                <w:sz w:val="1"/>
                <w:szCs w:val="1"/>
                <w:color w:val="auto"/>
              </w:rPr>
            </w:pPr>
          </w:p>
        </w:tc>
      </w:tr>
      <w:tr>
        <w:trPr>
          <w:trHeight w:val="163"/>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Mount Vernon/South Valley/</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1966,</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2003/2006</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570,000</w:t>
            </w:r>
          </w:p>
        </w:tc>
        <w:tc>
          <w:tcPr>
            <w:tcW w:w="12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3"/>
              </w:rPr>
              <w:t>$17.91</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95%</w:t>
            </w:r>
          </w:p>
        </w:tc>
        <w:tc>
          <w:tcPr>
            <w:tcW w:w="100" w:type="dxa"/>
            <w:vAlign w:val="bottom"/>
            <w:shd w:val="clear" w:color="auto" w:fill="CCEEFF"/>
          </w:tcPr>
          <w:p>
            <w:pPr>
              <w:spacing w:after="0"/>
              <w:rPr>
                <w:sz w:val="14"/>
                <w:szCs w:val="14"/>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Shoppers Food Warehouse</w:t>
            </w:r>
          </w:p>
        </w:tc>
        <w:tc>
          <w:tcPr>
            <w:tcW w:w="0" w:type="dxa"/>
            <w:vAlign w:val="bottom"/>
          </w:tcPr>
          <w:p>
            <w:pPr>
              <w:spacing w:after="0"/>
              <w:rPr>
                <w:sz w:val="1"/>
                <w:szCs w:val="1"/>
                <w:color w:val="auto"/>
              </w:rPr>
            </w:pPr>
          </w:p>
        </w:tc>
      </w:tr>
      <w:tr>
        <w:trPr>
          <w:trHeight w:val="148"/>
        </w:trPr>
        <w:tc>
          <w:tcPr>
            <w:tcW w:w="2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7770 Richmond Hwy</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1972,1987</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8"/>
        </w:trPr>
        <w:tc>
          <w:tcPr>
            <w:tcW w:w="2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Alexandria, VA 22306(4)(6)</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&amp; 2001</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94"/>
        </w:trPr>
        <w:tc>
          <w:tcPr>
            <w:tcW w:w="2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Results Fitness</w:t>
            </w:r>
          </w:p>
        </w:tc>
        <w:tc>
          <w:tcPr>
            <w:tcW w:w="0" w:type="dxa"/>
            <w:vAlign w:val="bottom"/>
          </w:tcPr>
          <w:p>
            <w:pPr>
              <w:spacing w:after="0"/>
              <w:rPr>
                <w:sz w:val="1"/>
                <w:szCs w:val="1"/>
                <w:color w:val="auto"/>
              </w:rPr>
            </w:pPr>
          </w:p>
        </w:tc>
      </w:tr>
      <w:tr>
        <w:trPr>
          <w:trHeight w:val="157"/>
        </w:trPr>
        <w:tc>
          <w:tcPr>
            <w:tcW w:w="27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Old Keene Mill</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1968</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1976</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3"/>
              </w:rPr>
              <w:t>92,000</w:t>
            </w:r>
          </w:p>
        </w:tc>
        <w:tc>
          <w:tcPr>
            <w:tcW w:w="124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3"/>
              </w:rPr>
              <w:t>$39.08</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97%</w:t>
            </w:r>
          </w:p>
        </w:tc>
        <w:tc>
          <w:tcPr>
            <w:tcW w:w="100" w:type="dxa"/>
            <w:vAlign w:val="bottom"/>
          </w:tcPr>
          <w:p>
            <w:pPr>
              <w:spacing w:after="0"/>
              <w:rPr>
                <w:sz w:val="13"/>
                <w:szCs w:val="13"/>
                <w:color w:val="auto"/>
              </w:rPr>
            </w:pPr>
          </w:p>
        </w:tc>
        <w:tc>
          <w:tcPr>
            <w:tcW w:w="2620" w:type="dxa"/>
            <w:vAlign w:val="bottom"/>
          </w:tcPr>
          <w:p>
            <w:pPr>
              <w:ind w:left="40"/>
              <w:spacing w:after="0" w:line="157"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48"/>
        </w:trPr>
        <w:tc>
          <w:tcPr>
            <w:tcW w:w="2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Springfield, VA 22152</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ind w:left="40"/>
              <w:spacing w:after="0" w:line="149" w:lineRule="exact"/>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88"/>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ind w:left="40"/>
              <w:spacing w:after="0"/>
              <w:rPr>
                <w:sz w:val="20"/>
                <w:szCs w:val="20"/>
                <w:color w:val="auto"/>
              </w:rPr>
            </w:pPr>
            <w:r>
              <w:rPr>
                <w:rFonts w:ascii="Arial" w:cs="Arial" w:eastAsia="Arial" w:hAnsi="Arial"/>
                <w:sz w:val="14"/>
                <w:szCs w:val="14"/>
                <w:color w:val="auto"/>
              </w:rPr>
              <w:t>Planet Fitness</w:t>
            </w:r>
          </w:p>
        </w:tc>
        <w:tc>
          <w:tcPr>
            <w:tcW w:w="0" w:type="dxa"/>
            <w:vAlign w:val="bottom"/>
          </w:tcPr>
          <w:p>
            <w:pPr>
              <w:spacing w:after="0"/>
              <w:rPr>
                <w:sz w:val="1"/>
                <w:szCs w:val="1"/>
                <w:color w:val="auto"/>
              </w:rPr>
            </w:pPr>
          </w:p>
        </w:tc>
      </w:tr>
      <w:tr>
        <w:trPr>
          <w:trHeight w:val="163"/>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Pan Am</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1979</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1993</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227,000</w:t>
            </w:r>
          </w:p>
        </w:tc>
        <w:tc>
          <w:tcPr>
            <w:tcW w:w="12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3"/>
              </w:rPr>
              <w:t>$25.37</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4"/>
                <w:szCs w:val="14"/>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Safeway</w:t>
            </w:r>
          </w:p>
        </w:tc>
        <w:tc>
          <w:tcPr>
            <w:tcW w:w="0" w:type="dxa"/>
            <w:vAlign w:val="bottom"/>
          </w:tcPr>
          <w:p>
            <w:pPr>
              <w:spacing w:after="0"/>
              <w:rPr>
                <w:sz w:val="1"/>
                <w:szCs w:val="1"/>
                <w:color w:val="auto"/>
              </w:rPr>
            </w:pPr>
          </w:p>
        </w:tc>
      </w:tr>
      <w:tr>
        <w:trPr>
          <w:trHeight w:val="148"/>
        </w:trPr>
        <w:tc>
          <w:tcPr>
            <w:tcW w:w="2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Fairfax, VA 22031</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Micro Center</w:t>
            </w: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94"/>
        </w:trPr>
        <w:tc>
          <w:tcPr>
            <w:tcW w:w="2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57"/>
        </w:trPr>
        <w:tc>
          <w:tcPr>
            <w:tcW w:w="27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Pentagon Row</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5"/>
              </w:rPr>
              <w:t>2001-2002</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0"/>
              </w:rPr>
              <w:t>1998/2010</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299,000</w:t>
            </w:r>
          </w:p>
        </w:tc>
        <w:tc>
          <w:tcPr>
            <w:tcW w:w="124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3"/>
              </w:rPr>
              <w:t>$36.25</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87%</w:t>
            </w:r>
          </w:p>
        </w:tc>
        <w:tc>
          <w:tcPr>
            <w:tcW w:w="100" w:type="dxa"/>
            <w:vAlign w:val="bottom"/>
          </w:tcPr>
          <w:p>
            <w:pPr>
              <w:spacing w:after="0"/>
              <w:rPr>
                <w:sz w:val="13"/>
                <w:szCs w:val="13"/>
                <w:color w:val="auto"/>
              </w:rPr>
            </w:pPr>
          </w:p>
        </w:tc>
        <w:tc>
          <w:tcPr>
            <w:tcW w:w="2620" w:type="dxa"/>
            <w:vAlign w:val="bottom"/>
          </w:tcPr>
          <w:p>
            <w:pPr>
              <w:ind w:left="40"/>
              <w:spacing w:after="0" w:line="157" w:lineRule="exact"/>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48"/>
        </w:trPr>
        <w:tc>
          <w:tcPr>
            <w:tcW w:w="2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Arlington, VA 22202</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ind w:left="4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ind w:left="40"/>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88"/>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ind w:left="40"/>
              <w:spacing w:after="0"/>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63"/>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Pike 7 Plaza</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1968</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1997/2015</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164,000</w:t>
            </w:r>
          </w:p>
        </w:tc>
        <w:tc>
          <w:tcPr>
            <w:tcW w:w="12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3"/>
              </w:rPr>
              <w:t>$46.10</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4"/>
                <w:szCs w:val="14"/>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8"/>
        </w:trPr>
        <w:tc>
          <w:tcPr>
            <w:tcW w:w="2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Vienna, VA 22180</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94"/>
        </w:trPr>
        <w:tc>
          <w:tcPr>
            <w:tcW w:w="2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Crunch Fitness Staples</w:t>
            </w:r>
          </w:p>
        </w:tc>
        <w:tc>
          <w:tcPr>
            <w:tcW w:w="0" w:type="dxa"/>
            <w:vAlign w:val="bottom"/>
          </w:tcPr>
          <w:p>
            <w:pPr>
              <w:spacing w:after="0"/>
              <w:rPr>
                <w:sz w:val="1"/>
                <w:szCs w:val="1"/>
                <w:color w:val="auto"/>
              </w:rPr>
            </w:pPr>
          </w:p>
        </w:tc>
      </w:tr>
      <w:tr>
        <w:trPr>
          <w:trHeight w:val="157"/>
        </w:trPr>
        <w:tc>
          <w:tcPr>
            <w:tcW w:w="27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Tower Shopping Center</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1960</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1998</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112,000</w:t>
            </w:r>
          </w:p>
        </w:tc>
        <w:tc>
          <w:tcPr>
            <w:tcW w:w="124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3"/>
              </w:rPr>
              <w:t>$25.73</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88%</w:t>
            </w:r>
          </w:p>
        </w:tc>
        <w:tc>
          <w:tcPr>
            <w:tcW w:w="100" w:type="dxa"/>
            <w:vAlign w:val="bottom"/>
          </w:tcPr>
          <w:p>
            <w:pPr>
              <w:spacing w:after="0"/>
              <w:rPr>
                <w:sz w:val="13"/>
                <w:szCs w:val="13"/>
                <w:color w:val="auto"/>
              </w:rPr>
            </w:pPr>
          </w:p>
        </w:tc>
        <w:tc>
          <w:tcPr>
            <w:tcW w:w="2620" w:type="dxa"/>
            <w:vAlign w:val="bottom"/>
          </w:tcPr>
          <w:p>
            <w:pPr>
              <w:ind w:left="40"/>
              <w:spacing w:after="0" w:line="157" w:lineRule="exact"/>
              <w:rPr>
                <w:sz w:val="20"/>
                <w:szCs w:val="20"/>
                <w:color w:val="auto"/>
              </w:rPr>
            </w:pPr>
            <w:r>
              <w:rPr>
                <w:rFonts w:ascii="Arial" w:cs="Arial" w:eastAsia="Arial" w:hAnsi="Arial"/>
                <w:sz w:val="14"/>
                <w:szCs w:val="14"/>
                <w:color w:val="auto"/>
              </w:rPr>
              <w:t>L.A. Mart</w:t>
            </w:r>
          </w:p>
        </w:tc>
        <w:tc>
          <w:tcPr>
            <w:tcW w:w="0" w:type="dxa"/>
            <w:vAlign w:val="bottom"/>
          </w:tcPr>
          <w:p>
            <w:pPr>
              <w:spacing w:after="0"/>
              <w:rPr>
                <w:sz w:val="1"/>
                <w:szCs w:val="1"/>
                <w:color w:val="auto"/>
              </w:rPr>
            </w:pPr>
          </w:p>
        </w:tc>
      </w:tr>
      <w:tr>
        <w:trPr>
          <w:trHeight w:val="148"/>
        </w:trPr>
        <w:tc>
          <w:tcPr>
            <w:tcW w:w="2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Springfield, VA 22150</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ind w:left="40"/>
              <w:spacing w:after="0" w:line="149" w:lineRule="exact"/>
              <w:rPr>
                <w:sz w:val="20"/>
                <w:szCs w:val="20"/>
                <w:color w:val="auto"/>
              </w:rPr>
            </w:pPr>
            <w:r>
              <w:rPr>
                <w:rFonts w:ascii="Arial" w:cs="Arial" w:eastAsia="Arial" w:hAnsi="Arial"/>
                <w:sz w:val="14"/>
                <w:szCs w:val="14"/>
                <w:color w:val="auto"/>
              </w:rPr>
              <w:t>Talbots</w:t>
            </w:r>
          </w:p>
        </w:tc>
        <w:tc>
          <w:tcPr>
            <w:tcW w:w="0" w:type="dxa"/>
            <w:vAlign w:val="bottom"/>
          </w:tcPr>
          <w:p>
            <w:pPr>
              <w:spacing w:after="0"/>
              <w:rPr>
                <w:sz w:val="1"/>
                <w:szCs w:val="1"/>
                <w:color w:val="auto"/>
              </w:rPr>
            </w:pPr>
          </w:p>
        </w:tc>
      </w:tr>
      <w:tr>
        <w:trPr>
          <w:trHeight w:val="188"/>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ind w:left="40"/>
              <w:spacing w:after="0"/>
              <w:rPr>
                <w:sz w:val="20"/>
                <w:szCs w:val="20"/>
                <w:color w:val="auto"/>
              </w:rPr>
            </w:pPr>
            <w:r>
              <w:rPr>
                <w:rFonts w:ascii="Arial" w:cs="Arial" w:eastAsia="Arial" w:hAnsi="Arial"/>
                <w:sz w:val="14"/>
                <w:szCs w:val="14"/>
                <w:color w:val="auto"/>
              </w:rPr>
              <w:t>Total Wine &amp; More</w:t>
            </w:r>
          </w:p>
        </w:tc>
        <w:tc>
          <w:tcPr>
            <w:tcW w:w="0" w:type="dxa"/>
            <w:vAlign w:val="bottom"/>
          </w:tcPr>
          <w:p>
            <w:pPr>
              <w:spacing w:after="0"/>
              <w:rPr>
                <w:sz w:val="1"/>
                <w:szCs w:val="1"/>
                <w:color w:val="auto"/>
              </w:rPr>
            </w:pPr>
          </w:p>
        </w:tc>
      </w:tr>
      <w:tr>
        <w:trPr>
          <w:trHeight w:val="163"/>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Tyson's Station</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1954</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1978</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50,000</w:t>
            </w:r>
          </w:p>
        </w:tc>
        <w:tc>
          <w:tcPr>
            <w:tcW w:w="12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3"/>
              </w:rPr>
              <w:t>$46.32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87%</w:t>
            </w:r>
          </w:p>
        </w:tc>
        <w:tc>
          <w:tcPr>
            <w:tcW w:w="100" w:type="dxa"/>
            <w:vAlign w:val="bottom"/>
            <w:shd w:val="clear" w:color="auto" w:fill="CCEEFF"/>
          </w:tcPr>
          <w:p>
            <w:pPr>
              <w:spacing w:after="0"/>
              <w:rPr>
                <w:sz w:val="14"/>
                <w:szCs w:val="14"/>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94"/>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Falls Church, VA 22043</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7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Village at Shirlington</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1940,</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1995</w:t>
            </w: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4"/>
              </w:rPr>
              <w:t>266,000</w:t>
            </w:r>
          </w:p>
        </w:tc>
        <w:tc>
          <w:tcPr>
            <w:tcW w:w="124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3"/>
              </w:rPr>
              <w:t>$38.57</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90%</w:t>
            </w:r>
          </w:p>
        </w:tc>
        <w:tc>
          <w:tcPr>
            <w:tcW w:w="100" w:type="dxa"/>
            <w:vAlign w:val="bottom"/>
          </w:tcPr>
          <w:p>
            <w:pPr>
              <w:spacing w:after="0"/>
              <w:rPr>
                <w:sz w:val="13"/>
                <w:szCs w:val="13"/>
                <w:color w:val="auto"/>
              </w:rPr>
            </w:pPr>
          </w:p>
        </w:tc>
        <w:tc>
          <w:tcPr>
            <w:tcW w:w="2620" w:type="dxa"/>
            <w:vAlign w:val="bottom"/>
          </w:tcPr>
          <w:p>
            <w:pPr>
              <w:ind w:left="40"/>
              <w:spacing w:after="0" w:line="157" w:lineRule="exact"/>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48"/>
        </w:trPr>
        <w:tc>
          <w:tcPr>
            <w:tcW w:w="2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Arlington, VA 22206(4)</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5"/>
              </w:rPr>
              <w:t>2006-2009</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ind w:left="40"/>
              <w:spacing w:after="0" w:line="149" w:lineRule="exact"/>
              <w:rPr>
                <w:sz w:val="20"/>
                <w:szCs w:val="20"/>
                <w:color w:val="auto"/>
              </w:rPr>
            </w:pPr>
            <w:r>
              <w:rPr>
                <w:rFonts w:ascii="Arial" w:cs="Arial" w:eastAsia="Arial" w:hAnsi="Arial"/>
                <w:sz w:val="14"/>
                <w:szCs w:val="14"/>
                <w:color w:val="auto"/>
              </w:rPr>
              <w:t>AMC</w:t>
            </w:r>
          </w:p>
        </w:tc>
        <w:tc>
          <w:tcPr>
            <w:tcW w:w="0" w:type="dxa"/>
            <w:vAlign w:val="bottom"/>
          </w:tcPr>
          <w:p>
            <w:pPr>
              <w:spacing w:after="0"/>
              <w:rPr>
                <w:sz w:val="1"/>
                <w:szCs w:val="1"/>
                <w:color w:val="auto"/>
              </w:rPr>
            </w:pPr>
          </w:p>
        </w:tc>
      </w:tr>
      <w:tr>
        <w:trPr>
          <w:trHeight w:val="188"/>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ind w:left="40"/>
              <w:spacing w:after="0"/>
              <w:rPr>
                <w:sz w:val="20"/>
                <w:szCs w:val="20"/>
                <w:color w:val="auto"/>
              </w:rPr>
            </w:pPr>
            <w:r>
              <w:rPr>
                <w:rFonts w:ascii="Arial" w:cs="Arial" w:eastAsia="Arial" w:hAnsi="Arial"/>
                <w:sz w:val="14"/>
                <w:szCs w:val="14"/>
                <w:color w:val="auto"/>
              </w:rPr>
              <w:t>Carlyle Grand Café</w:t>
            </w:r>
          </w:p>
        </w:tc>
        <w:tc>
          <w:tcPr>
            <w:tcW w:w="0" w:type="dxa"/>
            <w:vAlign w:val="bottom"/>
          </w:tcPr>
          <w:p>
            <w:pPr>
              <w:spacing w:after="0"/>
              <w:rPr>
                <w:sz w:val="1"/>
                <w:szCs w:val="1"/>
                <w:color w:val="auto"/>
              </w:rPr>
            </w:pPr>
          </w:p>
        </w:tc>
      </w:tr>
      <w:tr>
        <w:trPr>
          <w:trHeight w:val="163"/>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Willow Lawn</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1957</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1983</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463,000</w:t>
            </w:r>
          </w:p>
        </w:tc>
        <w:tc>
          <w:tcPr>
            <w:tcW w:w="12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3"/>
              </w:rPr>
              <w:t>$19.61</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99%</w:t>
            </w:r>
          </w:p>
        </w:tc>
        <w:tc>
          <w:tcPr>
            <w:tcW w:w="100" w:type="dxa"/>
            <w:vAlign w:val="bottom"/>
            <w:shd w:val="clear" w:color="auto" w:fill="CCEEFF"/>
          </w:tcPr>
          <w:p>
            <w:pPr>
              <w:spacing w:after="0"/>
              <w:rPr>
                <w:sz w:val="14"/>
                <w:szCs w:val="14"/>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48"/>
        </w:trPr>
        <w:tc>
          <w:tcPr>
            <w:tcW w:w="2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Richmond, VA 23230</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Gold's Gym</w:t>
            </w:r>
          </w:p>
        </w:tc>
        <w:tc>
          <w:tcPr>
            <w:tcW w:w="0" w:type="dxa"/>
            <w:vAlign w:val="bottom"/>
          </w:tcPr>
          <w:p>
            <w:pPr>
              <w:spacing w:after="0"/>
              <w:rPr>
                <w:sz w:val="1"/>
                <w:szCs w:val="1"/>
                <w:color w:val="auto"/>
              </w:rPr>
            </w:pPr>
          </w:p>
        </w:tc>
      </w:tr>
      <w:tr>
        <w:trPr>
          <w:trHeight w:val="194"/>
        </w:trPr>
        <w:tc>
          <w:tcPr>
            <w:tcW w:w="2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70"/>
        </w:trPr>
        <w:tc>
          <w:tcPr>
            <w:tcW w:w="27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All Regions—Retail(9)</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24,206,000</w:t>
            </w:r>
          </w:p>
        </w:tc>
        <w:tc>
          <w:tcPr>
            <w:tcW w:w="1240" w:type="dxa"/>
            <w:vAlign w:val="bottom"/>
            <w:gridSpan w:val="2"/>
            <w:vMerge w:val="restart"/>
          </w:tcPr>
          <w:p>
            <w:pPr>
              <w:jc w:val="center"/>
              <w:ind w:left="48"/>
              <w:spacing w:after="0"/>
              <w:rPr>
                <w:sz w:val="20"/>
                <w:szCs w:val="20"/>
                <w:color w:val="auto"/>
              </w:rPr>
            </w:pPr>
            <w:r>
              <w:rPr>
                <w:rFonts w:ascii="Arial" w:cs="Arial" w:eastAsia="Arial" w:hAnsi="Arial"/>
                <w:sz w:val="14"/>
                <w:szCs w:val="14"/>
                <w:b w:val="1"/>
                <w:bCs w:val="1"/>
                <w:color w:val="auto"/>
                <w:w w:val="93"/>
              </w:rPr>
              <w:t>$26.90</w:t>
            </w:r>
          </w:p>
        </w:tc>
        <w:tc>
          <w:tcPr>
            <w:tcW w:w="10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95%</w:t>
            </w: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All Regions—Residential</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2,310 units</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94%</w:t>
            </w:r>
          </w:p>
        </w:tc>
        <w:tc>
          <w:tcPr>
            <w:tcW w:w="10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26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3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1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4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62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w:t>
      </w:r>
    </w:p>
    <w:p>
      <w:pPr>
        <w:spacing w:after="0" w:line="8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the GLA of the commercial portion of the property. Some of our properties include office space which is included in this square footage.</w:t>
      </w:r>
    </w:p>
    <w:p>
      <w:pPr>
        <w:spacing w:after="0" w:line="12" w:lineRule="exact"/>
        <w:rPr>
          <w:rFonts w:ascii="Arial" w:cs="Arial" w:eastAsia="Arial" w:hAnsi="Arial"/>
          <w:sz w:val="14"/>
          <w:szCs w:val="14"/>
          <w:color w:val="auto"/>
        </w:rPr>
      </w:pPr>
    </w:p>
    <w:p>
      <w:pPr>
        <w:ind w:left="660" w:right="220" w:hanging="328"/>
        <w:spacing w:after="0" w:line="241"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Average base rent is calculated as the aggregate, annualized in-place contractual (defined as cash basis excluding rent abatements) minimum rent for all occupied spaces divided by the aggregate GLA of all occupied spaces.</w:t>
      </w:r>
    </w:p>
    <w:p>
      <w:pPr>
        <w:ind w:left="660" w:right="440" w:hanging="328"/>
        <w:spacing w:after="0" w:line="241"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Percentage leased is expressed as a percentage of rentable commercial square feet occupied or subject to a lease. Residential percentage leased is expressed as a percentage of units occupied or subject to a lease.</w:t>
      </w: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All or a portion of this property is owned pursuant to a ground lease.</w:t>
      </w: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own the controlling interest in this center.</w:t>
      </w:r>
    </w:p>
    <w:p>
      <w:pPr>
        <w:ind w:left="660" w:right="440" w:hanging="328"/>
        <w:spacing w:after="0" w:line="241"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own all or a portion of this property in a “downREIT” partnership, of which a wholly owned subsidiary of the Trust is the sole general partner, with third party partners holding operating partnership units.</w:t>
      </w: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own a noncontrolling interest in this property.</w:t>
      </w: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All or a portion of this property is encumbered by a mortgage loan.</w:t>
      </w: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Aggregate information is calculated on a GLA weighted-average basis, excluding our La Alameda property, which is unconsolidated.</w:t>
      </w:r>
    </w:p>
    <w:p>
      <w:pPr>
        <w:ind w:left="660" w:hanging="328"/>
        <w:spacing w:after="0"/>
        <w:tabs>
          <w:tab w:leader="none" w:pos="6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Portion of property is currently under development. See further discussion in Item 7. Management's Discussion and Analysis of Financial Condition and Results of Operations.</w:t>
      </w:r>
    </w:p>
    <w:p>
      <w:pPr>
        <w:spacing w:after="0" w:line="12" w:lineRule="exact"/>
        <w:rPr>
          <w:rFonts w:ascii="Arial" w:cs="Arial" w:eastAsia="Arial" w:hAnsi="Arial"/>
          <w:sz w:val="13"/>
          <w:szCs w:val="13"/>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This property includes partial interests in five buildings in addition to our initial acquisition.</w:t>
      </w: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November 2016, we were included as a defendant in a class action lawsuit, in the circuit court for Montgomery County, Maryland, related to predatory towing by a third party company we had retained to provide towing services at several of our properties in Montgomery County, Maryland. We, individually and collectively with other members of the more than 500 property owner defendant class, have undertaken numerous legal actions to challenge property owner liability in this case, including challenging the certification of the class as a matter of law; however, all of these legal actions have been unsuccessful. Given the costs and risks of continuing litigation on this matter, we elected to participate in a settlement for which our share is approximately $0.4 million. We expect that this settlement amount will be reimbursed by insurance. The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6" w:right="2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settlement did not cover liability for certain tows that were included in the lawsuit that the defendant class believes cannot be pursued because of the statute of limitations. Accordingly, we do not believe we should have any additional liability for these remaining tows; however, if we are unsuccessful in dismissing these tows from the litigation, our liability would be approximately $0.2 million, assuming payment on the same terms as the settlement.</w:t>
      </w:r>
    </w:p>
    <w:p>
      <w:pPr>
        <w:spacing w:after="0" w:line="32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6" w:right="25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200"/>
        <w:spacing w:after="0" w:line="281" w:lineRule="auto"/>
        <w:rPr>
          <w:sz w:val="20"/>
          <w:szCs w:val="20"/>
          <w:color w:val="auto"/>
        </w:rPr>
      </w:pPr>
      <w:r>
        <w:rPr>
          <w:rFonts w:ascii="Arial" w:cs="Arial" w:eastAsia="Arial" w:hAnsi="Arial"/>
          <w:sz w:val="18"/>
          <w:szCs w:val="18"/>
          <w:b w:val="1"/>
          <w:bCs w:val="1"/>
          <w:color w:val="auto"/>
        </w:rPr>
        <w:t>ITEM 5. MARKET FOR OUR COMMON EQUITY AND RELATED SHAREHOLDER MATTERS AND ISSUER PURCHASES OF EQUITY SECURITIES</w:t>
      </w:r>
    </w:p>
    <w:p>
      <w:pPr>
        <w:spacing w:after="0" w:line="3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common shares trade on the New York Stock Exchange under the symbol “FRT.” Listed below are the high and low sales prices of our common shares as reported on the New York Stock Exchange and the dividends declared for each of the periods indicated.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Price Per Share</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55"/>
              <w:spacing w:after="0"/>
              <w:rPr>
                <w:sz w:val="20"/>
                <w:szCs w:val="20"/>
                <w:color w:val="auto"/>
              </w:rPr>
            </w:pPr>
            <w:r>
              <w:rPr>
                <w:rFonts w:ascii="Arial" w:cs="Arial" w:eastAsia="Arial" w:hAnsi="Arial"/>
                <w:sz w:val="14"/>
                <w:szCs w:val="14"/>
                <w:b w:val="1"/>
                <w:bCs w:val="1"/>
                <w:color w:val="auto"/>
                <w:w w:val="89"/>
              </w:rPr>
              <w:t>Dividends</w:t>
            </w:r>
          </w:p>
        </w:tc>
        <w:tc>
          <w:tcPr>
            <w:tcW w:w="0" w:type="dxa"/>
            <w:vAlign w:val="bottom"/>
          </w:tcPr>
          <w:p>
            <w:pPr>
              <w:spacing w:after="0"/>
              <w:rPr>
                <w:sz w:val="1"/>
                <w:szCs w:val="1"/>
                <w:color w:val="auto"/>
              </w:rPr>
            </w:pPr>
          </w:p>
        </w:tc>
      </w:tr>
      <w:tr>
        <w:trPr>
          <w:trHeight w:val="54"/>
        </w:trPr>
        <w:tc>
          <w:tcPr>
            <w:tcW w:w="70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restart"/>
          </w:tcPr>
          <w:p>
            <w:pPr>
              <w:jc w:val="center"/>
              <w:ind w:right="155"/>
              <w:spacing w:after="0" w:line="139" w:lineRule="exact"/>
              <w:rPr>
                <w:sz w:val="20"/>
                <w:szCs w:val="20"/>
                <w:color w:val="auto"/>
              </w:rPr>
            </w:pPr>
            <w:r>
              <w:rPr>
                <w:rFonts w:ascii="Arial" w:cs="Arial" w:eastAsia="Arial" w:hAnsi="Arial"/>
                <w:sz w:val="14"/>
                <w:szCs w:val="14"/>
                <w:b w:val="1"/>
                <w:bCs w:val="1"/>
                <w:color w:val="auto"/>
                <w:w w:val="94"/>
              </w:rPr>
              <w:t>Declared</w:t>
            </w:r>
          </w:p>
        </w:tc>
        <w:tc>
          <w:tcPr>
            <w:tcW w:w="0" w:type="dxa"/>
            <w:vAlign w:val="bottom"/>
          </w:tcPr>
          <w:p>
            <w:pPr>
              <w:spacing w:after="0"/>
              <w:rPr>
                <w:sz w:val="1"/>
                <w:szCs w:val="1"/>
                <w:color w:val="auto"/>
              </w:rPr>
            </w:pPr>
          </w:p>
        </w:tc>
      </w:tr>
      <w:tr>
        <w:trPr>
          <w:trHeight w:val="65"/>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High</w:t>
            </w:r>
          </w:p>
        </w:tc>
        <w:tc>
          <w:tcPr>
            <w:tcW w:w="500" w:type="dxa"/>
            <w:vAlign w:val="bottom"/>
          </w:tcPr>
          <w:p>
            <w:pPr>
              <w:spacing w:after="0"/>
              <w:rPr>
                <w:sz w:val="5"/>
                <w:szCs w:val="5"/>
                <w:color w:val="auto"/>
              </w:rPr>
            </w:pPr>
          </w:p>
        </w:tc>
        <w:tc>
          <w:tcPr>
            <w:tcW w:w="8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49"/>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Fourth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134.52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119.37</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Third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135.59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122.60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Second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138.12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120.50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0.980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First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126.02</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0.980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Fourth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148.74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136.98</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0.980</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170.35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153.93</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0.980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165.55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149.75</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0.940</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158.96</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144.82</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0.940</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On February 8, 2018, there were 2,568 holders of record of our common shares.</w:t>
      </w:r>
    </w:p>
    <w:p>
      <w:pPr>
        <w:spacing w:after="0" w:line="17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Our ongoing operations generally will not be subject to federal income taxes as long as we maintain our REIT status and distribute to shareholders at least 100% of our taxable income. Under the Code, REITs are subject to numerous organizational and operational requirements, including the requirement to generally distribute at least 90% of taxable income.</w:t>
      </w:r>
    </w:p>
    <w:p>
      <w:pPr>
        <w:spacing w:after="0" w:line="1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Future distributions will be at the discretion of our Board of Trustees and will depend on our actual net income available for common shareholders, financial condition, capital requirements, the annual distribution requirements under the REIT provisions of the Code and such other factors as the Board of Trustees deems relevant. We have paid quarterly dividends to our shareholders continuously since our founding in 1962 and have increased our regular annual dividend rate for 50 consecutive years.</w:t>
      </w:r>
    </w:p>
    <w:p>
      <w:pPr>
        <w:spacing w:after="0" w:line="13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total annual dividends paid per common share for 2017 and 2016 were $3.94 per share and $3.80 per share, respectively. The annual dividend amounts are different from dividends as calculated for federal income tax purposes. Distributions to the extent of our current and accumulated earnings and profits for federal income tax purposes generally will be taxable to a shareholder as ordinary dividend income. Distributions in excess of current and accumulated earnings and profits will be treated as a nontaxable reduction of the shareholder’s basis in such shareholder’s shares, to the extent thereof, and thereafter as taxable capital gain. Distributions that are treated as a reduction of the shareholder’s basis in its shares will have the effect of increasing the amount of gain, or reducing the amount of loss, recognized upon the sale of the shareholder’s shares. No assurances can be given regarding what portion, if any, of distributions in 2018 or subsequent years will constitute a return of capital for federal income tax purposes. During a year in which a REIT earns a net long-term capital gain, the REIT can elect under Section 857(b)(3) of the Code to designate a portion of dividends paid to shareholders as capital gain dividends. If this election is made, then the capital gain dividends are generally taxable to the shareholder as long-term capital gains.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income tax status of distributions per share paid to common shareholders:</w:t>
      </w:r>
    </w:p>
    <w:p>
      <w:pPr>
        <w:spacing w:after="0" w:line="351"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Year Ended</w:t>
      </w:r>
    </w:p>
    <w:p>
      <w:pPr>
        <w:spacing w:after="0" w:line="3"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5444490</wp:posOffset>
            </wp:positionH>
            <wp:positionV relativeFrom="paragraph">
              <wp:posOffset>13335</wp:posOffset>
            </wp:positionV>
            <wp:extent cx="1807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7210" cy="8255"/>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Ordinary dividend</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3.940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3.800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Capital gain</w:t>
            </w:r>
          </w:p>
        </w:tc>
        <w:tc>
          <w:tcPr>
            <w:tcW w:w="8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8"/>
        </w:trPr>
        <w:tc>
          <w:tcPr>
            <w:tcW w:w="85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3.940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3.800</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Distributions on our 5.417% Series 1 Cumulative Convertible Preferred Shares were paid at the rate of $1.354 per share per annum commencing on the issuance date of March 8, 2007. Distributions on our 5.0% Series C Cumulative Redeemable Preferred Shares (which were issued September 29, 2017) were declared at the rate of $1.25 per depository share per annum,</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6" w:right="23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and the first payment date was January 16, 2018. We do not believe that the preferential rights available to the holders of our preferred shares or the financial covenants contained in our debt agreements had or will have an adverse effect on our ability to pay dividends in the normal course of business to our common shareholders or to distribute amounts necessary to maintain our qualification as a REIT.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Stockholder Return Performance</w:t>
      </w:r>
    </w:p>
    <w:p>
      <w:pPr>
        <w:spacing w:after="0" w:line="9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following performance graph compares the cumulative total shareholder return on Federal Realty's common shares with the S&amp;P 500 Index and the index of equity real estate investment trusts prepared by the National Association of Real Estate Investment Trusts ("NAREIT") for the five fiscal years commencing December 31, 2012, and ending December 31, 2017, assuming an investment of $100 and the reinvestment of all dividends into additional common shares during the holding period. Equity real estate investment trusts are defined as those that derive more than 75% of their income from equity investments in real estate assets. The FTSE NAREIT Equity REIT Total Return Index includes all tax qualified real estate investment trusts listed on the NYSE, NYSE MKT, or the NASDAQ National Market. Stock performance for the past five years is not necessarily indicative of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27305</wp:posOffset>
            </wp:positionV>
            <wp:extent cx="5842000" cy="3991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00" cy="3991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Shares</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Under the terms of various operating partnership agreements of certain of our affiliated limited partnerships, the interest of limited partners in those limited partnerships may be redeemed, subject to certain conditions, for cash or an equivalent number of our common shares, at our option. During the three months ended December 31, 2017, there were no redemptions of operating partnership units. Any other equity securities sold by us during 2017 that were not registered have been previously reported in a Quarterly Report on Form 10-Q.</w:t>
      </w:r>
    </w:p>
    <w:p>
      <w:pPr>
        <w:spacing w:after="0" w:line="209" w:lineRule="exact"/>
        <w:rPr>
          <w:sz w:val="20"/>
          <w:szCs w:val="20"/>
          <w:color w:val="auto"/>
        </w:rPr>
      </w:pPr>
    </w:p>
    <w:p>
      <w:pPr>
        <w:ind w:right="5420"/>
        <w:spacing w:after="0" w:line="389" w:lineRule="auto"/>
        <w:rPr>
          <w:sz w:val="20"/>
          <w:szCs w:val="20"/>
          <w:color w:val="auto"/>
        </w:rPr>
      </w:pPr>
      <w:r>
        <w:rPr>
          <w:rFonts w:ascii="Arial" w:cs="Arial" w:eastAsia="Arial" w:hAnsi="Arial"/>
          <w:sz w:val="16"/>
          <w:szCs w:val="16"/>
          <w:b w:val="1"/>
          <w:bCs w:val="1"/>
          <w:color w:val="auto"/>
        </w:rPr>
        <w:t xml:space="preserve">Purchases of Equity Securities by the Issuer and Affiliated Purchasers </w:t>
      </w:r>
      <w:r>
        <w:rPr>
          <w:rFonts w:ascii="Arial" w:cs="Arial" w:eastAsia="Arial" w:hAnsi="Arial"/>
          <w:sz w:val="16"/>
          <w:szCs w:val="16"/>
          <w:color w:val="auto"/>
        </w:rPr>
        <w:t>During 2017, 2,293 restricted common shares were forfeited by former employees.</w:t>
      </w:r>
    </w:p>
    <w:p>
      <w:pPr>
        <w:spacing w:after="0" w:line="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From time to time, we could be deemed to have repurchased shares as a result of shares withheld for tax purposes upon a stock compensation related vesting event.</w:t>
      </w: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6" w:right="25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94" w:lineRule="exact"/>
        <w:rPr>
          <w:sz w:val="20"/>
          <w:szCs w:val="20"/>
          <w:color w:val="auto"/>
        </w:rPr>
      </w:pPr>
    </w:p>
    <w:p>
      <w:pPr>
        <w:ind w:right="440"/>
        <w:spacing w:after="0" w:line="341" w:lineRule="auto"/>
        <w:rPr>
          <w:sz w:val="20"/>
          <w:szCs w:val="20"/>
          <w:color w:val="auto"/>
        </w:rPr>
      </w:pPr>
      <w:r>
        <w:rPr>
          <w:rFonts w:ascii="Arial" w:cs="Arial" w:eastAsia="Arial" w:hAnsi="Arial"/>
          <w:sz w:val="16"/>
          <w:szCs w:val="16"/>
          <w:color w:val="auto"/>
        </w:rPr>
        <w:t>The following table includes certain financial information on a consolidated historical basis. You should read this section in conjunction with “Item 7. Management’s Discussion and Analysis of Financial Condition and Results of Operations” and “Item 8. Financial Statements and Supplementary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3"/>
        </w:trPr>
        <w:tc>
          <w:tcPr>
            <w:tcW w:w="4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r>
      <w:tr>
        <w:trPr>
          <w:trHeight w:val="196"/>
        </w:trPr>
        <w:tc>
          <w:tcPr>
            <w:tcW w:w="4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40" w:type="dxa"/>
            <w:vAlign w:val="bottom"/>
            <w:gridSpan w:val="6"/>
          </w:tcPr>
          <w:p>
            <w:pPr>
              <w:jc w:val="center"/>
              <w:ind w:right="91"/>
              <w:spacing w:after="0"/>
              <w:rPr>
                <w:sz w:val="20"/>
                <w:szCs w:val="20"/>
                <w:color w:val="auto"/>
              </w:rPr>
            </w:pPr>
            <w:r>
              <w:rPr>
                <w:rFonts w:ascii="Arial" w:cs="Arial" w:eastAsia="Arial" w:hAnsi="Arial"/>
                <w:sz w:val="14"/>
                <w:szCs w:val="14"/>
                <w:b w:val="1"/>
                <w:bCs w:val="1"/>
                <w:color w:val="auto"/>
                <w:w w:val="92"/>
              </w:rPr>
              <w:t>(In thousands, except per share data and ratios)</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Data:</w:t>
            </w: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Rental income</w:t>
            </w:r>
          </w:p>
        </w:tc>
        <w:tc>
          <w:tcPr>
            <w:tcW w:w="3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841,461</w:t>
            </w:r>
          </w:p>
        </w:tc>
        <w:tc>
          <w:tcPr>
            <w:tcW w:w="2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786,583</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727,812</w:t>
            </w:r>
          </w:p>
        </w:tc>
        <w:tc>
          <w:tcPr>
            <w:tcW w:w="3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666,322</w:t>
            </w:r>
          </w:p>
        </w:tc>
        <w:tc>
          <w:tcPr>
            <w:tcW w:w="280" w:type="dxa"/>
            <w:vAlign w:val="bottom"/>
          </w:tcPr>
          <w:p>
            <w:pPr>
              <w:spacing w:after="0"/>
              <w:rPr>
                <w:sz w:val="21"/>
                <w:szCs w:val="21"/>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620,089</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operating income(1)</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584,619</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547,979</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510,595</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474,167</w:t>
            </w: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446,959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332,288</w:t>
            </w:r>
          </w:p>
        </w:tc>
        <w:tc>
          <w:tcPr>
            <w:tcW w:w="2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320,995</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300,154</w:t>
            </w:r>
          </w:p>
        </w:tc>
        <w:tc>
          <w:tcPr>
            <w:tcW w:w="3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271,037</w:t>
            </w:r>
          </w:p>
        </w:tc>
        <w:tc>
          <w:tcPr>
            <w:tcW w:w="280" w:type="dxa"/>
            <w:vAlign w:val="bottom"/>
          </w:tcPr>
          <w:p>
            <w:pPr>
              <w:spacing w:after="0"/>
              <w:rPr>
                <w:sz w:val="21"/>
                <w:szCs w:val="21"/>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254,161</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219,948</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226,425</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190,094</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167,888</w:t>
            </w: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137,811</w:t>
            </w:r>
          </w:p>
        </w:tc>
      </w:tr>
      <w:tr>
        <w:trPr>
          <w:trHeight w:val="228"/>
        </w:trPr>
        <w:tc>
          <w:tcPr>
            <w:tcW w:w="4460" w:type="dxa"/>
            <w:vAlign w:val="bottom"/>
            <w:gridSpan w:val="2"/>
          </w:tcPr>
          <w:p>
            <w:pPr>
              <w:ind w:left="40"/>
              <w:spacing w:after="0"/>
              <w:rPr>
                <w:sz w:val="20"/>
                <w:szCs w:val="20"/>
                <w:color w:val="auto"/>
              </w:rPr>
            </w:pPr>
            <w:r>
              <w:rPr>
                <w:rFonts w:ascii="Arial" w:cs="Arial" w:eastAsia="Arial" w:hAnsi="Arial"/>
                <w:sz w:val="18"/>
                <w:szCs w:val="18"/>
                <w:color w:val="auto"/>
                <w:w w:val="90"/>
              </w:rPr>
              <w:t>Gain on sale of real estate and change in control of interests,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net</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77,922</w:t>
            </w:r>
          </w:p>
        </w:tc>
        <w:tc>
          <w:tcPr>
            <w:tcW w:w="2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32,458</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28,330</w:t>
            </w:r>
          </w:p>
        </w:tc>
        <w:tc>
          <w:tcPr>
            <w:tcW w:w="300" w:type="dxa"/>
            <w:vAlign w:val="bottom"/>
          </w:tcPr>
          <w:p>
            <w:pPr>
              <w:spacing w:after="0"/>
              <w:rPr>
                <w:sz w:val="20"/>
                <w:szCs w:val="20"/>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4,401</w:t>
            </w:r>
          </w:p>
        </w:tc>
        <w:tc>
          <w:tcPr>
            <w:tcW w:w="280" w:type="dxa"/>
            <w:vAlign w:val="bottom"/>
          </w:tcPr>
          <w:p>
            <w:pPr>
              <w:spacing w:after="0"/>
              <w:rPr>
                <w:sz w:val="20"/>
                <w:szCs w:val="20"/>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28,855</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297,870</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258,883</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218,424</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172,289</w:t>
            </w: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167,608</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3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287,456</w:t>
            </w:r>
          </w:p>
        </w:tc>
        <w:tc>
          <w:tcPr>
            <w:tcW w:w="2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249,369</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209,678</w:t>
            </w:r>
          </w:p>
        </w:tc>
        <w:tc>
          <w:tcPr>
            <w:tcW w:w="3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163,994</w:t>
            </w:r>
          </w:p>
        </w:tc>
        <w:tc>
          <w:tcPr>
            <w:tcW w:w="280" w:type="dxa"/>
            <w:vAlign w:val="bottom"/>
          </w:tcPr>
          <w:p>
            <w:pPr>
              <w:spacing w:after="0"/>
              <w:rPr>
                <w:sz w:val="21"/>
                <w:szCs w:val="21"/>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162,140</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459,177</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423,705</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369,046</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349,465</w:t>
            </w: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316,340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(836,802)</w:t>
            </w:r>
          </w:p>
        </w:tc>
        <w:tc>
          <w:tcPr>
            <w:tcW w:w="2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(590,221)</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(353,763)</w:t>
            </w:r>
          </w:p>
        </w:tc>
        <w:tc>
          <w:tcPr>
            <w:tcW w:w="3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(396,150)</w:t>
            </w:r>
          </w:p>
        </w:tc>
        <w:tc>
          <w:tcPr>
            <w:tcW w:w="280" w:type="dxa"/>
            <w:vAlign w:val="bottom"/>
          </w:tcPr>
          <w:p>
            <w:pPr>
              <w:spacing w:after="0"/>
              <w:rPr>
                <w:sz w:val="21"/>
                <w:szCs w:val="21"/>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(345,198)</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369,445</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168,838</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(42,188)</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5,709</w:t>
            </w: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80,797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Earnings per common share, basic:</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available to common shareholders</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w:t>
            </w: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w w:val="91"/>
              </w:rPr>
              <w:t>Weighted average number of common shares, basic</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72,117</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70,877</w:t>
            </w:r>
          </w:p>
        </w:tc>
        <w:tc>
          <w:tcPr>
            <w:tcW w:w="5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68,797</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67,322</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65,331</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diluted:</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Net income available to common shareholders</w:t>
            </w:r>
          </w:p>
        </w:tc>
        <w:tc>
          <w:tcPr>
            <w:tcW w:w="3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3.97</w:t>
            </w:r>
          </w:p>
        </w:tc>
        <w:tc>
          <w:tcPr>
            <w:tcW w:w="2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3.50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3.03</w:t>
            </w:r>
          </w:p>
        </w:tc>
        <w:tc>
          <w:tcPr>
            <w:tcW w:w="3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2.41</w:t>
            </w:r>
          </w:p>
        </w:tc>
        <w:tc>
          <w:tcPr>
            <w:tcW w:w="280" w:type="dxa"/>
            <w:vAlign w:val="bottom"/>
          </w:tcPr>
          <w:p>
            <w:pPr>
              <w:spacing w:after="0"/>
              <w:rPr>
                <w:sz w:val="21"/>
                <w:szCs w:val="21"/>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2.46</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89"/>
              </w:rPr>
              <w:t>Weighted average number of common shares, diluted</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72,233</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71,049</w:t>
            </w: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68,981</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67,492</w:t>
            </w: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65,483</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3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3.96</w:t>
            </w:r>
          </w:p>
        </w:tc>
        <w:tc>
          <w:tcPr>
            <w:tcW w:w="2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3.84</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3.62</w:t>
            </w:r>
          </w:p>
        </w:tc>
        <w:tc>
          <w:tcPr>
            <w:tcW w:w="3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3.30</w:t>
            </w:r>
          </w:p>
        </w:tc>
        <w:tc>
          <w:tcPr>
            <w:tcW w:w="280" w:type="dxa"/>
            <w:vAlign w:val="bottom"/>
          </w:tcPr>
          <w:p>
            <w:pPr>
              <w:spacing w:after="0"/>
              <w:rPr>
                <w:sz w:val="21"/>
                <w:szCs w:val="21"/>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3.02</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Data:</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w w:val="91"/>
              </w:rPr>
              <w:t>Funds from operations available to common shareholders(2)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419,977</w:t>
            </w:r>
          </w:p>
        </w:tc>
        <w:tc>
          <w:tcPr>
            <w:tcW w:w="2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406,359</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352,857</w:t>
            </w:r>
          </w:p>
        </w:tc>
        <w:tc>
          <w:tcPr>
            <w:tcW w:w="3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327,597</w:t>
            </w:r>
          </w:p>
        </w:tc>
        <w:tc>
          <w:tcPr>
            <w:tcW w:w="280" w:type="dxa"/>
            <w:vAlign w:val="bottom"/>
          </w:tcPr>
          <w:p>
            <w:pPr>
              <w:spacing w:after="0"/>
              <w:rPr>
                <w:sz w:val="21"/>
                <w:szCs w:val="21"/>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289,938</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EBITDA(3)</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627,656</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547,088</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504,696</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447,495</w:t>
            </w: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446,555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Adjusted EBITDA(3)</w:t>
            </w:r>
          </w:p>
        </w:tc>
        <w:tc>
          <w:tcPr>
            <w:tcW w:w="3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548,311</w:t>
            </w:r>
          </w:p>
        </w:tc>
        <w:tc>
          <w:tcPr>
            <w:tcW w:w="2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514,630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476,366</w:t>
            </w:r>
          </w:p>
        </w:tc>
        <w:tc>
          <w:tcPr>
            <w:tcW w:w="3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443,094</w:t>
            </w:r>
          </w:p>
        </w:tc>
        <w:tc>
          <w:tcPr>
            <w:tcW w:w="280" w:type="dxa"/>
            <w:vAlign w:val="bottom"/>
          </w:tcPr>
          <w:p>
            <w:pPr>
              <w:spacing w:after="0"/>
              <w:rPr>
                <w:sz w:val="21"/>
                <w:szCs w:val="21"/>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417,700</w:t>
            </w:r>
          </w:p>
        </w:tc>
      </w:tr>
      <w:tr>
        <w:trPr>
          <w:trHeight w:val="27"/>
        </w:trPr>
        <w:tc>
          <w:tcPr>
            <w:tcW w:w="44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8"/>
        </w:trPr>
        <w:tc>
          <w:tcPr>
            <w:tcW w:w="4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Ratio of EBITDA to combined fixed charges and preferred</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dividends(3)(4)</w:t>
            </w:r>
          </w:p>
        </w:tc>
        <w:tc>
          <w:tcPr>
            <w:tcW w:w="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x</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52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x</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x</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x</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28"/>
        </w:trPr>
        <w:tc>
          <w:tcPr>
            <w:tcW w:w="4460" w:type="dxa"/>
            <w:vAlign w:val="bottom"/>
            <w:gridSpan w:val="2"/>
          </w:tcPr>
          <w:p>
            <w:pPr>
              <w:ind w:left="40"/>
              <w:spacing w:after="0"/>
              <w:rPr>
                <w:sz w:val="20"/>
                <w:szCs w:val="20"/>
                <w:color w:val="auto"/>
              </w:rPr>
            </w:pPr>
            <w:r>
              <w:rPr>
                <w:rFonts w:ascii="Arial" w:cs="Arial" w:eastAsia="Arial" w:hAnsi="Arial"/>
                <w:sz w:val="18"/>
                <w:szCs w:val="18"/>
                <w:color w:val="auto"/>
                <w:w w:val="96"/>
              </w:rPr>
              <w:t>Ratio of Adjusted EBITDA to combined fixed charges and</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preferred share dividends(3)(4)</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x</w:t>
            </w:r>
          </w:p>
        </w:tc>
        <w:tc>
          <w:tcPr>
            <w:tcW w:w="26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520" w:type="dxa"/>
            <w:vAlign w:val="bottom"/>
          </w:tcPr>
          <w:p>
            <w:pPr>
              <w:jc w:val="right"/>
              <w:ind w:right="292"/>
              <w:spacing w:after="0"/>
              <w:rPr>
                <w:sz w:val="20"/>
                <w:szCs w:val="20"/>
                <w:color w:val="auto"/>
              </w:rPr>
            </w:pPr>
            <w:r>
              <w:rPr>
                <w:rFonts w:ascii="Arial" w:cs="Arial" w:eastAsia="Arial" w:hAnsi="Arial"/>
                <w:sz w:val="18"/>
                <w:szCs w:val="18"/>
                <w:color w:val="auto"/>
              </w:rPr>
              <w:t>x</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rPr>
              <w:t>x</w:t>
            </w:r>
          </w:p>
        </w:tc>
        <w:tc>
          <w:tcPr>
            <w:tcW w:w="24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rPr>
              <w:t>x</w:t>
            </w:r>
          </w:p>
        </w:tc>
        <w:tc>
          <w:tcPr>
            <w:tcW w:w="26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3.1</w:t>
            </w:r>
          </w:p>
        </w:tc>
      </w:tr>
      <w:tr>
        <w:trPr>
          <w:trHeight w:val="358"/>
        </w:trPr>
        <w:tc>
          <w:tcPr>
            <w:tcW w:w="4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63"/>
        </w:trPr>
        <w:tc>
          <w:tcPr>
            <w:tcW w:w="4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391"/>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r>
      <w:tr>
        <w:trPr>
          <w:trHeight w:val="196"/>
        </w:trPr>
        <w:tc>
          <w:tcPr>
            <w:tcW w:w="4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Real estate, at cost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w w:val="94"/>
              </w:rPr>
              <w:t>7,635,061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w w:val="94"/>
              </w:rPr>
              <w:t>6,759,073</w:t>
            </w:r>
          </w:p>
        </w:tc>
        <w:tc>
          <w:tcPr>
            <w:tcW w:w="5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w w:val="97"/>
              </w:rPr>
              <w:t>6,064,406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w w:val="97"/>
              </w:rPr>
              <w:t>5,608,998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5,149,463</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4"/>
              </w:rPr>
              <w:t>6,275,755</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4"/>
              </w:rPr>
              <w:t>5,423,279</w:t>
            </w:r>
          </w:p>
        </w:tc>
        <w:tc>
          <w:tcPr>
            <w:tcW w:w="52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4,896,559</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4,534,237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4,208,727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w w:val="94"/>
              </w:rPr>
              <w:t>3,284,766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w w:val="94"/>
              </w:rPr>
              <w:t>2,798,452</w:t>
            </w:r>
          </w:p>
        </w:tc>
        <w:tc>
          <w:tcPr>
            <w:tcW w:w="5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w w:val="97"/>
              </w:rPr>
              <w:t>2,627,216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w w:val="97"/>
              </w:rPr>
              <w:t>2,397,043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2,311,294</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4"/>
              </w:rPr>
              <w:t>2,391,514</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4"/>
              </w:rPr>
              <w:t>2,075,835</w:t>
            </w:r>
          </w:p>
        </w:tc>
        <w:tc>
          <w:tcPr>
            <w:tcW w:w="52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1,781,931</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1,692,556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1,471,297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Number of common shares outstanding</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73,091</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71,996</w:t>
            </w:r>
          </w:p>
        </w:tc>
        <w:tc>
          <w:tcPr>
            <w:tcW w:w="5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69,493</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68,606</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66,701</w:t>
            </w:r>
          </w:p>
        </w:tc>
      </w:tr>
    </w:tbl>
    <w:p>
      <w:pPr>
        <w:spacing w:after="0" w:line="228" w:lineRule="exact"/>
        <w:rPr>
          <w:sz w:val="20"/>
          <w:szCs w:val="20"/>
          <w:color w:val="auto"/>
        </w:rPr>
      </w:pPr>
    </w:p>
    <w:p>
      <w:pPr>
        <w:ind w:left="340" w:right="200" w:hanging="332"/>
        <w:spacing w:after="0" w:line="25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Property operating income is a non-GAAP measure that consists of rental income, other property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w:t>
      </w:r>
    </w:p>
    <w:p>
      <w:pPr>
        <w:sectPr>
          <w:pgSz w:w="11900" w:h="16838" w:orient="portrait"/>
          <w:cols w:equalWidth="0" w:num="1">
            <w:col w:w="11420"/>
          </w:cols>
          <w:pgMar w:left="240" w:top="126"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6" w:right="239" w:bottom="1440" w:gutter="0" w:footer="0" w:header="0"/>
          <w:type w:val="continuous"/>
        </w:sectPr>
      </w:pPr>
    </w:p>
    <w:bookmarkStart w:id="28" w:name="page29"/>
    <w:bookmarkEnd w:id="28"/>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operating income to property operating income is as follows:</w:t>
      </w:r>
    </w:p>
    <w:p>
      <w:pPr>
        <w:spacing w:after="0" w:line="230"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2013</w:t>
            </w:r>
          </w:p>
        </w:tc>
      </w:tr>
      <w:tr>
        <w:trPr>
          <w:trHeight w:val="250"/>
        </w:trPr>
        <w:tc>
          <w:tcPr>
            <w:tcW w:w="4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332,288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320,995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300,154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271,037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254,161</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36,281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33,399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35,645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32,316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31,970</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216,050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193,585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174,796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170,814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160,828</w:t>
            </w:r>
          </w:p>
        </w:tc>
      </w:tr>
      <w:tr>
        <w:trPr>
          <w:trHeight w:val="236"/>
        </w:trPr>
        <w:tc>
          <w:tcPr>
            <w:tcW w:w="4460" w:type="dxa"/>
            <w:vAlign w:val="bottom"/>
          </w:tcPr>
          <w:p>
            <w:pPr>
              <w:ind w:left="40"/>
              <w:spacing w:after="0"/>
              <w:rPr>
                <w:sz w:val="20"/>
                <w:szCs w:val="20"/>
                <w:color w:val="auto"/>
              </w:rPr>
            </w:pPr>
            <w:r>
              <w:rPr>
                <w:rFonts w:ascii="Arial" w:cs="Arial" w:eastAsia="Arial" w:hAnsi="Arial"/>
                <w:sz w:val="18"/>
                <w:szCs w:val="18"/>
                <w:color w:val="auto"/>
              </w:rPr>
              <w:t>Property operating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584,619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547,979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510,595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474,167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446,959</w:t>
            </w:r>
          </w:p>
        </w:tc>
      </w:tr>
      <w:tr>
        <w:trPr>
          <w:trHeight w:val="27"/>
        </w:trPr>
        <w:tc>
          <w:tcPr>
            <w:tcW w:w="4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ind w:left="340" w:right="260" w:hanging="332"/>
        <w:spacing w:after="0" w:line="301"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Funds from operations ("FFO") is a supplemental non-GAAP financial measure of real estate companies’ operating performances. The National Association of Real Estate Investment Trusts (“NAREIT”) defines FFO as follows: net income, computed in accordance with GAAP, plus real estate related depreciation and amortization and excluding extraordinary items and gains on the sale of real estate. We compute FFO in accordance with the NAREIT definition, and we have historically reported our FFO available for common shareholders in addition to our net income.</w:t>
      </w:r>
    </w:p>
    <w:p>
      <w:pPr>
        <w:spacing w:after="0" w:line="21" w:lineRule="exact"/>
        <w:rPr>
          <w:rFonts w:ascii="Arial" w:cs="Arial" w:eastAsia="Arial" w:hAnsi="Arial"/>
          <w:sz w:val="16"/>
          <w:szCs w:val="16"/>
          <w:color w:val="auto"/>
        </w:rPr>
      </w:pPr>
    </w:p>
    <w:p>
      <w:pPr>
        <w:ind w:left="340"/>
        <w:spacing w:after="0" w:line="273" w:lineRule="auto"/>
        <w:rPr>
          <w:rFonts w:ascii="Arial" w:cs="Arial" w:eastAsia="Arial" w:hAnsi="Arial"/>
          <w:sz w:val="16"/>
          <w:szCs w:val="16"/>
          <w:color w:val="auto"/>
        </w:rPr>
      </w:pPr>
      <w:r>
        <w:rPr>
          <w:rFonts w:ascii="Arial" w:cs="Arial" w:eastAsia="Arial" w:hAnsi="Arial"/>
          <w:sz w:val="17"/>
          <w:szCs w:val="17"/>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 Additional information regarding our calculation of FFO is contained in “Item 7. Management’s Discussion and Analysis of Financial Condition and Results of Operations.”</w:t>
      </w:r>
    </w:p>
    <w:p>
      <w:pPr>
        <w:spacing w:after="0" w:line="12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The reconciliation of net income to FFO available for common shareholders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2013</w:t>
            </w:r>
          </w:p>
        </w:tc>
      </w:tr>
      <w:tr>
        <w:trPr>
          <w:trHeight w:val="250"/>
        </w:trPr>
        <w:tc>
          <w:tcPr>
            <w:tcW w:w="4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w w:val="99"/>
              </w:rPr>
              <w:t>(In thousands)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6"/>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297,870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258,883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218,424</w:t>
            </w:r>
          </w:p>
        </w:tc>
        <w:tc>
          <w:tcPr>
            <w:tcW w:w="5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172,289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167,608</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(8,205)</w:t>
            </w: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(4,927)</w:t>
            </w: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8"/>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Gain on sale of real estate and change in control of interests,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7"/>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(77,632)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(31,133)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(28,330)</w:t>
            </w:r>
          </w:p>
        </w:tc>
        <w:tc>
          <w:tcPr>
            <w:tcW w:w="5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(28,855)</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Depreciation and amortization of real estate assets</w:t>
            </w: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188,719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169,198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154,232</w:t>
            </w: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154,060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146,377</w:t>
            </w: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initial direct costs of leases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19,124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16,875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15,026</w:t>
            </w:r>
          </w:p>
        </w:tc>
        <w:tc>
          <w:tcPr>
            <w:tcW w:w="5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10,694</w:t>
            </w:r>
          </w:p>
        </w:tc>
      </w:tr>
      <w:tr>
        <w:trPr>
          <w:trHeight w:val="236"/>
        </w:trPr>
        <w:tc>
          <w:tcPr>
            <w:tcW w:w="4480" w:type="dxa"/>
            <w:vAlign w:val="bottom"/>
          </w:tcPr>
          <w:p>
            <w:pPr>
              <w:ind w:left="20"/>
              <w:spacing w:after="0"/>
              <w:rPr>
                <w:sz w:val="20"/>
                <w:szCs w:val="20"/>
                <w:color w:val="auto"/>
              </w:rPr>
            </w:pPr>
            <w:r>
              <w:rPr>
                <w:rFonts w:ascii="Arial" w:cs="Arial" w:eastAsia="Arial" w:hAnsi="Arial"/>
                <w:sz w:val="18"/>
                <w:szCs w:val="18"/>
                <w:color w:val="auto"/>
              </w:rPr>
              <w:t>Funds from operations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420,125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404,850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351,147</w:t>
            </w:r>
          </w:p>
        </w:tc>
        <w:tc>
          <w:tcPr>
            <w:tcW w:w="5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326,585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290,897</w:t>
            </w: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on preferred shares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Income attributable to operating partnership units</w:t>
            </w: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3,143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3,398</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3,398</w:t>
            </w: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3,027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888</w:t>
            </w: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attributable to unvested shares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5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r>
      <w:tr>
        <w:trPr>
          <w:trHeight w:val="236"/>
        </w:trPr>
        <w:tc>
          <w:tcPr>
            <w:tcW w:w="4480" w:type="dxa"/>
            <w:vAlign w:val="bottom"/>
          </w:tcPr>
          <w:p>
            <w:pPr>
              <w:ind w:left="20"/>
              <w:spacing w:after="0"/>
              <w:rPr>
                <w:sz w:val="20"/>
                <w:szCs w:val="20"/>
                <w:color w:val="auto"/>
              </w:rPr>
            </w:pPr>
            <w:r>
              <w:rPr>
                <w:rFonts w:ascii="Arial" w:cs="Arial" w:eastAsia="Arial" w:hAnsi="Arial"/>
                <w:sz w:val="18"/>
                <w:szCs w:val="18"/>
                <w:color w:val="auto"/>
                <w:w w:val="95"/>
              </w:rPr>
              <w:t>Funds from operations available for common shareholders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419,977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406,359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352,857</w:t>
            </w:r>
          </w:p>
        </w:tc>
        <w:tc>
          <w:tcPr>
            <w:tcW w:w="5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327,597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289,938</w:t>
            </w:r>
          </w:p>
        </w:tc>
      </w:tr>
      <w:tr>
        <w:trPr>
          <w:trHeight w:val="27"/>
        </w:trPr>
        <w:tc>
          <w:tcPr>
            <w:tcW w:w="4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4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340" w:hanging="332"/>
        <w:spacing w:after="0" w:line="256" w:lineRule="auto"/>
        <w:tabs>
          <w:tab w:leader="none" w:pos="271" w:val="left"/>
        </w:tabs>
        <w:numPr>
          <w:ilvl w:val="0"/>
          <w:numId w:val="27"/>
        </w:numPr>
        <w:rPr>
          <w:rFonts w:ascii="Arial" w:cs="Arial" w:eastAsia="Arial" w:hAnsi="Arial"/>
          <w:sz w:val="18"/>
          <w:szCs w:val="18"/>
          <w:color w:val="auto"/>
        </w:rPr>
      </w:pPr>
      <w:r>
        <w:rPr>
          <w:rFonts w:ascii="Arial" w:cs="Arial" w:eastAsia="Arial" w:hAnsi="Arial"/>
          <w:sz w:val="18"/>
          <w:szCs w:val="18"/>
          <w:color w:val="auto"/>
        </w:rPr>
        <w:t>EBITDA is a non-GAAP measure as calculated in the table below. Adjusted EBITDA is a non-GAAP measure that means net income or loss plus net interest expense, income taxes, depreciation and amortization, gain or loss on sale of real estate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Adjusted EBITDA as presented may not be comparable to other similarly titled measures used by other REITs.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net income to EBITDA and adjusted EBITDA for the periods presented is as follows: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126" w:right="33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2013</w:t>
            </w:r>
          </w:p>
        </w:tc>
      </w:tr>
      <w:tr>
        <w:trPr>
          <w:trHeight w:val="250"/>
        </w:trPr>
        <w:tc>
          <w:tcPr>
            <w:tcW w:w="4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6"/>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297,870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258,883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218,424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172,289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167,608</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216,050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193,585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174,796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170,814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161,099</w:t>
            </w:r>
          </w:p>
        </w:tc>
      </w:tr>
      <w:tr>
        <w:trPr>
          <w:trHeight w:val="27"/>
        </w:trPr>
        <w:tc>
          <w:tcPr>
            <w:tcW w:w="4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100,125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104,977</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Early extinguishment of debt</w:t>
            </w: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12,273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13,304</w:t>
            </w:r>
          </w:p>
        </w:tc>
      </w:tr>
      <w:tr>
        <w:trPr>
          <w:trHeight w:val="27"/>
        </w:trPr>
        <w:tc>
          <w:tcPr>
            <w:tcW w:w="4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Other interest income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7"/>
        </w:trPr>
        <w:tc>
          <w:tcPr>
            <w:tcW w:w="4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627,656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547,088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504,696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447,495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446,555</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w w:val="90"/>
              </w:rPr>
              <w:t>Gain on sale of real estate and change in control of interests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(79,345)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(28,855)</w:t>
            </w:r>
          </w:p>
        </w:tc>
      </w:tr>
      <w:tr>
        <w:trPr>
          <w:trHeight w:val="27"/>
        </w:trPr>
        <w:tc>
          <w:tcPr>
            <w:tcW w:w="4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548,311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514,630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476,366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443,094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417,700</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hanging="332"/>
        <w:spacing w:after="0" w:line="275" w:lineRule="auto"/>
        <w:tabs>
          <w:tab w:leader="none" w:pos="271" w:val="left"/>
        </w:tabs>
        <w:numPr>
          <w:ilvl w:val="0"/>
          <w:numId w:val="28"/>
        </w:numPr>
        <w:rPr>
          <w:rFonts w:ascii="Arial" w:cs="Arial" w:eastAsia="Arial" w:hAnsi="Arial"/>
          <w:sz w:val="17"/>
          <w:szCs w:val="17"/>
          <w:color w:val="auto"/>
        </w:rPr>
      </w:pPr>
      <w:r>
        <w:rPr>
          <w:rFonts w:ascii="Arial" w:cs="Arial" w:eastAsia="Arial" w:hAnsi="Arial"/>
          <w:sz w:val="17"/>
          <w:szCs w:val="17"/>
          <w:color w:val="auto"/>
        </w:rPr>
        <w:t>Fixed charges consist of interest on borrowed funds (including capitalized interest), amortization of debt discount/ premiums and debt costs, costs related to the early extinguishment of debt, and the portion of rent expense representing an interest factor. Excluding the $12.3 million, $19.1 million, $10.5 million, and $13.3 million early extinguishment of debt charge from fixed charges in 2017, 2015, 2014, and 2013, respectively, the ratio of EBITDA and adjusted EBITDA to combined fixed charges and preferred share dividends is 4.8x and 4.2x, respectively, for 2017, 4.5x and 4.3x, respectively, for 2015, 3.9x and 3.8x, respectively, for 2014, and 3.7x and 3.4x, respectively for 2013.</w:t>
      </w:r>
    </w:p>
    <w:p>
      <w:pPr>
        <w:spacing w:after="0" w:line="198" w:lineRule="exact"/>
        <w:rPr>
          <w:sz w:val="20"/>
          <w:szCs w:val="20"/>
          <w:color w:val="auto"/>
        </w:rPr>
      </w:pPr>
    </w:p>
    <w:p>
      <w:pPr>
        <w:ind w:right="1220"/>
        <w:spacing w:after="0" w:line="346"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Forward-Looking Statements</w:t>
      </w:r>
    </w:p>
    <w:p>
      <w:pPr>
        <w:spacing w:after="0" w:line="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Certain statements in this section or elsewhere in this report may be deemed “forward-looking statements”. See “Item 1A. Risk Factors” in this report for important information regarding these forward-looking statements and certain risk and uncertainties that may affect us. The following discussion should be read in conjunction with the consolidated financial statements and notes thereto appearing in “Item 8. Financial Statements and Supplementary Data” of this report.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December 31, 2017, we owned or had a majority interest in community and neighborhood shopping centers and mixed-use properties which are operated as 104 predominantly retail real estate projects comprising approximately 24.2 million square feet. In total, the real estate projects were 95.3% leased and 93.9% occupied at December 31, 2017. We have paid quarterly dividends to our shareholders continuously since our founding in 1962 and have increased our dividends per common share for 50 consecutive years.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and current events and economic conditions. In addition, information relied upon by management in preparing such estimates includes internally generated financial and operating information, external market information, when available, and when necessary, information obtained from consultations with third party experts. Actual results could differ from these estimates. A discussion of possible risks which may affect these estimates is included in “Item 1A. Risk Factors” of this report. Management considers an accounting estimate to be critical if changes in the estimate could have a material impact on our consolidated results of operations or financial condition.</w:t>
      </w:r>
    </w:p>
    <w:p>
      <w:pPr>
        <w:spacing w:after="0" w:line="12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significant accounting policies are more fully described in Note 2 to the consolidated financial statements; however, the most critical accounting policies, which involve the use of estimates and assumptions as to future uncertainties and, therefore, may result in actual amounts that differ from estimates, are as follows:</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126" w:right="29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Accounts Receivable</w:t>
      </w:r>
    </w:p>
    <w:p>
      <w:pPr>
        <w:spacing w:after="0" w:line="9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leases with tenants are classified as operating leases. Substantially all such leases contain fixed escalations which occur at specified times during the term of the lease. Base rents are recognized on a straight-line basis from when the tenant controls the space through the term of the related lease, net of valuation adjustments, based on management’s assessment of credit, collection and other business risk. Percentage rents, which represent additional rents based upon the level of sales achieved by certain tenants, are recognized at the end of the lease year or earlier if we have determined the required sales level is achieved and the percentage rents are collectible. Real estate tax and other cost reimbursements are recognized on an accrual basis over the periods in which the related expenditures are incurred. For a tenant to terminate its lease agreement prior to the end of the agreed term, we may require that they pay a fee to cancel the lease agreement. Lease termination fees for which the tenant has relinquished control of the space are generally recognized on the termination date. When a lease is terminated early but the tenant continues to control the space under a modified lease agreement, the lease termination fee is generally recognized evenly over the remaining term of the modified lease agreement.</w:t>
      </w:r>
    </w:p>
    <w:p>
      <w:pPr>
        <w:spacing w:after="0" w:line="12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Current accounts receivable from tenants primarily relate to contractual minimum rent and percentage rent as well as real estate tax and other cost reimbursements. Accounts receivable from straight-line rent is typically longer term in nature and relates to the cumulative amount by which straight-line rental income recorded to date exceeds cash rents billed to date under the contractual lease agreement.</w:t>
      </w:r>
    </w:p>
    <w:p>
      <w:pPr>
        <w:spacing w:after="0" w:line="12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make estimates of the collectability of our current accounts receivable and straight-line rents receivable which requires significant judgment by management. The collectability of receivables is affected by numerous factors including current economic conditions, bankruptcies, and the ability of the tenant to perform under the terms of their lease agreement. While we make estimates of potentially uncollectible amounts and provide an allowance for them through bad debt expense, actual collectability could differ from those estimates which could affect our net income. With respect to the allowance for current uncollectible tenant receivables, we assess the collectability of outstanding receivables by evaluating such factors as nature and age of the receivable, past history and current financial condition of the specific tenant including our assessment of the tenant’s ability to meet its contractual lease obligations, and the status of any pending disputes or lease negotiations with the tenant. At December 31, 2017 and 2016, our allowance for doubtful accounts was $11.8 million and $11.9 million, respectively. Historically, we have recognized bad debt expense between 0.3% and 1.3% of rental income and it was 0.3% in 2017. A change in the estimate of collectability of a receivable would result in a change to our allowance for doubtful accounts and correspondingly bad debt expense and net income. For example, in the event our estimates were not accurate and we were required to increase our allowance by 1% of rental income, our bad debt expense would have increased and our net income would have decreased by $8.4 million.</w:t>
      </w:r>
    </w:p>
    <w:p>
      <w:pPr>
        <w:spacing w:after="0" w:line="11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Due to the nature of the accounts receivable from straight-line rents, the collection period of these amounts typically extends beyond one year. Our experience relative to unbilled straight-line rents is that a portion of the amounts otherwise recognizable as revenue is never billed to or collected from tenants due to early lease terminations, lease modifications, bankruptcies and other factors. Accordingly, the extended collection period for straight-line rents along with our evaluation of tenant credit risk may result in the nonrecognition of a portion of straight-line rental income until the collection of such income is reasonably assured. If our evaluation of tenant credit risk changes indicating more straight-line revenue is reasonably collectible than previously estimated and realized, the additional straight-line rental income is recognized as revenue. If our evaluation of tenant credit risk changes indicating a portion of realized straight-line rental income is no longer collectible, a reserve and bad debt expense is recorded. At December 31, 2017 and 2016, accounts receivable includes approximately $93.1 million and $80.6 million, respectively, related to straight-line rents. Correspondingly, these estimates of collectability have a direct impact on our net income.</w:t>
      </w:r>
    </w:p>
    <w:p>
      <w:pPr>
        <w:spacing w:after="0" w:line="1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are currently under construction on 221 condominium units at our Assembly Row and Pike &amp; Rose properties. Gains or losses on the sale of these condominium units are recognized in accordance with the provisions of ASC Topic 360-20, “Property, Plant and Equipment – Real Estate Sales.” We account for contracted condominium sales under the percentage-of completion method, based on an evaluation of the criteria specified in ASC Topic 360-20 including: the legal commitment of the purchaser in the real estate contract, whether the construction of the project is beyond a preliminary phase, whether sufficient units have been contracted to ensure the project will not revert to a rental project, the ability to reasonably estimate the aggregate project sale proceeds and aggregate project costs, and the determination that the buyer has made an adequate initial and continuing cash investment under the contract. When the percentage-of-completion criteria have not been met, no profit is recognized. The application of these criteria can be complex and requires us to make assumptions. The timing of revenue recognition related to these condominium sales will be impacted by the January 1, 2018 adoption of ASU 2014-09 "Revenue from Contracts with Customers." See "Recent Accounting Pronouncements," in Note 2 to the consolidated financial statements for further discussion regarding the changes.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6" w:right="27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9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nature of our business as an owner, redeveloper and operator of retail shopping centers and mixed-use properties means that we invest significant amounts of capital. Depreciation and maintenance costs relating to our properties constitute substantial costs for us as well as the industry as a whole. We capitalize real estate investments and depreciate them on a straight-line basis in accordance with GAAP and consistent with industry standards based on our best estimates of the assets’ physical and economic useful lives. We periodically review the estimated lives of our assets and implement changes, as necessary, to these estimates and, therefore, to our depreciation rates. These reviews may take into account such factors as the historical retirement and replacement of our assets, expected redevelopments, and general economic and real estate factors. Certain events, such as unforeseen competition or changes in customer shopping habits, could substantially alter our assumptions regarding our ability to realize the expected return on investment in the property and therefore reduce the economic life of the asset and affect the amount of depreciation expense to be charged against both the current and future revenues. These assessments have a direct impact on our net income. The longer the economic useful life, the lower the depreciation expense will be for that asset in a fiscal period, which in turn will increase our net income. Similarly, having a shorter economic useful life would increase the depreciation for a fiscal period and decrease our net income.</w:t>
      </w:r>
    </w:p>
    <w:p>
      <w:pPr>
        <w:spacing w:after="0" w:line="12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Land, buildings and real estate under development are recorded at cost. We calculate depreciation using the straight-line method with useful lives ranging generally from 35 years to a maximum of 50 years on buildings and major improvements. Maintenance and repair costs are charged to operations as incurred. Tenant work and other major improvements, which improve or extend the life of the asset, are capitalized and depreciated over the life of the lease or the estimated useful life of the improvements, whichever is shorter. Minor improvements, furniture and equipment are capitalized and depreciated over useful lives ranging from 2 to 20 years.</w:t>
      </w:r>
    </w:p>
    <w:p>
      <w:pPr>
        <w:spacing w:after="0" w:line="13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Capitalized costs associated with leases are depreciated or amortized over the base term of the lease. Unamortized leasing costs are charged to expense if the applicable tenant vacates before the expiration of its lease. Undepreciated tenant work is written-off if the applicable tenant vacates and the tenant work is replaced or has no future value. Additionally, we make estimates as to the probability of certain development and redevelopment projects being completed. If we determine the redevelopment is no longer probable of completion, we immediately expense all capitalized costs which are not recoverable.</w:t>
      </w:r>
    </w:p>
    <w:p>
      <w:pPr>
        <w:spacing w:after="0" w:line="10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Interest costs on developments and major redevelopments are capitalized as part of developments and redevelopments not yet placed in service. Capitalization of interest commences when development activities and expenditures begin and end upon completion, which is when the asset is ready for its intended use. Generally, rental property is considered substantially complete and ready for its intended use upon completion of tenant improvements, but no later than one year from completion of major construction activity. We make judgments as to the time period over which to capitalize such costs and these assumptions have a direct impact on net income because capitalized costs are not subtracted in calculating net income. If the time period for capitalizing interest is extended, more interest is capitalized, thereby decreasing interest expense and increasing net income during that period.</w:t>
      </w:r>
    </w:p>
    <w:p>
      <w:pPr>
        <w:spacing w:after="0" w:line="16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external and internal costs related to both development and redevelopment activities of $410 million and $8 million, respectively, for 2017 and $420 million and $9 million, respectively, for 2016. We capitalized external and internal costs related to other property improvements of $74 million and $3 million, respectively, for 2017 and $61 million and $3 million, respectively, for 2016. We capitalized external and internal costs related to leasing activities of $11 million and $6 million, respectively, for 2017 and $13 million and $6 million, respectively, for 2016. The amount of capitalized internal costs for salaries and related benefits for development and redevelopment activities, other property improvements, and leasing activities were $7 million, $3 million, and $6 million, for 2017 and $8 million, $2 million, and $6 million for 2016. Total capitalized costs were $512 million and $511 million for 2017 and 2016, respectively.</w:t>
      </w:r>
    </w:p>
    <w:p>
      <w:pPr>
        <w:spacing w:after="0" w:line="11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When applicable, as lessee, we classify our leases of land and building as operating or capital leases. We are required to use judgment and make estimates in determining the lease term, the estimated economic life of the property and the interest rate to be used in determining whether or not the lease meets the qualification of a capital lease and is recorded as an asset.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Acquisitions</w:t>
      </w:r>
    </w:p>
    <w:p>
      <w:pPr>
        <w:spacing w:after="0" w:line="9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Upon acquisition of operating real estate properties, we estimate the fair value of assets and liabilities acquired including land, building, improvements, leasing costs, intangibles such as in-place leases, assumed debt, and current assets and liabilities, if any. Based on these estimates, we allocate the purchase price to the applicable assets and liabilities. We utilize methods similar to those used by independent appraisers in estimating the fair value of acquired assets and liabilities. The value allocated to in-place leases is amortized over the related lease term and reflected as rental income in the statement of operations. We consider qualitative and quantitative factors in evaluating the likelihood of a tenant exercising a below market renewal option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6" w:right="25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include such renewal options in the calculation of in-place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in-place lease value is written off to rental income.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 and Impairment</w:t>
      </w:r>
    </w:p>
    <w:p>
      <w:pPr>
        <w:spacing w:after="0" w:line="9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There are estimates and assumptions made by management in preparing the consolidated financial statements for which the actual results will be determined over long periods of time. This includes the recoverability of long-lived assets, including our properties that have been acquired or redeveloped and our investment in certain joint ventures. Management’s evaluation of impairment includes review for possible indicators of impairment as well as, in certain circumstances, undiscounted and discounted cash flow analysis. Since most of our investments in real estate are wholly-owned or controlled assets which are held for use, a property with impairment indicators is first tested for impairment by comparing the undiscounted cash flows, including residual value, to the current net book value of the property. If the undiscounted cash flows are less than the net book value, the property is written down to expected fair value.</w:t>
      </w:r>
    </w:p>
    <w:p>
      <w:pPr>
        <w:spacing w:after="0" w:line="10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calculation of both discounted and undiscounted cash flows requires management to make estimates of future cash flows including revenues, operating expenses, required maintenance and development expenditures, market conditions, demand for space by tenants and rental rates over long periods. Because our properties typically have a long life, the assumptions used to estimate the future recoverability of book value requires significant management judgment. Actual results could be significantly different from the estimates. These estimates have a direct impact on net income, because recording an impairment charge results in a negative adjustment to net income.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Any difference between our estimate of a potential loss and the actual outcome would result in an increase or decrease to net income.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w:t>
      </w:r>
    </w:p>
    <w:p>
      <w:pPr>
        <w:spacing w:after="0" w:line="9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are self-insured for general liability costs up to predetermined retained amounts per claim, and we believe that we maintain adequate accruals to cover our retained liability. We currently do not maintain third party stop-loss insurance policies to cover liability costs in excess of predetermined retained amounts. Our accrual for self-insurance liability is determined by management and is based on claims filed and an estimate of claims projected to be incurred but not yet reported. Management considers a number of factors, including third-party actuarial analysis, previous experience in our portfolio, and future increases in costs of claims, when making these determinations. If our liability costs differ from these accruals, it will increase or decrease our net income.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Recently Issued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Property Acquisitions and Dispositions</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February 1, 2017, we acquired a leasehold interest in Hastings Ranch Plaza, a 274,000 square foot shopping center in Pasadena, California for $29.5 million. The land is subject to a long-term ground lease that expires on April 30, 2054. Approximately $21.5 million of assets acquired were allocated to lease intangibles and included within other assets. Approximately $15.2 million of net assets acquired were allocated to lease liabilities and included in other liabilities.</w:t>
      </w:r>
    </w:p>
    <w:p>
      <w:pPr>
        <w:spacing w:after="0" w:line="5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March 31, 2017, we acquired the fee interest in Riverpoint Center, a 211,000 square foot shopping center in the Lincoln Park neighborhood of Chicago, Illinois for $107.0 million. Approximately $1.0 million and $12.3 million of net assets acquired were allocated to other assets for "above market leases," and other liabilities for "below market leases," respectively.</w:t>
      </w:r>
    </w:p>
    <w:p>
      <w:pPr>
        <w:spacing w:after="0" w:line="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leased three parcels of land at our Assembly Row property to two ground lessees. Both lessees exercised purchase options under the related ground leases. The sale transaction related to the purchase option on one of our ground leases was completed on April 4, 2017 for a sales price of $36.0 million. On June 28, 2017, the sale transactions related to the purchase options on our other two ground lease parcels were completed for a total sales price of $17.3 million. The net gain recognized in</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6" w:right="25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connection with these transactions was approximately $15.4 million. At December 31, 2016, the total cost basis of the related land was $33.9 million and is included in "assets held for sale" on our consolidated balance sheet.</w:t>
      </w:r>
    </w:p>
    <w:p>
      <w:pPr>
        <w:spacing w:after="0" w:line="3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On May 19, 2017, we acquired the fee interest in a 71,000 square foot, mixed-use property located in Berkeley, California based on a gross value of $23.9 million. The acquisition was completed through a newly formed entity for which we own a 90% controlling interest. Approximately $0.8 million and $0.3 million of net assets acquired were allocated to other assets for "above market leases," and other liabilities for "below market leases," respectively. Additionally, approximately $2.4 million was allocated to noncontrolling interests.</w:t>
      </w:r>
    </w:p>
    <w:p>
      <w:pPr>
        <w:spacing w:after="0" w:line="5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On August 2, 2017, we acquired an approximately 90% interest in a joint venture that owns six shopping centers in Los Angeles County, California based on a gross value of $357 million, including the assumption of $79.4 million of mortgage debt. Approximately $7.8 million of assets acquired were allocated to lease intangibles and included within other assets. Approximately $36.2 million of net assets acquired were allocated to lease liabilities and included in other liabilities. Additionally, approximately $30.6 million was allocated to noncontrolling interests. That joint venture also acquired a 24.5% interest in La Alameda, a shopping center in Walnut Park, California for $19.8 million. The property has $41.0 million of mortgage debt, of which the joint venture's share is approximately $10 million. Additional information on the properties is listed below:</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tcPr>
          <w:p>
            <w:pPr>
              <w:ind w:left="40"/>
              <w:spacing w:after="0"/>
              <w:rPr>
                <w:sz w:val="20"/>
                <w:szCs w:val="20"/>
                <w:color w:val="auto"/>
              </w:rPr>
            </w:pPr>
            <w:r>
              <w:rPr>
                <w:rFonts w:ascii="Arial" w:cs="Arial" w:eastAsia="Arial" w:hAnsi="Arial"/>
                <w:sz w:val="16"/>
                <w:szCs w:val="16"/>
                <w:b w:val="1"/>
                <w:bCs w:val="1"/>
                <w:color w:val="auto"/>
              </w:rPr>
              <w:t>Property</w:t>
            </w:r>
          </w:p>
        </w:tc>
        <w:tc>
          <w:tcPr>
            <w:tcW w:w="3080" w:type="dxa"/>
            <w:vAlign w:val="bottom"/>
          </w:tcPr>
          <w:p>
            <w:pPr>
              <w:ind w:left="700"/>
              <w:spacing w:after="0"/>
              <w:rPr>
                <w:sz w:val="20"/>
                <w:szCs w:val="20"/>
                <w:color w:val="auto"/>
              </w:rPr>
            </w:pPr>
            <w:r>
              <w:rPr>
                <w:rFonts w:ascii="Arial" w:cs="Arial" w:eastAsia="Arial" w:hAnsi="Arial"/>
                <w:sz w:val="16"/>
                <w:szCs w:val="16"/>
                <w:b w:val="1"/>
                <w:bCs w:val="1"/>
                <w:color w:val="auto"/>
              </w:rPr>
              <w:t>City/State</w:t>
            </w:r>
          </w:p>
        </w:tc>
        <w:tc>
          <w:tcPr>
            <w:tcW w:w="5920" w:type="dxa"/>
            <w:vAlign w:val="bottom"/>
            <w:gridSpan w:val="2"/>
          </w:tcPr>
          <w:p>
            <w:pPr>
              <w:jc w:val="center"/>
              <w:ind w:right="4340"/>
              <w:spacing w:after="0"/>
              <w:rPr>
                <w:sz w:val="20"/>
                <w:szCs w:val="20"/>
                <w:color w:val="auto"/>
              </w:rPr>
            </w:pPr>
            <w:r>
              <w:rPr>
                <w:rFonts w:ascii="Arial" w:cs="Arial" w:eastAsia="Arial" w:hAnsi="Arial"/>
                <w:sz w:val="16"/>
                <w:szCs w:val="16"/>
                <w:b w:val="1"/>
                <w:bCs w:val="1"/>
                <w:color w:val="auto"/>
              </w:rPr>
              <w:t>GLA</w:t>
            </w:r>
          </w:p>
        </w:tc>
      </w:tr>
      <w:tr>
        <w:trPr>
          <w:trHeight w:val="33"/>
        </w:trPr>
        <w:tc>
          <w:tcPr>
            <w:tcW w:w="24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340" w:type="dxa"/>
            <w:vAlign w:val="bottom"/>
          </w:tcPr>
          <w:p>
            <w:pPr>
              <w:spacing w:after="0"/>
              <w:rPr>
                <w:sz w:val="2"/>
                <w:szCs w:val="2"/>
                <w:color w:val="auto"/>
              </w:rPr>
            </w:pPr>
          </w:p>
        </w:tc>
      </w:tr>
      <w:tr>
        <w:trPr>
          <w:trHeight w:val="257"/>
        </w:trPr>
        <w:tc>
          <w:tcPr>
            <w:tcW w:w="242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5920" w:type="dxa"/>
            <w:vAlign w:val="bottom"/>
            <w:gridSpan w:val="2"/>
          </w:tcPr>
          <w:p>
            <w:pPr>
              <w:jc w:val="center"/>
              <w:ind w:right="4320"/>
              <w:spacing w:after="0"/>
              <w:rPr>
                <w:sz w:val="20"/>
                <w:szCs w:val="20"/>
                <w:color w:val="auto"/>
              </w:rPr>
            </w:pPr>
            <w:r>
              <w:rPr>
                <w:rFonts w:ascii="Arial" w:cs="Arial" w:eastAsia="Arial" w:hAnsi="Arial"/>
                <w:sz w:val="14"/>
                <w:szCs w:val="14"/>
                <w:b w:val="1"/>
                <w:bCs w:val="1"/>
                <w:color w:val="auto"/>
                <w:w w:val="91"/>
              </w:rPr>
              <w:t>(in square feet)</w:t>
            </w:r>
          </w:p>
        </w:tc>
      </w:tr>
      <w:tr>
        <w:trPr>
          <w:trHeight w:val="256"/>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Azalea</w:t>
            </w:r>
          </w:p>
        </w:tc>
        <w:tc>
          <w:tcPr>
            <w:tcW w:w="30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South Gate, CA</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222,000</w:t>
            </w:r>
          </w:p>
        </w:tc>
        <w:tc>
          <w:tcPr>
            <w:tcW w:w="4340" w:type="dxa"/>
            <w:vAlign w:val="bottom"/>
            <w:tcBorders>
              <w:bottom w:val="single" w:sz="8" w:color="CCEEFF"/>
            </w:tcBorders>
            <w:shd w:val="clear" w:color="auto" w:fill="CCEEFF"/>
          </w:tcPr>
          <w:p>
            <w:pPr>
              <w:spacing w:after="0"/>
              <w:rPr>
                <w:sz w:val="22"/>
                <w:szCs w:val="22"/>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Bell Gardens</w:t>
            </w:r>
          </w:p>
        </w:tc>
        <w:tc>
          <w:tcPr>
            <w:tcW w:w="3080" w:type="dxa"/>
            <w:vAlign w:val="bottom"/>
          </w:tcPr>
          <w:p>
            <w:pPr>
              <w:ind w:left="700"/>
              <w:spacing w:after="0"/>
              <w:rPr>
                <w:sz w:val="20"/>
                <w:szCs w:val="20"/>
                <w:color w:val="auto"/>
              </w:rPr>
            </w:pPr>
            <w:r>
              <w:rPr>
                <w:rFonts w:ascii="Arial" w:cs="Arial" w:eastAsia="Arial" w:hAnsi="Arial"/>
                <w:sz w:val="16"/>
                <w:szCs w:val="16"/>
                <w:color w:val="auto"/>
              </w:rPr>
              <w:t>Bell Gardens, CA</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330,000</w:t>
            </w:r>
          </w:p>
        </w:tc>
        <w:tc>
          <w:tcPr>
            <w:tcW w:w="4340" w:type="dxa"/>
            <w:vAlign w:val="bottom"/>
          </w:tcPr>
          <w:p>
            <w:pPr>
              <w:spacing w:after="0"/>
              <w:rPr>
                <w:sz w:val="20"/>
                <w:szCs w:val="20"/>
                <w:color w:val="auto"/>
              </w:rPr>
            </w:pPr>
          </w:p>
        </w:tc>
      </w:tr>
      <w:tr>
        <w:trPr>
          <w:trHeight w:val="33"/>
        </w:trPr>
        <w:tc>
          <w:tcPr>
            <w:tcW w:w="24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 Alameda</w:t>
            </w:r>
          </w:p>
        </w:tc>
        <w:tc>
          <w:tcPr>
            <w:tcW w:w="30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Walnut Park, CA</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245,000</w:t>
            </w:r>
          </w:p>
        </w:tc>
        <w:tc>
          <w:tcPr>
            <w:tcW w:w="4340" w:type="dxa"/>
            <w:vAlign w:val="bottom"/>
            <w:tcBorders>
              <w:bottom w:val="single" w:sz="8" w:color="CCEEFF"/>
            </w:tcBorders>
            <w:shd w:val="clear" w:color="auto" w:fill="CCEEFF"/>
          </w:tcPr>
          <w:p>
            <w:pPr>
              <w:spacing w:after="0"/>
              <w:rPr>
                <w:sz w:val="21"/>
                <w:szCs w:val="2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Olivo at Mission Hills (1)</w:t>
            </w:r>
          </w:p>
        </w:tc>
        <w:tc>
          <w:tcPr>
            <w:tcW w:w="3080" w:type="dxa"/>
            <w:vAlign w:val="bottom"/>
          </w:tcPr>
          <w:p>
            <w:pPr>
              <w:ind w:left="700"/>
              <w:spacing w:after="0"/>
              <w:rPr>
                <w:sz w:val="20"/>
                <w:szCs w:val="20"/>
                <w:color w:val="auto"/>
              </w:rPr>
            </w:pPr>
            <w:r>
              <w:rPr>
                <w:rFonts w:ascii="Arial" w:cs="Arial" w:eastAsia="Arial" w:hAnsi="Arial"/>
                <w:sz w:val="16"/>
                <w:szCs w:val="16"/>
                <w:color w:val="auto"/>
              </w:rPr>
              <w:t>Mission Hills, CA</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4340" w:type="dxa"/>
            <w:vAlign w:val="bottom"/>
          </w:tcPr>
          <w:p>
            <w:pPr>
              <w:spacing w:after="0"/>
              <w:rPr>
                <w:sz w:val="20"/>
                <w:szCs w:val="20"/>
                <w:color w:val="auto"/>
              </w:rPr>
            </w:pPr>
          </w:p>
        </w:tc>
      </w:tr>
      <w:tr>
        <w:trPr>
          <w:trHeight w:val="33"/>
        </w:trPr>
        <w:tc>
          <w:tcPr>
            <w:tcW w:w="24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Plaza Del Sol</w:t>
            </w:r>
          </w:p>
        </w:tc>
        <w:tc>
          <w:tcPr>
            <w:tcW w:w="30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South El Monte, CA</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48,000</w:t>
            </w:r>
          </w:p>
        </w:tc>
        <w:tc>
          <w:tcPr>
            <w:tcW w:w="4340" w:type="dxa"/>
            <w:vAlign w:val="bottom"/>
            <w:tcBorders>
              <w:bottom w:val="single" w:sz="8" w:color="CCEEFF"/>
            </w:tcBorders>
            <w:shd w:val="clear" w:color="auto" w:fill="CCEEFF"/>
          </w:tcPr>
          <w:p>
            <w:pPr>
              <w:spacing w:after="0"/>
              <w:rPr>
                <w:sz w:val="21"/>
                <w:szCs w:val="2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Plaza Pacoima</w:t>
            </w:r>
          </w:p>
        </w:tc>
        <w:tc>
          <w:tcPr>
            <w:tcW w:w="3080" w:type="dxa"/>
            <w:vAlign w:val="bottom"/>
          </w:tcPr>
          <w:p>
            <w:pPr>
              <w:ind w:left="700"/>
              <w:spacing w:after="0"/>
              <w:rPr>
                <w:sz w:val="20"/>
                <w:szCs w:val="20"/>
                <w:color w:val="auto"/>
              </w:rPr>
            </w:pPr>
            <w:r>
              <w:rPr>
                <w:rFonts w:ascii="Arial" w:cs="Arial" w:eastAsia="Arial" w:hAnsi="Arial"/>
                <w:sz w:val="16"/>
                <w:szCs w:val="16"/>
                <w:color w:val="auto"/>
              </w:rPr>
              <w:t>Pacoima, CA</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204,000</w:t>
            </w:r>
          </w:p>
        </w:tc>
        <w:tc>
          <w:tcPr>
            <w:tcW w:w="4340" w:type="dxa"/>
            <w:vAlign w:val="bottom"/>
          </w:tcPr>
          <w:p>
            <w:pPr>
              <w:spacing w:after="0"/>
              <w:rPr>
                <w:sz w:val="20"/>
                <w:szCs w:val="20"/>
                <w:color w:val="auto"/>
              </w:rPr>
            </w:pPr>
          </w:p>
        </w:tc>
      </w:tr>
      <w:tr>
        <w:trPr>
          <w:trHeight w:val="33"/>
        </w:trPr>
        <w:tc>
          <w:tcPr>
            <w:tcW w:w="24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Sylmar Towne Center</w:t>
            </w:r>
          </w:p>
        </w:tc>
        <w:tc>
          <w:tcPr>
            <w:tcW w:w="30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Sylmar, CA</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148,000</w:t>
            </w:r>
          </w:p>
        </w:tc>
        <w:tc>
          <w:tcPr>
            <w:tcW w:w="4340" w:type="dxa"/>
            <w:vAlign w:val="bottom"/>
            <w:tcBorders>
              <w:bottom w:val="single" w:sz="8" w:color="CCEEFF"/>
            </w:tcBorders>
            <w:shd w:val="clear" w:color="auto" w:fill="CCEEFF"/>
          </w:tcPr>
          <w:p>
            <w:pPr>
              <w:spacing w:after="0"/>
              <w:rPr>
                <w:sz w:val="23"/>
                <w:szCs w:val="23"/>
                <w:color w:val="auto"/>
              </w:rPr>
            </w:pPr>
          </w:p>
        </w:tc>
      </w:tr>
      <w:tr>
        <w:trPr>
          <w:trHeight w:val="217"/>
        </w:trPr>
        <w:tc>
          <w:tcPr>
            <w:tcW w:w="24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1,352,000</w:t>
            </w:r>
          </w:p>
        </w:tc>
        <w:tc>
          <w:tcPr>
            <w:tcW w:w="4340" w:type="dxa"/>
            <w:vAlign w:val="bottom"/>
          </w:tcPr>
          <w:p>
            <w:pPr>
              <w:spacing w:after="0"/>
              <w:rPr>
                <w:sz w:val="18"/>
                <w:szCs w:val="18"/>
                <w:color w:val="auto"/>
              </w:rPr>
            </w:pPr>
          </w:p>
        </w:tc>
      </w:tr>
      <w:tr>
        <w:trPr>
          <w:trHeight w:val="33"/>
        </w:trPr>
        <w:tc>
          <w:tcPr>
            <w:tcW w:w="24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340" w:type="dxa"/>
            <w:vAlign w:val="bottom"/>
          </w:tcPr>
          <w:p>
            <w:pPr>
              <w:spacing w:after="0"/>
              <w:rPr>
                <w:sz w:val="2"/>
                <w:szCs w:val="2"/>
                <w:color w:val="auto"/>
              </w:rPr>
            </w:pPr>
          </w:p>
        </w:tc>
      </w:tr>
      <w:tr>
        <w:trPr>
          <w:trHeight w:val="20"/>
        </w:trPr>
        <w:tc>
          <w:tcPr>
            <w:tcW w:w="24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02"/>
        </w:trPr>
        <w:tc>
          <w:tcPr>
            <w:tcW w:w="2420" w:type="dxa"/>
            <w:vAlign w:val="bottom"/>
            <w:tcBorders>
              <w:bottom w:val="single" w:sz="8" w:color="auto"/>
            </w:tcBorders>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4340" w:type="dxa"/>
            <w:vAlign w:val="bottom"/>
            <w:tcBorders>
              <w:bottom w:val="single" w:sz="8" w:color="auto"/>
            </w:tcBorders>
          </w:tcPr>
          <w:p>
            <w:pPr>
              <w:spacing w:after="0"/>
              <w:rPr>
                <w:sz w:val="8"/>
                <w:szCs w:val="8"/>
                <w:color w:val="auto"/>
              </w:rPr>
            </w:pPr>
          </w:p>
        </w:tc>
      </w:tr>
    </w:tbl>
    <w:p>
      <w:pPr>
        <w:spacing w:after="0" w:line="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(1) Property is currently being redeveloped. GLA reflects approximate square footage once the property is open and operating.</w:t>
      </w:r>
    </w:p>
    <w:p>
      <w:pPr>
        <w:spacing w:after="0" w:line="2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25, 2017, we sold our property located at 150 Post Street in San Francisco, California for a sales price of $69.3 million, resulting in a gain of $45.2 million.</w:t>
      </w:r>
    </w:p>
    <w:p>
      <w:pPr>
        <w:spacing w:after="0" w:line="11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September 25, 2017, we sold our North Lake Commons property in Lake Zurich, Illinois for a sales price of $15.6 million, resulting in a gain of $4.9 million.</w:t>
      </w:r>
    </w:p>
    <w:p>
      <w:pPr>
        <w:spacing w:after="0" w:line="1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December 28, 2017, we sold a parcel of land at our Bethesda Row property in Bethesda, Maryland for a sales price of $8.5 million, resulting in a gain of $6.5 million.</w:t>
      </w:r>
    </w:p>
    <w:p>
      <w:pPr>
        <w:spacing w:after="0" w:line="116" w:lineRule="exact"/>
        <w:rPr>
          <w:sz w:val="20"/>
          <w:szCs w:val="20"/>
          <w:color w:val="auto"/>
        </w:rPr>
      </w:pPr>
    </w:p>
    <w:p>
      <w:pPr>
        <w:ind w:right="180"/>
        <w:spacing w:after="0" w:line="307" w:lineRule="auto"/>
        <w:rPr>
          <w:sz w:val="20"/>
          <w:szCs w:val="20"/>
          <w:color w:val="auto"/>
        </w:rPr>
      </w:pPr>
      <w:r>
        <w:rPr>
          <w:rFonts w:ascii="Arial" w:cs="Arial" w:eastAsia="Arial" w:hAnsi="Arial"/>
          <w:sz w:val="16"/>
          <w:szCs w:val="16"/>
          <w:color w:val="auto"/>
        </w:rPr>
        <w:t>For the year ended December 31, 2017, we recognized a $5.4 million gain, net of $1.4 million of income taxes, related to the sale of condominiums at our Assembly Row property based on the percentage-of-completion method. In connection with recording the gain, we recognized a receivable of $67.1 million as of December 31, 2017. The closing of the Assembly Row condominium sales is expected to commence in 2018. As of December 31, 2017, no gain has been recognized for contracted condominium sales at Pike &amp; Rose, as not all of the criteria necessary for profit recognition have been met.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Significant Debt and Equity Transactions</w:t>
      </w:r>
    </w:p>
    <w:p>
      <w:pPr>
        <w:spacing w:after="0" w:line="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June 5, 2017 we refinanced the $175.0 million mortgage loan on Plaza El Segundo at a face amount of $125.0 million and repaid the remaining $50.0 million at par. The new mortgage loan bears interest at 3.83% and matures on June 5, 2027.</w:t>
      </w:r>
    </w:p>
    <w:p>
      <w:pPr>
        <w:spacing w:after="0" w:line="3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On June 23, 2017, we issued $400.0 million aggregate principal amount of fixed rate senior unsecured notes in two separate series. We issued $300.0 million of 3.25% notes that mature on July 15, 2027, which were offered at 99.083% of the principal amount, with a yield to maturity of 3.358%. Additionally, we issued $100.0 million of 4.50% notes due December 1, 2044. The 4.50% notes were offered at 105.760% of the principal amount, with a yield to maturity of 4.143%, and have the same terms and are of the same series as the senior notes first issued on November 14, 2014. Our net proceeds from the June note offering after net issuance premium, underwriting fees and other costs was approximately $399.5 million.</w:t>
      </w:r>
    </w:p>
    <w:p>
      <w:pPr>
        <w:spacing w:after="0" w:line="4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connection with the acquisition of six shopping centers in Los Angeles County, California on August 2, 2017 (as further discussed in Note 3), we assumed mortgage loans with a face amount of $79.4 million and a fair value of $80.1 million. The mortgage loans are secured by the individual properties with the following contractual terms: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6"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84"/>
        </w:trPr>
        <w:tc>
          <w:tcPr>
            <w:tcW w:w="5440" w:type="dxa"/>
            <w:vAlign w:val="bottom"/>
            <w:gridSpan w:val="2"/>
          </w:tcPr>
          <w:p>
            <w:pPr>
              <w:spacing w:after="0"/>
              <w:rPr>
                <w:rFonts w:ascii="Arial" w:cs="Arial" w:eastAsia="Arial" w:hAnsi="Arial"/>
                <w:sz w:val="16"/>
                <w:szCs w:val="16"/>
                <w:b w:val="1"/>
                <w:bCs w:val="1"/>
                <w:color w:val="0000EE"/>
              </w:rPr>
            </w:pPr>
            <w:hyperlink w:anchor="page59">
              <w:r>
                <w:rPr>
                  <w:rFonts w:ascii="Arial" w:cs="Arial" w:eastAsia="Arial" w:hAnsi="Arial"/>
                  <w:sz w:val="16"/>
                  <w:szCs w:val="16"/>
                  <w:b w:val="1"/>
                  <w:bCs w:val="1"/>
                  <w:color w:val="0000EE"/>
                </w:rPr>
                <w:t>Table of Contents</w:t>
              </w:r>
            </w:hyperlink>
          </w:p>
        </w:tc>
        <w:tc>
          <w:tcPr>
            <w:tcW w:w="1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702"/>
        </w:trPr>
        <w:tc>
          <w:tcPr>
            <w:tcW w:w="1220" w:type="dxa"/>
            <w:vAlign w:val="bottom"/>
            <w:tcBorders>
              <w:top w:val="single" w:sz="8" w:color="0000EE"/>
            </w:tcBorders>
          </w:tcPr>
          <w:p>
            <w:pPr>
              <w:spacing w:after="0"/>
              <w:rPr>
                <w:sz w:val="24"/>
                <w:szCs w:val="24"/>
                <w:color w:val="auto"/>
              </w:rPr>
            </w:pPr>
          </w:p>
        </w:tc>
        <w:tc>
          <w:tcPr>
            <w:tcW w:w="4220" w:type="dxa"/>
            <w:vAlign w:val="bottom"/>
          </w:tcPr>
          <w:p>
            <w:pPr>
              <w:spacing w:after="0"/>
              <w:rPr>
                <w:sz w:val="24"/>
                <w:szCs w:val="24"/>
                <w:color w:val="auto"/>
              </w:rPr>
            </w:pPr>
          </w:p>
        </w:tc>
        <w:tc>
          <w:tcPr>
            <w:tcW w:w="1360" w:type="dxa"/>
            <w:vAlign w:val="bottom"/>
          </w:tcPr>
          <w:p>
            <w:pPr>
              <w:jc w:val="center"/>
              <w:ind w:left="396"/>
              <w:spacing w:after="0"/>
              <w:rPr>
                <w:sz w:val="20"/>
                <w:szCs w:val="20"/>
                <w:color w:val="auto"/>
              </w:rPr>
            </w:pPr>
            <w:r>
              <w:rPr>
                <w:rFonts w:ascii="Arial" w:cs="Arial" w:eastAsia="Arial" w:hAnsi="Arial"/>
                <w:sz w:val="16"/>
                <w:szCs w:val="16"/>
                <w:b w:val="1"/>
                <w:bCs w:val="1"/>
                <w:color w:val="auto"/>
                <w:w w:val="94"/>
              </w:rPr>
              <w:t>Principal</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2"/>
          </w:tcPr>
          <w:p>
            <w:pPr>
              <w:ind w:left="360"/>
              <w:spacing w:after="0"/>
              <w:rPr>
                <w:sz w:val="20"/>
                <w:szCs w:val="20"/>
                <w:color w:val="auto"/>
              </w:rPr>
            </w:pPr>
            <w:r>
              <w:rPr>
                <w:rFonts w:ascii="Arial" w:cs="Arial" w:eastAsia="Arial" w:hAnsi="Arial"/>
                <w:sz w:val="16"/>
                <w:szCs w:val="16"/>
                <w:b w:val="1"/>
                <w:bCs w:val="1"/>
                <w:color w:val="auto"/>
              </w:rPr>
              <w:t>Stated Interest Rate</w:t>
            </w:r>
          </w:p>
        </w:tc>
        <w:tc>
          <w:tcPr>
            <w:tcW w:w="1820" w:type="dxa"/>
            <w:vAlign w:val="bottom"/>
          </w:tcPr>
          <w:p>
            <w:pPr>
              <w:jc w:val="right"/>
              <w:ind w:right="332"/>
              <w:spacing w:after="0"/>
              <w:rPr>
                <w:sz w:val="20"/>
                <w:szCs w:val="20"/>
                <w:color w:val="auto"/>
              </w:rPr>
            </w:pPr>
            <w:r>
              <w:rPr>
                <w:rFonts w:ascii="Arial" w:cs="Arial" w:eastAsia="Arial" w:hAnsi="Arial"/>
                <w:sz w:val="16"/>
                <w:szCs w:val="16"/>
                <w:b w:val="1"/>
                <w:bCs w:val="1"/>
                <w:color w:val="auto"/>
              </w:rPr>
              <w:t>Maturity Date</w:t>
            </w:r>
          </w:p>
        </w:tc>
      </w:tr>
      <w:tr>
        <w:trPr>
          <w:trHeight w:val="33"/>
        </w:trPr>
        <w:tc>
          <w:tcPr>
            <w:tcW w:w="12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12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360" w:type="dxa"/>
            <w:vAlign w:val="bottom"/>
          </w:tcPr>
          <w:p>
            <w:pPr>
              <w:jc w:val="center"/>
              <w:ind w:left="396"/>
              <w:spacing w:after="0"/>
              <w:rPr>
                <w:sz w:val="20"/>
                <w:szCs w:val="20"/>
                <w:color w:val="auto"/>
              </w:rPr>
            </w:pPr>
            <w:r>
              <w:rPr>
                <w:rFonts w:ascii="Arial" w:cs="Arial" w:eastAsia="Arial" w:hAnsi="Arial"/>
                <w:sz w:val="16"/>
                <w:szCs w:val="16"/>
                <w:b w:val="1"/>
                <w:bCs w:val="1"/>
                <w:color w:val="auto"/>
                <w:w w:val="93"/>
              </w:rPr>
              <w:t>(in millions)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3"/>
        </w:trPr>
        <w:tc>
          <w:tcPr>
            <w:tcW w:w="12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Sylmar Towne Center</w:t>
            </w:r>
          </w:p>
        </w:tc>
        <w:tc>
          <w:tcPr>
            <w:tcW w:w="1360" w:type="dxa"/>
            <w:vAlign w:val="bottom"/>
            <w:tcBorders>
              <w:bottom w:val="single" w:sz="8" w:color="CCEEFF"/>
            </w:tcBorders>
            <w:shd w:val="clear" w:color="auto" w:fill="CCEEFF"/>
          </w:tcPr>
          <w:p>
            <w:pPr>
              <w:jc w:val="right"/>
              <w:ind w:right="11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June 6, 2021</w:t>
            </w:r>
          </w:p>
        </w:tc>
      </w:tr>
      <w:tr>
        <w:trPr>
          <w:trHeight w:val="243"/>
        </w:trPr>
        <w:tc>
          <w:tcPr>
            <w:tcW w:w="5440" w:type="dxa"/>
            <w:vAlign w:val="bottom"/>
            <w:gridSpan w:val="2"/>
          </w:tcPr>
          <w:p>
            <w:pPr>
              <w:ind w:left="40"/>
              <w:spacing w:after="0"/>
              <w:rPr>
                <w:sz w:val="20"/>
                <w:szCs w:val="20"/>
                <w:color w:val="auto"/>
              </w:rPr>
            </w:pPr>
            <w:r>
              <w:rPr>
                <w:rFonts w:ascii="Arial" w:cs="Arial" w:eastAsia="Arial" w:hAnsi="Arial"/>
                <w:sz w:val="18"/>
                <w:szCs w:val="18"/>
                <w:color w:val="auto"/>
              </w:rPr>
              <w:t>Plaza Del Sol</w:t>
            </w:r>
          </w:p>
        </w:tc>
        <w:tc>
          <w:tcPr>
            <w:tcW w:w="136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December 1, 2021</w:t>
            </w:r>
          </w:p>
        </w:tc>
      </w:tr>
      <w:tr>
        <w:trPr>
          <w:trHeight w:val="27"/>
        </w:trPr>
        <w:tc>
          <w:tcPr>
            <w:tcW w:w="12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Azalea</w:t>
            </w:r>
          </w:p>
        </w:tc>
        <w:tc>
          <w:tcPr>
            <w:tcW w:w="1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November 1, 2025</w:t>
            </w:r>
          </w:p>
        </w:tc>
      </w:tr>
      <w:tr>
        <w:trPr>
          <w:trHeight w:val="243"/>
        </w:trPr>
        <w:tc>
          <w:tcPr>
            <w:tcW w:w="5440" w:type="dxa"/>
            <w:vAlign w:val="bottom"/>
            <w:gridSpan w:val="2"/>
          </w:tcPr>
          <w:p>
            <w:pPr>
              <w:ind w:left="40"/>
              <w:spacing w:after="0"/>
              <w:rPr>
                <w:sz w:val="20"/>
                <w:szCs w:val="20"/>
                <w:color w:val="auto"/>
              </w:rPr>
            </w:pPr>
            <w:r>
              <w:rPr>
                <w:rFonts w:ascii="Arial" w:cs="Arial" w:eastAsia="Arial" w:hAnsi="Arial"/>
                <w:sz w:val="18"/>
                <w:szCs w:val="18"/>
                <w:color w:val="auto"/>
              </w:rPr>
              <w:t>Bell Gardens</w:t>
            </w:r>
          </w:p>
        </w:tc>
        <w:tc>
          <w:tcPr>
            <w:tcW w:w="136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13.3</w:t>
            </w:r>
          </w:p>
        </w:tc>
        <w:tc>
          <w:tcPr>
            <w:tcW w:w="12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August 1, 2026</w:t>
            </w:r>
          </w:p>
        </w:tc>
      </w:tr>
    </w:tbl>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31, 2017, we refinanced the $41.8 million mortgage loan on The Grove at Shrewsbury (East) at a face amount of $43.6 million. The new mortgage loan bears interest at 3.77% and matures on September 1, 2027.</w:t>
      </w:r>
    </w:p>
    <w:p>
      <w:pPr>
        <w:spacing w:after="0" w:line="3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On September 29, 2017, we issued 6,000,000 Depository Shares, each representing 1/1000th of a 5.0% Series C Cumulative Redeemable Preferred Share, par value $0.01 per share ("Series C Preferred Shares"), at the liquidation preference of $25.00 per depository share (or $25,000 per Series C Preferred share) in an underwritten public offering. The Series C Preferred Shares accrue dividends at a rate of 5.0% of the $25,000 liquidation preference per year and are redeemable at our option on or after September 29, 2022. Additionally, they are not convertible and holders of these shares generally have no voting rights, unless we fail to pay dividends for six or more quarters. The net proceeds after underwriting fees and other costs were approximately $145.0 million.</w:t>
      </w:r>
    </w:p>
    <w:p>
      <w:pPr>
        <w:spacing w:after="0" w:line="2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December 21, 2017, we issued $175.0 million aggregate principal amount of 3.25% senior unsecured notes due July 15, 2027. The notes have the same terms and are of the same series as the $300.0 million senior notes issued on June 23, 2017. The notes were offered at 99.404% of the principal amount, with a yield to maturity of 3.323%. Our net proceeds from the December note offering after net issuance premium, underwriting fees and other costs were approximately $172.5 million. The proceeds were used on December 31, 2017 to repay our $150.0 million 5.90% notes prior to the original maturity date of April 1, 2020. The redemption price of $164.1 million included a make-whole premium of $11.9 million and accrued but unpaid interest of $2.2 million. The make-whole premium is included in "early extinguishment of debt" in 2017.</w:t>
      </w:r>
    </w:p>
    <w:p>
      <w:pPr>
        <w:spacing w:after="0" w:line="4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November 4, 2016, we replaced our existing at-the-market (“ATM”) equity program with a new ATM equity program in which we may from time to time offer and sell common shares having an aggregate offering price of up to $400.0 million. We intend to use the net proceeds to fund potential acquisition opportunities, fund our development and redevelopment pipeline, repay amounts outstanding under our revolving credit facility and/or for general corporate purposes. For the three months ended December 31, 2017, we issued 501,120 common shares at a weighted average price per share of $132.22 for net cash proceeds of $65.6 million and paid $0.7 million in commissions and less than $0.1 million in additional offering expenses related to the sales of these common shares. For the year ended December 31, 2017, we issued 826,517 common shares at a weighted average price per share of $132.56 for net cash proceeds of $108.3 million and paid $1.1 million in commissions and $0.2 million in additional offering expenses related to the sales of these common shares. As of December 31, 2017, we had the capacity to issue up to $261.3 million in common shares under our ATM equity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63" w:lineRule="exact"/>
        <w:rPr>
          <w:sz w:val="20"/>
          <w:szCs w:val="20"/>
          <w:color w:val="auto"/>
        </w:rPr>
      </w:pPr>
    </w:p>
    <w:p>
      <w:pPr>
        <w:ind w:left="1700" w:hanging="802"/>
        <w:spacing w:after="0"/>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growth in our same-center portfolio,</w:t>
      </w:r>
    </w:p>
    <w:p>
      <w:pPr>
        <w:spacing w:after="0" w:line="62" w:lineRule="exact"/>
        <w:rPr>
          <w:rFonts w:ascii="Arial" w:cs="Arial" w:eastAsia="Arial" w:hAnsi="Arial"/>
          <w:sz w:val="18"/>
          <w:szCs w:val="18"/>
          <w:color w:val="auto"/>
        </w:rPr>
      </w:pPr>
    </w:p>
    <w:p>
      <w:pPr>
        <w:ind w:left="1700" w:hanging="802"/>
        <w:spacing w:after="0"/>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growth in our portfolio from property development and redevelopments, and</w:t>
      </w:r>
    </w:p>
    <w:p>
      <w:pPr>
        <w:spacing w:after="0" w:line="62" w:lineRule="exact"/>
        <w:rPr>
          <w:rFonts w:ascii="Arial" w:cs="Arial" w:eastAsia="Arial" w:hAnsi="Arial"/>
          <w:sz w:val="18"/>
          <w:szCs w:val="18"/>
          <w:color w:val="auto"/>
        </w:rPr>
      </w:pPr>
    </w:p>
    <w:p>
      <w:pPr>
        <w:ind w:left="1700" w:hanging="802"/>
        <w:spacing w:after="0"/>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17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same-center growth is primarily driven by increases in rental rates on new leases and lease renewals, changes in portfolio occupancy, and the redevelopment of those assets. Over the long-term, the infill nature and strong demographics of our properties provide a strategic advantage allowing us to maintain relatively high occupancy and generally increase rental rates. We continue to see strong levels of interest from prospective tenants for our retail spaces; however, the time it takes to complete new lease deals is longer, as tenants have become more selective and more deliberate in their decision-making process. We have also experienced extended periods of time for some government agencies to process permits and inspections further delaying rent commencement on newly leased spaces. Additionally, we have seen an overall decrease in the number of tenants available to fill anchor spaces, and have seen an uptick in the number of retail tenants closing early and/or filing for bankruptcy. We believe the locations and nature of our centers and diverse tenant base partially mitigates any potential negative changes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 At December 31, 2017, no single tenant accounted for more than 2.9% of annualized base rent.</w:t>
      </w:r>
    </w:p>
    <w:p>
      <w:pPr>
        <w:spacing w:after="0" w:line="11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properties are located primarily in densely populated and/or affluent areas with high barriers to entry which allow us to take advantage of redevelopment opportunities that enhance our operating performance through renovation, expansion,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7" w:right="23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reconfiguration, and/or retenanting. We evaluate our properties on an ongoing basis to identify these types of opportunities. We currently have redevelopment projects underway with a projected cost of approximately $155 million that we expect to stabilize in the next several years.</w:t>
      </w:r>
    </w:p>
    <w:p>
      <w:pPr>
        <w:spacing w:after="0" w:line="116" w:lineRule="exact"/>
        <w:rPr>
          <w:sz w:val="20"/>
          <w:szCs w:val="20"/>
          <w:color w:val="auto"/>
        </w:rPr>
      </w:pPr>
    </w:p>
    <w:p>
      <w:pPr>
        <w:jc w:val="both"/>
        <w:ind w:right="180"/>
        <w:spacing w:after="0" w:line="301" w:lineRule="auto"/>
        <w:rPr>
          <w:sz w:val="20"/>
          <w:szCs w:val="20"/>
          <w:color w:val="auto"/>
        </w:rPr>
      </w:pPr>
      <w:r>
        <w:rPr>
          <w:rFonts w:ascii="Arial" w:cs="Arial" w:eastAsia="Arial" w:hAnsi="Arial"/>
          <w:sz w:val="16"/>
          <w:szCs w:val="16"/>
          <w:color w:val="auto"/>
        </w:rPr>
        <w:t>We continue our ongoing redevelopment efforts at Santana Row and are under construction on an eight story 284,000 square foot office building which will include an additional 29,000 square feet of retail space and 1,300 parking spaces. The building is expected to cost between $205 and $215 million and to be delivered in 2019. After current phases, we have approximately 4 acres remaining for further redevelopment and entitlements in place for an additional 395 residential units and 321,000 square feet of commercial space. Additionally, we control 12 acres of land adjacent to Santana Row.</w:t>
      </w:r>
    </w:p>
    <w:p>
      <w:pPr>
        <w:spacing w:after="0" w:line="1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continue to invest in our long-term multi-phased mixed-use development projects at Assembly Row in Somerville, Massachusetts and Pike &amp; Rose in North Bethesda, Maryland which we expect to be involved in over the coming years.</w:t>
      </w:r>
    </w:p>
    <w:p>
      <w:pPr>
        <w:spacing w:after="0" w:line="11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Construction of Phase II of Assembly Row which will include 161,000 square feet of retail space, 447 residential units, and a 158 room boutique hotel (which will be owned and operated by a joint venture in which we are a partner) is underway. Total expected costs range from $280 million to $295 million and remaining delivery is expected in 2018. Approximately 49,000 square feet of retail space in Phase II has opened in 2017, and in September, the first tenants moved into the new residential building. Phase II will also include 122 for-sale condominium units with an expected total cost of $74 million to $79 million. Additionally, as part of the second phase, we entered into a ground lease agreement with Partners HealthCare to bring 741,500 square feet of office space to Assembly Row. The ground lease agreement included a purchase option, which was exercised and the related sale closed on April 4, 2017.</w:t>
      </w:r>
    </w:p>
    <w:p>
      <w:pPr>
        <w:spacing w:after="0" w:line="10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Construction of Phase II of Pike &amp; Rose is also underway. Phase II will include approximately 216,000 square feet of retail space, 272 residential units, and a 177 room boutique hotel. Approximately 151,000 square feet of retail space in Phase II has opened in 2017, and in August, the first tenants moved into the new residential building. Total expected costs range from $200 million to $207 million and remaining delivery is expected in 2018. The hotel will be owned and operated by a joint venture in which we are a partner. Phase II will also include 99 for-sale condominium units with an expected cost of $53 million to $58 million.</w:t>
      </w:r>
    </w:p>
    <w:p>
      <w:pPr>
        <w:spacing w:after="0" w:line="1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invested $273 million in Assembly Row and Pike &amp; Rose in 2017 and expect to invest between $75 million and $100 million in Assembly Row and Pike &amp; Rose in 2018.</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continue to review acquisition opportunities in our primary markets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downREIT units as well as through assumed mortgages.</w:t>
      </w:r>
    </w:p>
    <w:p>
      <w:pPr>
        <w:spacing w:after="0" w:line="13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At December 31, 2017, the leasable square feet in our properties was 95.3% leased and 93.9%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6" w:right="25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w:t>
      </w:r>
    </w:p>
    <w:p>
      <w:pPr>
        <w:spacing w:after="0" w:line="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redevelopment or expansion occurred during either of the periods being compared. For the year ended December 31, 2017 and the comparison of 2017 and 2016, all or a portion of 78 properties were considered same-center and 15 properties were considered redevelopment or expansion. For the year ended December 31, 2017, one property was moved from acquisition to same-center, two properties were removed from same-center as they were sold during 2017, and four properties or portions of properties were moved from redevelopment to same-center, compared to the designations as of December 31, 2016. For the year ended December 31, 2016 and the comparison of 2016 and 2015, all or a portion of 76 properties were considered same-center and 17 properties were considered redevelopment or expansion. For the year ended December 31, 2016, three properties or portions of properties were moved from same-center to redevelopment and one property was moved from redevelopment to same-center, compared to the designations as of December 31, 2015. While there is judgment surrounding changes in designations, we typically move redevelopment properties to same-center once they have stabilized, which is typically considered 95% occupancy or when the growth expected from the redevelopment has been included in the comparable periods. We typically remove properties from same center when the redevelopment has or is expected to have a significant impact to property operating income within the calendar year. Acquisitions are moved to same-center once we have owned the property for the entirety of comparable periods and the property is not under significant redevelopment or expansion.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6" w:right="259" w:bottom="1440" w:gutter="0" w:footer="0" w:header="0"/>
        </w:sectPr>
      </w:pPr>
    </w:p>
    <w:bookmarkStart w:id="37" w:name="page38"/>
    <w:bookmarkEnd w:id="37"/>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2017 COMPARED TO YEAR ENDED DECEMBER 31, 2016</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263"/>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Dollars</w:t>
            </w: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8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841,461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786,583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54,878</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12,825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11,015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1,810</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3,993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36"/>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857,348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801,591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55,757</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164,890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158,326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6,564</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107,839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95,286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12,553</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3"/>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272,729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253,612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19,117</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236"/>
        </w:trPr>
        <w:tc>
          <w:tcPr>
            <w:tcW w:w="5860" w:type="dxa"/>
            <w:vAlign w:val="bottom"/>
          </w:tcPr>
          <w:p>
            <w:pPr>
              <w:ind w:left="40"/>
              <w:spacing w:after="0"/>
              <w:rPr>
                <w:sz w:val="20"/>
                <w:szCs w:val="20"/>
                <w:color w:val="auto"/>
              </w:rPr>
            </w:pPr>
            <w:r>
              <w:rPr>
                <w:rFonts w:ascii="Arial" w:cs="Arial" w:eastAsia="Arial" w:hAnsi="Arial"/>
                <w:sz w:val="18"/>
                <w:szCs w:val="18"/>
                <w:color w:val="auto"/>
              </w:rPr>
              <w:t xml:space="preserve">Property operating income </w:t>
            </w:r>
            <w:r>
              <w:rPr>
                <w:rFonts w:ascii="Arial" w:cs="Arial" w:eastAsia="Arial" w:hAnsi="Arial"/>
                <w:sz w:val="16"/>
                <w:szCs w:val="16"/>
                <w:color w:val="auto"/>
              </w:rPr>
              <w:t>(1)</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584,619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547,979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36,640</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(216,050)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(193,585)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(22,465)</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332,288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320,995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11,293</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real estate partnerships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(934.0)%</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(100,125)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(94,994)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(5,131)</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Early extinguishment of debt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(12,273)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(12,273)</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6"/>
        </w:trPr>
        <w:tc>
          <w:tcPr>
            <w:tcW w:w="5860" w:type="dxa"/>
            <w:vAlign w:val="bottom"/>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(112,340)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(94,570)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(17,770)</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219,948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226,425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77,922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32,458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45,464</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140.1 %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297,870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258,883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38,987</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1,017</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57"/>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289,914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249,910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40,004</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Property operating income is a non-GAAP financial measure. See Item 6. Selected Financial Data for further discussion.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Total property revenue increased $55.8 million, or 7.0%, to $857.3 million in 2017 compared to $801.6 million in 2016. The percentage occupied at our shopping centers was 93.9% at December 31, 2017 compared to 93.3% at December 31, 2016. Changes in the components of property revenue are discussed below.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$54.9 million, or 7.0%, to $841.5 million in 2017 compared to $786.6 million in 2016 due primarily to the following:</w:t>
      </w:r>
    </w:p>
    <w:p>
      <w:pPr>
        <w:spacing w:after="0" w:line="8" w:lineRule="exact"/>
        <w:rPr>
          <w:sz w:val="20"/>
          <w:szCs w:val="20"/>
          <w:color w:val="auto"/>
        </w:rPr>
      </w:pPr>
    </w:p>
    <w:p>
      <w:pPr>
        <w:ind w:left="1700" w:right="740" w:hanging="802"/>
        <w:spacing w:after="0" w:line="277" w:lineRule="auto"/>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of $22.0 million from acquisitions, primarily related to the six shopping centers acquired in Los Angeles County, California, Riverpoint Center, and Hastings Ranch Plaza,</w:t>
      </w:r>
    </w:p>
    <w:p>
      <w:pPr>
        <w:spacing w:after="0" w:line="7" w:lineRule="exact"/>
        <w:rPr>
          <w:rFonts w:ascii="Arial" w:cs="Arial" w:eastAsia="Arial" w:hAnsi="Arial"/>
          <w:sz w:val="18"/>
          <w:szCs w:val="18"/>
          <w:color w:val="auto"/>
        </w:rPr>
      </w:pPr>
    </w:p>
    <w:p>
      <w:pPr>
        <w:ind w:left="1700" w:right="220" w:hanging="802"/>
        <w:spacing w:after="0" w:line="286" w:lineRule="auto"/>
        <w:tabs>
          <w:tab w:leader="none" w:pos="1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 increase of $16.6 million at redevelopment properties due to the opening of our new office building at Santana Row in late 2016, the lease-up of three of our retail redevelopments, and the lease-up of the new residential building at Congressional Plaza, partially offset by lower occupancy at two of our retail properties in Florida in the beginning stages of redevelopment,</w:t>
      </w:r>
    </w:p>
    <w:p>
      <w:pPr>
        <w:spacing w:after="0" w:line="2" w:lineRule="exact"/>
        <w:rPr>
          <w:rFonts w:ascii="Arial" w:cs="Arial" w:eastAsia="Arial" w:hAnsi="Arial"/>
          <w:sz w:val="17"/>
          <w:szCs w:val="17"/>
          <w:color w:val="auto"/>
        </w:rPr>
      </w:pPr>
    </w:p>
    <w:p>
      <w:pPr>
        <w:ind w:left="1700" w:right="360" w:hanging="802"/>
        <w:spacing w:after="0" w:line="263" w:lineRule="auto"/>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of $8.0 million at same-center properties due primarily to higher rental rates of approximately $6.0 million, higher recoveries of $3.4 million primarily the result of higher real estate tax assessments, partially offset by lower average occupancy of approximately $1.2 million,</w:t>
      </w:r>
    </w:p>
    <w:p>
      <w:pPr>
        <w:spacing w:after="0" w:line="20" w:lineRule="exact"/>
        <w:rPr>
          <w:rFonts w:ascii="Arial" w:cs="Arial" w:eastAsia="Arial" w:hAnsi="Arial"/>
          <w:sz w:val="18"/>
          <w:szCs w:val="18"/>
          <w:color w:val="auto"/>
        </w:rPr>
      </w:pPr>
    </w:p>
    <w:p>
      <w:pPr>
        <w:ind w:left="1700" w:right="100" w:hanging="802"/>
        <w:spacing w:after="0" w:line="277" w:lineRule="auto"/>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of $6.1 million from Assembly Row and Pike &amp; Rose due primarily to the lease-up of residential units and the opening of the second phase of retail during the second half of 2017, and</w:t>
      </w:r>
    </w:p>
    <w:p>
      <w:pPr>
        <w:spacing w:after="0" w:line="7" w:lineRule="exact"/>
        <w:rPr>
          <w:rFonts w:ascii="Arial" w:cs="Arial" w:eastAsia="Arial" w:hAnsi="Arial"/>
          <w:sz w:val="18"/>
          <w:szCs w:val="18"/>
          <w:color w:val="auto"/>
        </w:rPr>
      </w:pPr>
    </w:p>
    <w:p>
      <w:pPr>
        <w:ind w:left="1700" w:hanging="802"/>
        <w:spacing w:after="0"/>
        <w:tabs>
          <w:tab w:leader="none" w:pos="1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 increase of $3.2 million from the acquisition of six previously unconsolidated Clarion joint venture properties in January 2016,</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6" w:right="23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30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right="120" w:hanging="802"/>
        <w:spacing w:after="0" w:line="277" w:lineRule="auto"/>
        <w:tabs>
          <w:tab w:leader="none" w:pos="1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decrease of $0.9 million from the sale of our 150 Post Street and North Lake Commons properties in August and September 2017, respectively.</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Property Income</w:t>
      </w:r>
    </w:p>
    <w:p>
      <w:pPr>
        <w:spacing w:after="0" w:line="63" w:lineRule="exact"/>
        <w:rPr>
          <w:sz w:val="20"/>
          <w:szCs w:val="20"/>
          <w:color w:val="auto"/>
        </w:rPr>
      </w:pPr>
    </w:p>
    <w:p>
      <w:pPr>
        <w:jc w:val="both"/>
        <w:ind w:left="60" w:right="40"/>
        <w:spacing w:after="0" w:line="263" w:lineRule="auto"/>
        <w:rPr>
          <w:sz w:val="20"/>
          <w:szCs w:val="20"/>
          <w:color w:val="auto"/>
        </w:rPr>
      </w:pPr>
      <w:r>
        <w:rPr>
          <w:rFonts w:ascii="Arial" w:cs="Arial" w:eastAsia="Arial" w:hAnsi="Arial"/>
          <w:sz w:val="18"/>
          <w:szCs w:val="18"/>
          <w:color w:val="auto"/>
        </w:rPr>
        <w:t>Other property income increased $1.8 million, or 16.4%, to $12.8 million in 2017 compared to $11.0 million in 2016. Included in other property income are items, which, although recurring, inherently tend to fluctuate more than rental income from period to period, such as lease termination fees. This increase is primarily related to higher lease termination fees.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Mortgage Interest Income</w:t>
      </w:r>
    </w:p>
    <w:p>
      <w:pPr>
        <w:spacing w:after="0" w:line="63"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Mortgage interest income decreased $0.9 million, or 23.3%, to $3.1 million in 2017 compared to $4.0 million in 2016. This decrease is primarily related to a mortgage note receivable that was repaid in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Total property expenses increased $19.1 million, or 7.5%, to $272.7 million in 2017 compared to $253.6 million in 2016. Changes in the components of property expenses are discussed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Rental expenses increased $6.6 million, or 4.1%, to $164.9 million in 2017 compared to $158.3 million in 2016. This increase is primarily due to the following:</w:t>
      </w:r>
    </w:p>
    <w:p>
      <w:pPr>
        <w:spacing w:after="0" w:line="8" w:lineRule="exact"/>
        <w:rPr>
          <w:sz w:val="20"/>
          <w:szCs w:val="20"/>
          <w:color w:val="auto"/>
        </w:rPr>
      </w:pPr>
    </w:p>
    <w:p>
      <w:pPr>
        <w:ind w:left="1700" w:right="160" w:hanging="802"/>
        <w:spacing w:after="0" w:line="277" w:lineRule="auto"/>
        <w:tabs>
          <w:tab w:leader="none" w:pos="1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of $4.7 million from acquisitions, primarily related to six shopping centers in Los Angeles County, California, Hastings Ranch Plaza, and Riverpoint Center, and</w:t>
      </w:r>
    </w:p>
    <w:p>
      <w:pPr>
        <w:spacing w:after="0" w:line="7" w:lineRule="exact"/>
        <w:rPr>
          <w:rFonts w:ascii="Arial" w:cs="Arial" w:eastAsia="Arial" w:hAnsi="Arial"/>
          <w:sz w:val="18"/>
          <w:szCs w:val="18"/>
          <w:color w:val="auto"/>
        </w:rPr>
      </w:pPr>
    </w:p>
    <w:p>
      <w:pPr>
        <w:ind w:left="1700" w:hanging="802"/>
        <w:spacing w:after="0" w:line="277" w:lineRule="auto"/>
        <w:tabs>
          <w:tab w:leader="none" w:pos="1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of $2.1 million from Assembly Row and Pike &amp; Rose due primarily to the opening of Phase II residential units during the second half of 2017.</w:t>
      </w:r>
    </w:p>
    <w:p>
      <w:pPr>
        <w:spacing w:after="0" w:line="116" w:lineRule="exact"/>
        <w:rPr>
          <w:sz w:val="20"/>
          <w:szCs w:val="20"/>
          <w:color w:val="auto"/>
        </w:rPr>
      </w:pPr>
    </w:p>
    <w:p>
      <w:pPr>
        <w:ind w:right="420"/>
        <w:spacing w:after="0" w:line="307" w:lineRule="auto"/>
        <w:rPr>
          <w:sz w:val="20"/>
          <w:szCs w:val="20"/>
          <w:color w:val="auto"/>
        </w:rPr>
      </w:pPr>
      <w:r>
        <w:rPr>
          <w:rFonts w:ascii="Arial" w:cs="Arial" w:eastAsia="Arial" w:hAnsi="Arial"/>
          <w:sz w:val="17"/>
          <w:szCs w:val="17"/>
          <w:color w:val="auto"/>
        </w:rPr>
        <w:t>As a result of the changes in rental income and rental expenses as discussed above, rental expenses as a percentage of rental income plus other property income decreased to 19.3% for the year ended December 31, 2017 from 19.9% for the year ended December 31,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Real estate tax expense increased $12.6 million, or 13.2% to $107.8 million in 2017 compared to $95.3 million in 2016 due primarily to the following:</w:t>
      </w:r>
    </w:p>
    <w:p>
      <w:pPr>
        <w:spacing w:after="0" w:line="74" w:lineRule="exact"/>
        <w:rPr>
          <w:sz w:val="20"/>
          <w:szCs w:val="20"/>
          <w:color w:val="auto"/>
        </w:rPr>
      </w:pPr>
    </w:p>
    <w:p>
      <w:pPr>
        <w:ind w:left="1700" w:hanging="802"/>
        <w:spacing w:after="0"/>
        <w:tabs>
          <w:tab w:leader="none" w:pos="1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of $4.4 million at same-center properties primarily due to higher assessments,</w:t>
      </w:r>
    </w:p>
    <w:p>
      <w:pPr>
        <w:spacing w:after="0" w:line="62" w:lineRule="exact"/>
        <w:rPr>
          <w:rFonts w:ascii="Arial" w:cs="Arial" w:eastAsia="Arial" w:hAnsi="Arial"/>
          <w:sz w:val="18"/>
          <w:szCs w:val="18"/>
          <w:color w:val="auto"/>
        </w:rPr>
      </w:pPr>
    </w:p>
    <w:p>
      <w:pPr>
        <w:ind w:left="1700" w:right="20" w:hanging="802"/>
        <w:spacing w:after="0" w:line="277" w:lineRule="auto"/>
        <w:tabs>
          <w:tab w:leader="none" w:pos="1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of $4.2 million from acquisitions, primarily related to six shopping centers in Los Angeles County, California, Riverpoint Center, and Hastings Ranch Plaza,</w:t>
      </w:r>
    </w:p>
    <w:p>
      <w:pPr>
        <w:spacing w:after="0" w:line="7" w:lineRule="exact"/>
        <w:rPr>
          <w:rFonts w:ascii="Arial" w:cs="Arial" w:eastAsia="Arial" w:hAnsi="Arial"/>
          <w:sz w:val="18"/>
          <w:szCs w:val="18"/>
          <w:color w:val="auto"/>
        </w:rPr>
      </w:pPr>
    </w:p>
    <w:p>
      <w:pPr>
        <w:ind w:left="1700" w:right="320" w:hanging="802"/>
        <w:spacing w:after="0" w:line="277" w:lineRule="auto"/>
        <w:tabs>
          <w:tab w:leader="none" w:pos="1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of $3.0 million from redevelopment properties, primarily related to our new office building at Santana Row and other reassessments on our redevelopments, and</w:t>
      </w:r>
    </w:p>
    <w:p>
      <w:pPr>
        <w:spacing w:after="0" w:line="7" w:lineRule="exact"/>
        <w:rPr>
          <w:rFonts w:ascii="Arial" w:cs="Arial" w:eastAsia="Arial" w:hAnsi="Arial"/>
          <w:sz w:val="18"/>
          <w:szCs w:val="18"/>
          <w:color w:val="auto"/>
        </w:rPr>
      </w:pPr>
    </w:p>
    <w:p>
      <w:pPr>
        <w:ind w:left="1700" w:hanging="802"/>
        <w:spacing w:after="0"/>
        <w:tabs>
          <w:tab w:leader="none" w:pos="1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of $0.9 million related to Assembly Row and Pike &amp; Rose.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Property operating income increased $36.6 million, or 6.7%, to $584.6 million in 2017 compared to $548.0 million in 2016. This increase is primarily due to growth in earnings at redevelopment and same-center properties, 2017 acquisitions, Assembly Row and Pike &amp; Rose (primarily the lease-up of residential units at Pike &amp; Rose, the opening of the second phase of retail at Pike &amp; Rose, and higher lease termination fees), and the acquisition of the six previously unconsolidated Clarion joint venture properties in January 2016.</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General and administrative expense increased $2.9 million, or 8.6%, to $36.3 million in 2017 from $33.4 million in 2016. This increase is primarily due to higher personnel related costs.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20"/>
          </w:cols>
          <w:pgMar w:left="240" w:top="126" w:right="33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Depreciation and amortization expense increased $22.5 million, or 11.6%, to $216.1 million in 2017 from $193.6 million in 2016. This increase is primarily due to 2017 acquisitions, redevelopment properties (largely the new office building at Santana Row), Assembly Row and Pike &amp; Rose, and same-center properties.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Operating income increased $11.3 million, or 3.5%, to $332.3 million in 2017 compared to $321.0 million in 2016. This increase is primarily due to growth in earnings at redevelopment and same-center properties, our 2017 acquisitions, Assembly Row and Pike &amp; Rose, and the acquisition of the six previously unconsolidated Clarion joint venture properties in January 2016, partially offset by higher personnel related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$5.1 million, or 5.4%, to $100.1 million in 2017 compared to $95.0 million in 2016. This increase is due primarily to the following:</w:t>
      </w:r>
    </w:p>
    <w:p>
      <w:pPr>
        <w:spacing w:after="0" w:line="86" w:lineRule="exact"/>
        <w:rPr>
          <w:sz w:val="20"/>
          <w:szCs w:val="20"/>
          <w:color w:val="auto"/>
        </w:rPr>
      </w:pPr>
    </w:p>
    <w:p>
      <w:pPr>
        <w:ind w:left="1140" w:right="460" w:hanging="242"/>
        <w:spacing w:after="0" w:line="255"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of $16.1 million due to higher borrowings primarily attributable to the $300 million 3.25% senior notes and the $100 million reopening of the 4.5% senior notes both issued in June 2017, the 3.625% senior notes issued in July 2016, and higher weighted average borrowings on our revolving credit facility,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48" w:lineRule="exact"/>
        <w:rPr>
          <w:sz w:val="20"/>
          <w:szCs w:val="20"/>
          <w:color w:val="auto"/>
        </w:rPr>
      </w:pPr>
    </w:p>
    <w:p>
      <w:pPr>
        <w:ind w:left="1140" w:hanging="242"/>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of $7.5 million in capitalized interest, and</w:t>
      </w:r>
    </w:p>
    <w:p>
      <w:pPr>
        <w:spacing w:after="0" w:line="62" w:lineRule="exact"/>
        <w:rPr>
          <w:rFonts w:ascii="Arial" w:cs="Arial" w:eastAsia="Arial" w:hAnsi="Arial"/>
          <w:sz w:val="18"/>
          <w:szCs w:val="18"/>
          <w:color w:val="auto"/>
        </w:rPr>
      </w:pPr>
    </w:p>
    <w:p>
      <w:pPr>
        <w:ind w:left="1140" w:hanging="242"/>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decrease of $3.5 million due to a lower overall weighted average borrowing rate.</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Gross interest costs were $125.7 million and $113.0 million in 2017 and 2016, respectively. Capitalized interest was $25.6 million and $18.0 million in 2017 and 2016,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$12.3 million early extinguishment of debt charge in 2017 relates to the make-whole premium paid as part of the early redemption of our 5.90% senior notes on December 31, 2017 and the related write-off of the unamortized discount and debt fees.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and Change in Control of Interests, Net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$77.9 million gain on sale of real estate and change in control of interests, net for the year ended December 31, 2017 is primarily due to the following:</w:t>
      </w:r>
    </w:p>
    <w:p>
      <w:pPr>
        <w:spacing w:after="0" w:line="86" w:lineRule="exact"/>
        <w:rPr>
          <w:sz w:val="20"/>
          <w:szCs w:val="20"/>
          <w:color w:val="auto"/>
        </w:rPr>
      </w:pPr>
    </w:p>
    <w:p>
      <w:pPr>
        <w:ind w:left="1140" w:hanging="242"/>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$45.2 million gain related to the sale of our 150 Post Street property in August 2017,</w:t>
      </w:r>
    </w:p>
    <w:p>
      <w:pPr>
        <w:spacing w:after="0" w:line="62" w:lineRule="exact"/>
        <w:rPr>
          <w:rFonts w:ascii="Arial" w:cs="Arial" w:eastAsia="Arial" w:hAnsi="Arial"/>
          <w:sz w:val="18"/>
          <w:szCs w:val="18"/>
          <w:color w:val="auto"/>
        </w:rPr>
      </w:pPr>
    </w:p>
    <w:p>
      <w:pPr>
        <w:ind w:left="1140" w:hanging="242"/>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$15.4 million gain related to the sale of three ground lease parcels at our Assembly Row property in Somerville, Massachusetts,</w:t>
      </w:r>
    </w:p>
    <w:p>
      <w:pPr>
        <w:spacing w:after="0" w:line="62" w:lineRule="exact"/>
        <w:rPr>
          <w:rFonts w:ascii="Arial" w:cs="Arial" w:eastAsia="Arial" w:hAnsi="Arial"/>
          <w:sz w:val="18"/>
          <w:szCs w:val="18"/>
          <w:color w:val="auto"/>
        </w:rPr>
      </w:pPr>
    </w:p>
    <w:p>
      <w:pPr>
        <w:ind w:left="1140" w:hanging="242"/>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$6.5 million gain related to the sale of a parcel of land at our Bethesda Row property in December 2017,</w:t>
      </w:r>
    </w:p>
    <w:p>
      <w:pPr>
        <w:spacing w:after="0" w:line="62" w:lineRule="exact"/>
        <w:rPr>
          <w:rFonts w:ascii="Arial" w:cs="Arial" w:eastAsia="Arial" w:hAnsi="Arial"/>
          <w:sz w:val="18"/>
          <w:szCs w:val="18"/>
          <w:color w:val="auto"/>
        </w:rPr>
      </w:pPr>
    </w:p>
    <w:p>
      <w:pPr>
        <w:ind w:left="1140" w:right="600" w:hanging="242"/>
        <w:spacing w:after="0" w:line="277"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$5.4 million net percentage-of-completion gain, related to residential condominium units under binding contract at our Assembly Row property, and</w:t>
      </w:r>
    </w:p>
    <w:p>
      <w:pPr>
        <w:spacing w:after="0" w:line="7" w:lineRule="exact"/>
        <w:rPr>
          <w:rFonts w:ascii="Arial" w:cs="Arial" w:eastAsia="Arial" w:hAnsi="Arial"/>
          <w:sz w:val="18"/>
          <w:szCs w:val="18"/>
          <w:color w:val="auto"/>
        </w:rPr>
      </w:pPr>
    </w:p>
    <w:p>
      <w:pPr>
        <w:ind w:left="1140" w:hanging="242"/>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$4.9 million gain related to the sale of our North Lake Commons property in September 2017.</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 $32.5 million gain on sale of real estate and change in control of interests for the year ended December 31, 2016 is primarily due to the following:</w:t>
      </w:r>
    </w:p>
    <w:p>
      <w:pPr>
        <w:spacing w:after="0" w:line="74" w:lineRule="exact"/>
        <w:rPr>
          <w:sz w:val="20"/>
          <w:szCs w:val="20"/>
          <w:color w:val="auto"/>
        </w:rPr>
      </w:pPr>
    </w:p>
    <w:p>
      <w:pPr>
        <w:ind w:left="1140" w:right="120" w:hanging="242"/>
        <w:spacing w:after="0" w:line="263"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$25.7 million gain related to our obtaining control of six properties when we acquired Clarion’s 70% interest in the partnership that owned those properties. The properties were previously accounted for under the equity method of accounting. We consolidated these assets effective January 13, 2016, and consequently recognized a gain on obtaining the controlling interest,</w:t>
      </w:r>
    </w:p>
    <w:p>
      <w:pPr>
        <w:spacing w:after="0" w:line="20" w:lineRule="exact"/>
        <w:rPr>
          <w:rFonts w:ascii="Arial" w:cs="Arial" w:eastAsia="Arial" w:hAnsi="Arial"/>
          <w:sz w:val="18"/>
          <w:szCs w:val="18"/>
          <w:color w:val="auto"/>
        </w:rPr>
      </w:pPr>
    </w:p>
    <w:p>
      <w:pPr>
        <w:ind w:left="1140" w:right="40" w:hanging="242"/>
        <w:spacing w:after="0" w:line="277"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$4.9 million gain related to the reversal of the unused portion of the warranty reserve for condominium units at Santana Row, as the statutorily mandated latent construction defect period ended in third quarter 2016, and</w:t>
      </w:r>
    </w:p>
    <w:p>
      <w:pPr>
        <w:spacing w:after="0" w:line="7" w:lineRule="exact"/>
        <w:rPr>
          <w:rFonts w:ascii="Arial" w:cs="Arial" w:eastAsia="Arial" w:hAnsi="Arial"/>
          <w:sz w:val="18"/>
          <w:szCs w:val="18"/>
          <w:color w:val="auto"/>
        </w:rPr>
      </w:pPr>
    </w:p>
    <w:p>
      <w:pPr>
        <w:ind w:left="1140" w:right="240" w:hanging="242"/>
        <w:spacing w:after="0" w:line="277"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$1.8 million gain related to the sale of a building in Coconut Grove, Florida. Our share of the gain, net of noncontrolling interests, was $0.5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6" w:right="23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2016 COMPARED TO YEAR ENDED DECEMBER 31, 2015</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263"/>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Dollars</w:t>
            </w: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8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786,583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727,812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58,771</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11,015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11,810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(795)</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4,390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6"/>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801,591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744,012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57,579</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158,326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147,593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10,733</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95,286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85,824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9,462</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3"/>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253,612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233,417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20,195</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8.7 %</w:t>
            </w:r>
          </w:p>
        </w:tc>
      </w:tr>
      <w:tr>
        <w:trPr>
          <w:trHeight w:val="236"/>
        </w:trPr>
        <w:tc>
          <w:tcPr>
            <w:tcW w:w="5860" w:type="dxa"/>
            <w:vAlign w:val="bottom"/>
          </w:tcPr>
          <w:p>
            <w:pPr>
              <w:ind w:left="40"/>
              <w:spacing w:after="0"/>
              <w:rPr>
                <w:sz w:val="20"/>
                <w:szCs w:val="20"/>
                <w:color w:val="auto"/>
              </w:rPr>
            </w:pPr>
            <w:r>
              <w:rPr>
                <w:rFonts w:ascii="Arial" w:cs="Arial" w:eastAsia="Arial" w:hAnsi="Arial"/>
                <w:sz w:val="18"/>
                <w:szCs w:val="18"/>
                <w:color w:val="auto"/>
              </w:rPr>
              <w:t xml:space="preserve">Property operating income </w:t>
            </w:r>
            <w:r>
              <w:rPr>
                <w:rFonts w:ascii="Arial" w:cs="Arial" w:eastAsia="Arial" w:hAnsi="Arial"/>
                <w:sz w:val="16"/>
                <w:szCs w:val="16"/>
                <w:color w:val="auto"/>
              </w:rPr>
              <w:t>(1)</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547,979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510,595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37,384</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2,246</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(193,585)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(174,796)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(18,789)</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320,995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300,154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20,841</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225</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151.0 %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(94,994)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(92,553)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(2,441)</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Early extinguishment of debt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19,072</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6"/>
        </w:trPr>
        <w:tc>
          <w:tcPr>
            <w:tcW w:w="5860" w:type="dxa"/>
            <w:vAlign w:val="bottom"/>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(94,570)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(110,060)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15,490</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226,425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190,094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36,331</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32,458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28,330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4,128</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258,883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218,424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40,459</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(768)</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57"/>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249,910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210,219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39,691</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Property operating income is a non-GAAP financial measure. See Item 6. Selected Financial Data for further discussion.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Total property revenue increased $57.6 million, or 7.7%, to $801.6 million in 2016 compared to $744.0 million in 2015. The percentage occupied at our shopping centers was 93.3% at December 31, 2016 compared to 93.5% at December 31, 2015. Changes in the components of property revenue are discussed below.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$58.8 million, or 8.1%, to $786.6 million in 2016 compared to $727.8 million in 2015 due primarily to the following:</w:t>
      </w:r>
    </w:p>
    <w:p>
      <w:pPr>
        <w:spacing w:after="0" w:line="8" w:lineRule="exact"/>
        <w:rPr>
          <w:sz w:val="20"/>
          <w:szCs w:val="20"/>
          <w:color w:val="auto"/>
        </w:rPr>
      </w:pPr>
    </w:p>
    <w:p>
      <w:pPr>
        <w:ind w:left="1700" w:hanging="802"/>
        <w:spacing w:after="0"/>
        <w:tabs>
          <w:tab w:leader="none" w:pos="1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increase of $16.9 million attributable to properties acquired in 2015 and 2016,</w:t>
      </w:r>
    </w:p>
    <w:p>
      <w:pPr>
        <w:spacing w:after="0" w:line="62" w:lineRule="exact"/>
        <w:rPr>
          <w:rFonts w:ascii="Arial" w:cs="Arial" w:eastAsia="Arial" w:hAnsi="Arial"/>
          <w:sz w:val="18"/>
          <w:szCs w:val="18"/>
          <w:color w:val="auto"/>
        </w:rPr>
      </w:pPr>
    </w:p>
    <w:p>
      <w:pPr>
        <w:ind w:left="1700" w:hanging="802"/>
        <w:spacing w:after="0"/>
        <w:tabs>
          <w:tab w:leader="none" w:pos="17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 increase of $15.3 million from the acquisition of the six previously unconsolidated Clarion joint venture properties in January 2016,</w:t>
      </w:r>
    </w:p>
    <w:p>
      <w:pPr>
        <w:spacing w:after="0" w:line="85" w:lineRule="exact"/>
        <w:rPr>
          <w:rFonts w:ascii="Arial" w:cs="Arial" w:eastAsia="Arial" w:hAnsi="Arial"/>
          <w:sz w:val="16"/>
          <w:szCs w:val="16"/>
          <w:color w:val="auto"/>
        </w:rPr>
      </w:pPr>
    </w:p>
    <w:p>
      <w:pPr>
        <w:ind w:left="1700" w:hanging="802"/>
        <w:spacing w:after="0"/>
        <w:tabs>
          <w:tab w:leader="none" w:pos="17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increase of $11.7 million from Assembly Row and Pike &amp; Rose as portions of both projects opened in 2015 and early 2016,</w:t>
      </w:r>
    </w:p>
    <w:p>
      <w:pPr>
        <w:spacing w:after="0" w:line="74" w:lineRule="exact"/>
        <w:rPr>
          <w:rFonts w:ascii="Arial" w:cs="Arial" w:eastAsia="Arial" w:hAnsi="Arial"/>
          <w:sz w:val="17"/>
          <w:szCs w:val="17"/>
          <w:color w:val="auto"/>
        </w:rPr>
      </w:pPr>
    </w:p>
    <w:p>
      <w:pPr>
        <w:ind w:left="1700" w:right="60" w:hanging="802"/>
        <w:spacing w:after="0" w:line="263" w:lineRule="auto"/>
        <w:tabs>
          <w:tab w:leader="none" w:pos="1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increase of $10.6 million at redevelopment properties due primarily to the lease-up of The Point at Plaza El Segundo, as well as six of our other retail redevelopments, and the opening of the new office building at Santana Row, partially offset by lower occupancy as we start redeveloping centers, and</w:t>
      </w:r>
    </w:p>
    <w:p>
      <w:pPr>
        <w:spacing w:after="0" w:line="20" w:lineRule="exact"/>
        <w:rPr>
          <w:rFonts w:ascii="Arial" w:cs="Arial" w:eastAsia="Arial" w:hAnsi="Arial"/>
          <w:sz w:val="18"/>
          <w:szCs w:val="18"/>
          <w:color w:val="auto"/>
        </w:rPr>
      </w:pPr>
    </w:p>
    <w:p>
      <w:pPr>
        <w:ind w:left="1700" w:right="300" w:hanging="802"/>
        <w:spacing w:after="0" w:line="263" w:lineRule="auto"/>
        <w:tabs>
          <w:tab w:leader="none" w:pos="1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increase of $9.5 million at same-center properties due primarily to higher rental rates of approximately $12.8 million, higher recoveries of $1.8 million primarily the net result of higher real estate tax expense offset by lower snow removal expense, partially offset by lower average occupancy of approximately $4.7 million,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6" w:right="2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301" w:lineRule="exact"/>
        <w:rPr>
          <w:sz w:val="20"/>
          <w:szCs w:val="20"/>
          <w:color w:val="auto"/>
        </w:rPr>
      </w:pPr>
    </w:p>
    <w:p>
      <w:pPr>
        <w:ind w:left="1700" w:right="280" w:hanging="802"/>
        <w:spacing w:after="0" w:line="277" w:lineRule="auto"/>
        <w:tabs>
          <w:tab w:leader="none" w:pos="1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decrease of $4.8 million due to the sale of our Houston Street and Courtyard Shops properties in April 2015 and November 2015,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Other property income decreased $0.8 million, or 6.7%, to $11.0 million in 2016 compared to $11.8 million in 2015. The decrease is primarily due to a decrease in fee income as we no longer earn fees on the former Clarion joint venture properties.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Total property expenses increased $20.2 million, or 8.7%, to $253.6 million in 2016 compared to $233.4 million in 2015. Changes in the components of property expenses are discussed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Rental expenses increased $10.7 million, or 7.3%, to $158.3 million in 2016 compared to $147.6 million in 2015. This increase is primarily due to the following:</w:t>
      </w:r>
    </w:p>
    <w:p>
      <w:pPr>
        <w:spacing w:after="0" w:line="8" w:lineRule="exact"/>
        <w:rPr>
          <w:sz w:val="20"/>
          <w:szCs w:val="20"/>
          <w:color w:val="auto"/>
        </w:rPr>
      </w:pPr>
    </w:p>
    <w:p>
      <w:pPr>
        <w:ind w:left="1700" w:hanging="802"/>
        <w:spacing w:after="0"/>
        <w:tabs>
          <w:tab w:leader="none" w:pos="1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of $6.1 million related to properties acquired in 2015 and 2016,</w:t>
      </w:r>
    </w:p>
    <w:p>
      <w:pPr>
        <w:spacing w:after="0" w:line="62" w:lineRule="exact"/>
        <w:rPr>
          <w:rFonts w:ascii="Arial" w:cs="Arial" w:eastAsia="Arial" w:hAnsi="Arial"/>
          <w:sz w:val="18"/>
          <w:szCs w:val="18"/>
          <w:color w:val="auto"/>
        </w:rPr>
      </w:pPr>
    </w:p>
    <w:p>
      <w:pPr>
        <w:ind w:left="1700" w:hanging="802"/>
        <w:spacing w:after="0"/>
        <w:tabs>
          <w:tab w:leader="none" w:pos="17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 increase of $3.2 million from the acquisition of the six previously unconsolidated Clarion joint venture properties in January 2016,</w:t>
      </w:r>
    </w:p>
    <w:p>
      <w:pPr>
        <w:spacing w:after="0" w:line="85" w:lineRule="exact"/>
        <w:rPr>
          <w:rFonts w:ascii="Arial" w:cs="Arial" w:eastAsia="Arial" w:hAnsi="Arial"/>
          <w:sz w:val="16"/>
          <w:szCs w:val="16"/>
          <w:color w:val="auto"/>
        </w:rPr>
      </w:pPr>
    </w:p>
    <w:p>
      <w:pPr>
        <w:ind w:left="1700" w:hanging="802"/>
        <w:spacing w:after="0"/>
        <w:tabs>
          <w:tab w:leader="none" w:pos="17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 increase of $2.0 million related to Assembly Row and Pike &amp; Rose, as portions of both projects opened in 2015 and early 2016,</w:t>
      </w:r>
    </w:p>
    <w:p>
      <w:pPr>
        <w:spacing w:after="0" w:line="85" w:lineRule="exact"/>
        <w:rPr>
          <w:rFonts w:ascii="Arial" w:cs="Arial" w:eastAsia="Arial" w:hAnsi="Arial"/>
          <w:sz w:val="16"/>
          <w:szCs w:val="16"/>
          <w:color w:val="auto"/>
        </w:rPr>
      </w:pPr>
    </w:p>
    <w:p>
      <w:pPr>
        <w:ind w:left="1700" w:hanging="802"/>
        <w:spacing w:after="0"/>
        <w:tabs>
          <w:tab w:leader="none" w:pos="1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of $2.0 million at redevelopment properties,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right="160" w:hanging="802"/>
        <w:spacing w:after="0" w:line="277" w:lineRule="auto"/>
        <w:tabs>
          <w:tab w:leader="none" w:pos="1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decrease of $1.9 million in repairs and maintenance expenses at same-center properties primarily due to lower snow removal costs, and</w:t>
      </w:r>
    </w:p>
    <w:p>
      <w:pPr>
        <w:spacing w:after="0" w:line="7" w:lineRule="exact"/>
        <w:rPr>
          <w:rFonts w:ascii="Arial" w:cs="Arial" w:eastAsia="Arial" w:hAnsi="Arial"/>
          <w:sz w:val="18"/>
          <w:szCs w:val="18"/>
          <w:color w:val="auto"/>
        </w:rPr>
      </w:pPr>
    </w:p>
    <w:p>
      <w:pPr>
        <w:ind w:left="1700" w:right="280" w:hanging="802"/>
        <w:spacing w:after="0" w:line="277" w:lineRule="auto"/>
        <w:tabs>
          <w:tab w:leader="none" w:pos="1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decrease of $1.1 million due to the sale of our Houston Street and Courtyard Shops properties in April 2015 and November 2015, respectively.</w:t>
      </w:r>
    </w:p>
    <w:p>
      <w:pPr>
        <w:spacing w:after="0" w:line="116" w:lineRule="exact"/>
        <w:rPr>
          <w:sz w:val="20"/>
          <w:szCs w:val="20"/>
          <w:color w:val="auto"/>
        </w:rPr>
      </w:pPr>
    </w:p>
    <w:p>
      <w:pPr>
        <w:ind w:right="520"/>
        <w:spacing w:after="0" w:line="307" w:lineRule="auto"/>
        <w:rPr>
          <w:sz w:val="20"/>
          <w:szCs w:val="20"/>
          <w:color w:val="auto"/>
        </w:rPr>
      </w:pPr>
      <w:r>
        <w:rPr>
          <w:rFonts w:ascii="Arial" w:cs="Arial" w:eastAsia="Arial" w:hAnsi="Arial"/>
          <w:sz w:val="17"/>
          <w:szCs w:val="17"/>
          <w:color w:val="auto"/>
        </w:rPr>
        <w:t>As a result of the changes in rental income and rental expenses as discussed above, rental expenses as a percentage of rental income plus other property income increased to 19.9% for the year ended December 31, 2016 from 20.0% for the year ended December 31,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Real estate tax expense increased $9.5 million, or 11.0% to $95.3 million in 2016 compared to $85.8 million in 2015 due primarily to the following:</w:t>
      </w:r>
    </w:p>
    <w:p>
      <w:pPr>
        <w:spacing w:after="0" w:line="74" w:lineRule="exact"/>
        <w:rPr>
          <w:sz w:val="20"/>
          <w:szCs w:val="20"/>
          <w:color w:val="auto"/>
        </w:rPr>
      </w:pPr>
    </w:p>
    <w:p>
      <w:pPr>
        <w:ind w:left="1700" w:hanging="802"/>
        <w:spacing w:after="0"/>
        <w:tabs>
          <w:tab w:leader="none" w:pos="1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of $4.2 million at same-center properties due to higher assessments,</w:t>
      </w:r>
    </w:p>
    <w:p>
      <w:pPr>
        <w:spacing w:after="0" w:line="62" w:lineRule="exact"/>
        <w:rPr>
          <w:rFonts w:ascii="Arial" w:cs="Arial" w:eastAsia="Arial" w:hAnsi="Arial"/>
          <w:sz w:val="18"/>
          <w:szCs w:val="18"/>
          <w:color w:val="auto"/>
        </w:rPr>
      </w:pPr>
    </w:p>
    <w:p>
      <w:pPr>
        <w:ind w:left="1700" w:hanging="802"/>
        <w:spacing w:after="0"/>
        <w:tabs>
          <w:tab w:leader="none" w:pos="1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of $2.2 million from properties acquired in 2015 and 2016,</w:t>
      </w:r>
    </w:p>
    <w:p>
      <w:pPr>
        <w:spacing w:after="0" w:line="62" w:lineRule="exact"/>
        <w:rPr>
          <w:rFonts w:ascii="Arial" w:cs="Arial" w:eastAsia="Arial" w:hAnsi="Arial"/>
          <w:sz w:val="18"/>
          <w:szCs w:val="18"/>
          <w:color w:val="auto"/>
        </w:rPr>
      </w:pPr>
    </w:p>
    <w:p>
      <w:pPr>
        <w:ind w:left="1700" w:hanging="802"/>
        <w:spacing w:after="0"/>
        <w:tabs>
          <w:tab w:leader="none" w:pos="17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 increase of $1.9 million due to the acquisition of the six previously unconsolidated Clarion joint venture properties in January 2016,</w:t>
      </w:r>
    </w:p>
    <w:p>
      <w:pPr>
        <w:spacing w:after="0" w:line="85" w:lineRule="exact"/>
        <w:rPr>
          <w:rFonts w:ascii="Arial" w:cs="Arial" w:eastAsia="Arial" w:hAnsi="Arial"/>
          <w:sz w:val="16"/>
          <w:szCs w:val="16"/>
          <w:color w:val="auto"/>
        </w:rPr>
      </w:pPr>
    </w:p>
    <w:p>
      <w:pPr>
        <w:ind w:left="1700" w:hanging="802"/>
        <w:spacing w:after="0"/>
        <w:tabs>
          <w:tab w:leader="none" w:pos="1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of $1.1 million from redevelopment properties, and</w:t>
      </w:r>
    </w:p>
    <w:p>
      <w:pPr>
        <w:spacing w:after="0" w:line="62" w:lineRule="exact"/>
        <w:rPr>
          <w:rFonts w:ascii="Arial" w:cs="Arial" w:eastAsia="Arial" w:hAnsi="Arial"/>
          <w:sz w:val="18"/>
          <w:szCs w:val="18"/>
          <w:color w:val="auto"/>
        </w:rPr>
      </w:pPr>
    </w:p>
    <w:p>
      <w:pPr>
        <w:ind w:left="1700" w:hanging="802"/>
        <w:spacing w:after="0"/>
        <w:tabs>
          <w:tab w:leader="none" w:pos="1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of $0.8 million related to Assembly Row and Pike &amp; Rose,</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right="280" w:hanging="802"/>
        <w:spacing w:after="0" w:line="277" w:lineRule="auto"/>
        <w:tabs>
          <w:tab w:leader="none" w:pos="1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decrease of $0.8 million due to the sale of our Houston Street and Courtyard Shops properties in April 2015 and November 2015,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Property operating income increased $37.4 million, or 7.3%, to $548.0 million in 2016 compared to $510.6 million in 2015. This increase is primarily due to growth in earnings at same-center and redevelopment properties, the acquisition of the six previously unconsolidated Clarion joint venture properties in January 2016, portions of Assembly Row and Pike &amp; Rose opening in 2015 and early 2016, and properties acquired in 2015, partially offset by the sale of our Houston Street and Courtyard Shops properties in April 2015 and November 2015, respectively.</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6" w:right="23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General and administrative expense decreased $2.2 million, or 6.3%, to $33.4 million in 2016 from $35.6 million in 2015. This increase is primarily due to lower transaction costs, partially offset by higher personnel related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580"/>
        <w:spacing w:after="0" w:line="258" w:lineRule="auto"/>
        <w:rPr>
          <w:sz w:val="20"/>
          <w:szCs w:val="20"/>
          <w:color w:val="auto"/>
        </w:rPr>
      </w:pPr>
      <w:r>
        <w:rPr>
          <w:rFonts w:ascii="Arial" w:cs="Arial" w:eastAsia="Arial" w:hAnsi="Arial"/>
          <w:sz w:val="18"/>
          <w:szCs w:val="18"/>
          <w:color w:val="auto"/>
        </w:rPr>
        <w:t>Depreciation and amortization expense increased $18.8 million, or 10.7%, to $193.6 million in 2016 from $174.8 million in 2015. This increase is due primarily to the acquisition of the six previously unconsolidated Clarion joint venture properties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January 2016, Assembly Row and Pike &amp; Rose, depreciation on redevelopment related assets, and properties acquired in 2015.</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Operating income increased $20.8 million, or 6.9%, to $321.0 million in 2016 compared to $300.2 million in 2015. This increase is primarily due to properties acquired in 2015, portions of Assembly Row and Pike &amp; Rose opening in 2015 and early 2016, growth in earnings at redevelopment and same-center properties, and the acquisition of the six previously unconsolidated Clarion joint venture properties in January 2016, partially offset by the sale of our Houston Street and Courtyard Shops properties in April 2015 and November 2015,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00"/>
        <w:spacing w:after="0" w:line="307" w:lineRule="auto"/>
        <w:rPr>
          <w:sz w:val="20"/>
          <w:szCs w:val="20"/>
          <w:color w:val="auto"/>
        </w:rPr>
      </w:pPr>
      <w:r>
        <w:rPr>
          <w:rFonts w:ascii="Arial" w:cs="Arial" w:eastAsia="Arial" w:hAnsi="Arial"/>
          <w:sz w:val="17"/>
          <w:szCs w:val="17"/>
          <w:color w:val="auto"/>
        </w:rPr>
        <w:t>Interest expense increased $2.4 million, or 2.6%, to $95.0 million in 2016 compared to $92.6 million in 2015. This increase is due primarily to an increase of $8.6 million due to higher borrowings, partially offset by a decrease of $6.2 million due to a lower overall weighted average borrowing rate.</w:t>
      </w:r>
    </w:p>
    <w:p>
      <w:pPr>
        <w:spacing w:after="0" w:line="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Gross interest costs were $113.0 million and $110.7 million in 2016 and 2015, respectively. Capitalized interest was $18.0 million and $18.1 million in 2016 and 2015,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$19.1 million early extinguishment of debt in 2015 relates to the make-whole premium paid as part of the early redemption of our 6.20% senior notes in the second quarter of 2015, partially offset by the related net write-off of unamortized premium and debt fees.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w:t>
      </w:r>
    </w:p>
    <w:p>
      <w:pPr>
        <w:spacing w:after="0" w:line="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$32.5 million gain on sale of real estate and change in control of interests is primarily the result of our obtaining control of six properties when we acquired Clarion’s 70% interest in the partnership that owned those properties (see discussion in Note 3 to the consolidated financial statements). The properties were previously accounted for under the equity method of accounting. We consolidated these assets effective January 13, 2016, and consequently recognized a gain of $25.7 million upon obtaining the controlling interest. 2016 also included a $1.8 million gain related to the May 2016 sale of a building in Coconut Grove, Florida by an unconsolidated joint venture (our share of the gain, net of noncontrolling interests, was $0.5 million) and a $4.9 million gain due to the reversal of the warranty reserve for condominium units at Santana Row, as the statutorily mandated latent construction defect period ended in third quarter 2016 and no further claims were filed.</w:t>
      </w:r>
    </w:p>
    <w:p>
      <w:pPr>
        <w:spacing w:after="0" w:line="5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$28.3 million gain on sale of real estate for 2015 is due to the sale of our Houston Street property in April 2015 and the sale of our Courtyard Shops property in November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taxable income.</w:t>
      </w:r>
    </w:p>
    <w:p>
      <w:pPr>
        <w:spacing w:after="0" w:line="129"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6" w:right="259"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32"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At December 31, 2017, we had cash and cash equivalents of $15.2 million and $41.0 million outstanding on our $800.0 million unsecured revolving credit facility which matures on April 20, 2020, subject to two six-month extensions at our option. In addition, we have an option (subject to bank approval) to increase the credit facility through an accordion feature to $1.5 billion. Our $275.0 million unsecured term loan that matures on November 21, 2018, subject to a one-year extension at our option, also has an option (subject to bank approval) to increase the term loan through an accordion feature to $350.0 million. As of December 31, 2017, we had the capacity to issue up to $261.3 million in common shares under our ATM equity program.</w:t>
      </w:r>
    </w:p>
    <w:p>
      <w:pPr>
        <w:spacing w:after="0" w:line="10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For 2017, the maximum amount of borrowings outstanding under our revolving credit facility was $344.0 million, the weighted average amount of borrowings outstanding was $147.5 million and the weighted average interest rate, before amortization of debt fees, was 1.9%. During 2017, we raised $716.9 million of net proceeds through three separate public offerings for a total of $575.0 million of senior unsecured notes with a weighted average coupon of</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3.47% and term of 13 years and $150.0 million of 5.0% preferred shares in addition to $108.3 million raised under our ATM equity program. During 2018, we have only $10.5 million of debt maturing, in addition to our unsecured term loan mentioned above. We currently believe that cash flows from operations, cash on hand, our ATM equity program, our revolving credit facility and our general ability to access the capital markets will be sufficient to finance our operations and fund our debt service requirements and capital expenditures.</w:t>
      </w:r>
    </w:p>
    <w:p>
      <w:pPr>
        <w:spacing w:after="0" w:line="13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overall capital requirements during 2018 will depend upon acquisition opportunities, the level of improvements and redevelopments on existing properties and the timing and cost of development of Assembly Row, Pike &amp; Rose and future phases of Santana Row. While the amount of future expenditures will depend on numerous factors, we expect to see a reduced level of capital investments in our properties under development and redevelopment compared to 2017, which is the result of completing construction on Phase II at both Assembly Row and Pike &amp; Rose in 2018. With respect to other capital investments related to our existing properties, we expect to incur levels consistent with prior years. Our capital investments will be funded on a short-term basis with cash flow from operations, cash on hand and/or our revolving credit facility, and on a long-term basis, with long-term debt or equity including shares issued under our ATM equity program. If necessary, we may access the debt or equity capital markets to finance significant acquisitions. Given our past ability to access the capital markets, we expect debt or equity to be available to us. Although there is no intent at this time, if market conditions deteriorate, we may also delay the timing of certain development and redevelopment projects as well as limit future acquisitions, reduce our operating expenditures, or re-evaluate our dividend policy.</w:t>
      </w:r>
    </w:p>
    <w:p>
      <w:pPr>
        <w:spacing w:after="0" w:line="12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In addition to conditions in the capital markets which could affect our ability to access those markets, the following factors could affect our ability to meet our liquidity requirements:</w:t>
      </w:r>
    </w:p>
    <w:p>
      <w:pPr>
        <w:spacing w:after="0" w:line="1" w:lineRule="exact"/>
        <w:rPr>
          <w:sz w:val="20"/>
          <w:szCs w:val="20"/>
          <w:color w:val="auto"/>
        </w:rPr>
      </w:pPr>
    </w:p>
    <w:p>
      <w:pPr>
        <w:ind w:left="1700" w:right="60" w:hanging="802"/>
        <w:spacing w:after="0" w:line="250" w:lineRule="auto"/>
        <w:tabs>
          <w:tab w:leader="none" w:pos="1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shares may limit us from incurring debt or issuing equity at all, or on acceptable terms under then-prevailing market conditions; and</w:t>
      </w:r>
    </w:p>
    <w:p>
      <w:pPr>
        <w:ind w:left="1700" w:hanging="802"/>
        <w:spacing w:after="0"/>
        <w:tabs>
          <w:tab w:leader="none" w:pos="17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Year Ended December 31,</w:t>
            </w:r>
          </w:p>
        </w:tc>
      </w:tr>
      <w:tr>
        <w:trPr>
          <w:trHeight w:val="263"/>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459,177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423,705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(836,802)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(590,221)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369,445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168,838</w:t>
            </w:r>
          </w:p>
        </w:tc>
      </w:tr>
      <w:tr>
        <w:trPr>
          <w:trHeight w:val="236"/>
        </w:trPr>
        <w:tc>
          <w:tcPr>
            <w:tcW w:w="8580" w:type="dxa"/>
            <w:vAlign w:val="bottom"/>
          </w:tcPr>
          <w:p>
            <w:pPr>
              <w:ind w:left="40"/>
              <w:spacing w:after="0"/>
              <w:rPr>
                <w:sz w:val="20"/>
                <w:szCs w:val="20"/>
                <w:color w:val="auto"/>
              </w:rPr>
            </w:pPr>
            <w:r>
              <w:rPr>
                <w:rFonts w:ascii="Arial" w:cs="Arial" w:eastAsia="Arial" w:hAnsi="Arial"/>
                <w:sz w:val="18"/>
                <w:szCs w:val="18"/>
                <w:color w:val="auto"/>
              </w:rPr>
              <w:t>(Decrease) increase in cash and cash equivalents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(8,180)</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2,322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23,368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21,046</w:t>
            </w:r>
          </w:p>
        </w:tc>
      </w:tr>
      <w:tr>
        <w:trPr>
          <w:trHeight w:val="236"/>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end of year</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15,188</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23,368</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Net cash provided by operating activities increased $35.5 million to $459.2 million during 2017 from $423.7 million during 2016. The increase was primarily attributable to higher net income before certain non-cash items, and the timing of payments related to operating costs.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6" w:right="239"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Net cash used in investing activities increased $246.6 million to $836.8 million during 2017 from $590.2 million during 2016. The increase was primarily attributable to:</w:t>
      </w:r>
    </w:p>
    <w:p>
      <w:pPr>
        <w:spacing w:after="0" w:line="8" w:lineRule="exact"/>
        <w:rPr>
          <w:sz w:val="20"/>
          <w:szCs w:val="20"/>
          <w:color w:val="auto"/>
        </w:rPr>
      </w:pPr>
    </w:p>
    <w:p>
      <w:pPr>
        <w:ind w:left="1700" w:right="280" w:hanging="802"/>
        <w:spacing w:after="0" w:line="277" w:lineRule="auto"/>
        <w:tabs>
          <w:tab w:leader="none" w:pos="1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$293.7 million increase in acquisitions of real estate, primarily due to the August 2017 acquisition of six shopping centers in Los Angeles County, California,</w:t>
      </w:r>
    </w:p>
    <w:p>
      <w:pPr>
        <w:spacing w:after="0" w:line="7" w:lineRule="exact"/>
        <w:rPr>
          <w:rFonts w:ascii="Arial" w:cs="Arial" w:eastAsia="Arial" w:hAnsi="Arial"/>
          <w:sz w:val="18"/>
          <w:szCs w:val="18"/>
          <w:color w:val="auto"/>
        </w:rPr>
      </w:pPr>
    </w:p>
    <w:p>
      <w:pPr>
        <w:ind w:left="1700" w:hanging="802"/>
        <w:spacing w:after="0" w:line="277" w:lineRule="auto"/>
        <w:tabs>
          <w:tab w:leader="none" w:pos="1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$80.0 million net increase in capital expenditures and leasing costs as we continue to invest in Pike &amp; Rose, Assembly Row, Santana Row, and other current redevelopments, and</w:t>
      </w:r>
    </w:p>
    <w:p>
      <w:pPr>
        <w:spacing w:after="0" w:line="7" w:lineRule="exact"/>
        <w:rPr>
          <w:rFonts w:ascii="Arial" w:cs="Arial" w:eastAsia="Arial" w:hAnsi="Arial"/>
          <w:sz w:val="18"/>
          <w:szCs w:val="18"/>
          <w:color w:val="auto"/>
        </w:rPr>
      </w:pPr>
    </w:p>
    <w:p>
      <w:pPr>
        <w:ind w:left="1700" w:right="60" w:hanging="802"/>
        <w:spacing w:after="0" w:line="277" w:lineRule="auto"/>
        <w:tabs>
          <w:tab w:leader="none" w:pos="1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$13.3 million decrease in cash flows from mortgage notes receivable primarily due to the payoff of an $11.7 million note receivable in September 2016,</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right="160" w:hanging="802"/>
        <w:spacing w:after="0" w:line="277" w:lineRule="auto"/>
        <w:tabs>
          <w:tab w:leader="none" w:pos="1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$136.1 million in net proceeds primarily from the sale of our property at 150 Post Street, three land parcels at Assembly Row, North Lake Commons, and a land parcel at our Bethesda Row property in 2017.</w:t>
      </w:r>
    </w:p>
    <w:p>
      <w:pPr>
        <w:spacing w:after="0" w:line="11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Net cash provided by financing activities increased $200.6 million to $369.4 million during 2017 from $168.8 million during 2016. The increase was primarily attributable to:</w:t>
      </w:r>
    </w:p>
    <w:p>
      <w:pPr>
        <w:spacing w:after="0" w:line="8" w:lineRule="exact"/>
        <w:rPr>
          <w:sz w:val="20"/>
          <w:szCs w:val="20"/>
          <w:color w:val="auto"/>
        </w:rPr>
      </w:pPr>
    </w:p>
    <w:p>
      <w:pPr>
        <w:jc w:val="both"/>
        <w:ind w:left="1700" w:right="380" w:hanging="802"/>
        <w:spacing w:after="0" w:line="286" w:lineRule="auto"/>
        <w:tabs>
          <w:tab w:leader="none" w:pos="17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$572.1 million net proceeds from the June 2017 issuance of $300.0 million and the December 2017 issuance of $175.0 million of 3.25% senior unsecured notes that mature on July 15, 2027 and $100.0 million of 4.50% notes that mature on December 1, 2044, compared to $241.8 million in net proceeds from the issuance of 3.625% senior notes in July 2016,</w:t>
      </w:r>
    </w:p>
    <w:p>
      <w:pPr>
        <w:spacing w:after="0" w:line="2" w:lineRule="exact"/>
        <w:rPr>
          <w:rFonts w:ascii="Arial" w:cs="Arial" w:eastAsia="Arial" w:hAnsi="Arial"/>
          <w:sz w:val="17"/>
          <w:szCs w:val="17"/>
          <w:color w:val="auto"/>
        </w:rPr>
      </w:pPr>
    </w:p>
    <w:p>
      <w:pPr>
        <w:ind w:left="1700" w:hanging="802"/>
        <w:spacing w:after="0"/>
        <w:tabs>
          <w:tab w:leader="none" w:pos="1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$145.0 million in net proceeds from the September 29, 2017 issuance of 6,000 Series C Preferred Shares,</w:t>
      </w:r>
    </w:p>
    <w:p>
      <w:pPr>
        <w:spacing w:after="0" w:line="62" w:lineRule="exact"/>
        <w:rPr>
          <w:rFonts w:ascii="Arial" w:cs="Arial" w:eastAsia="Arial" w:hAnsi="Arial"/>
          <w:sz w:val="18"/>
          <w:szCs w:val="18"/>
          <w:color w:val="auto"/>
        </w:rPr>
      </w:pPr>
    </w:p>
    <w:p>
      <w:pPr>
        <w:ind w:left="1700" w:hanging="802"/>
        <w:spacing w:after="0"/>
        <w:tabs>
          <w:tab w:leader="none" w:pos="1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$41.0 million of borrowings on our revolving credit facility in 2017 as compared to $56.9 million of repayments in 2016,</w:t>
      </w:r>
    </w:p>
    <w:p>
      <w:pPr>
        <w:spacing w:after="0" w:line="62" w:lineRule="exact"/>
        <w:rPr>
          <w:rFonts w:ascii="Arial" w:cs="Arial" w:eastAsia="Arial" w:hAnsi="Arial"/>
          <w:sz w:val="18"/>
          <w:szCs w:val="18"/>
          <w:color w:val="auto"/>
        </w:rPr>
      </w:pPr>
    </w:p>
    <w:p>
      <w:pPr>
        <w:ind w:left="1700" w:right="80" w:hanging="802"/>
        <w:spacing w:after="0" w:line="277" w:lineRule="auto"/>
        <w:tabs>
          <w:tab w:leader="none" w:pos="1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$12.8 million increase in contributions from noncontrolling interests primarily due to contributions to fund the $50.0 million partial repayment of the Plaza El Segundo mortgage loan, and</w:t>
      </w:r>
    </w:p>
    <w:p>
      <w:pPr>
        <w:spacing w:after="0" w:line="7" w:lineRule="exact"/>
        <w:rPr>
          <w:rFonts w:ascii="Arial" w:cs="Arial" w:eastAsia="Arial" w:hAnsi="Arial"/>
          <w:sz w:val="18"/>
          <w:szCs w:val="18"/>
          <w:color w:val="auto"/>
        </w:rPr>
      </w:pPr>
    </w:p>
    <w:p>
      <w:pPr>
        <w:ind w:left="1700" w:right="260" w:hanging="802"/>
        <w:spacing w:after="0" w:line="277" w:lineRule="auto"/>
        <w:tabs>
          <w:tab w:leader="none" w:pos="1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$8.9 million decrease in distributions to and redemptions of noncontrolling interests primarily due to the 2016 acquisition of the 10% noncontrolling interest of a partnership which owns a project in Southern California,</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2"/>
        <w:spacing w:after="0" w:line="259" w:lineRule="auto"/>
        <w:tabs>
          <w:tab w:leader="none" w:pos="1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$210.5 million decrease in net proceeds from the issuance of common shares primarily due to our March 2016 issuance of 1.0 million common shares at $149.43 per share in an underwritten public offering, and 1.2 million common shares under our ATM equity program at a weighted average price of $152.92 during 2016, compared to 0.8 million common shares under our ATM equity program at a weighted average price of $132.56 during 2017,</w:t>
      </w:r>
    </w:p>
    <w:p>
      <w:pPr>
        <w:spacing w:after="0" w:line="23" w:lineRule="exact"/>
        <w:rPr>
          <w:rFonts w:ascii="Arial" w:cs="Arial" w:eastAsia="Arial" w:hAnsi="Arial"/>
          <w:sz w:val="18"/>
          <w:szCs w:val="18"/>
          <w:color w:val="auto"/>
        </w:rPr>
      </w:pPr>
    </w:p>
    <w:p>
      <w:pPr>
        <w:ind w:left="1700" w:hanging="802"/>
        <w:spacing w:after="0"/>
        <w:tabs>
          <w:tab w:leader="none" w:pos="1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December 2017 redemption of $150.0 million of senior notes with a make-whole premium of $11.9 million, and</w:t>
      </w:r>
    </w:p>
    <w:p>
      <w:pPr>
        <w:spacing w:after="0" w:line="62" w:lineRule="exact"/>
        <w:rPr>
          <w:rFonts w:ascii="Arial" w:cs="Arial" w:eastAsia="Arial" w:hAnsi="Arial"/>
          <w:sz w:val="18"/>
          <w:szCs w:val="18"/>
          <w:color w:val="auto"/>
        </w:rPr>
      </w:pPr>
    </w:p>
    <w:p>
      <w:pPr>
        <w:ind w:left="1700" w:right="540" w:hanging="802"/>
        <w:spacing w:after="0" w:line="277" w:lineRule="auto"/>
        <w:tabs>
          <w:tab w:leader="none" w:pos="1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$15.3 million increase in dividends paid to shareholders due to an increase in the dividend rate and a higher number of shares outstanding.</w:t>
      </w: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126" w:right="279"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Commitments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fixed, noncancelable obligations as of December 31, 2017:</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center"/>
              <w:ind w:left="775"/>
              <w:spacing w:after="0"/>
              <w:rPr>
                <w:sz w:val="20"/>
                <w:szCs w:val="20"/>
                <w:color w:val="auto"/>
              </w:rPr>
            </w:pPr>
            <w:r>
              <w:rPr>
                <w:rFonts w:ascii="Arial" w:cs="Arial" w:eastAsia="Arial" w:hAnsi="Arial"/>
                <w:sz w:val="14"/>
                <w:szCs w:val="14"/>
                <w:b w:val="1"/>
                <w:bCs w:val="1"/>
                <w:color w:val="auto"/>
                <w:w w:val="92"/>
              </w:rPr>
              <w:t>Commitments Due by Period</w:t>
            </w: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3"/>
                <w:szCs w:val="13"/>
                <w:color w:val="auto"/>
              </w:rPr>
            </w:pPr>
          </w:p>
        </w:tc>
        <w:tc>
          <w:tcPr>
            <w:tcW w:w="1240" w:type="dxa"/>
            <w:vAlign w:val="bottom"/>
            <w:gridSpan w:val="2"/>
          </w:tcPr>
          <w:p>
            <w:pPr>
              <w:jc w:val="center"/>
              <w:ind w:right="340"/>
              <w:spacing w:after="0" w:line="152" w:lineRule="exact"/>
              <w:rPr>
                <w:sz w:val="20"/>
                <w:szCs w:val="20"/>
                <w:color w:val="auto"/>
              </w:rPr>
            </w:pPr>
            <w:r>
              <w:rPr>
                <w:rFonts w:ascii="Arial" w:cs="Arial" w:eastAsia="Arial" w:hAnsi="Arial"/>
                <w:sz w:val="14"/>
                <w:szCs w:val="14"/>
                <w:b w:val="1"/>
                <w:bCs w:val="1"/>
                <w:color w:val="auto"/>
                <w:w w:val="89"/>
              </w:rPr>
              <w:t>Less Than</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1-3 Years</w:t>
            </w:r>
          </w:p>
        </w:tc>
        <w:tc>
          <w:tcPr>
            <w:tcW w:w="260" w:type="dxa"/>
            <w:vAlign w:val="bottom"/>
          </w:tcPr>
          <w:p>
            <w:pPr>
              <w:spacing w:after="0"/>
              <w:rPr>
                <w:sz w:val="13"/>
                <w:szCs w:val="13"/>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3-5 Years</w:t>
            </w:r>
          </w:p>
        </w:tc>
        <w:tc>
          <w:tcPr>
            <w:tcW w:w="280" w:type="dxa"/>
            <w:vAlign w:val="bottom"/>
          </w:tcPr>
          <w:p>
            <w:pPr>
              <w:spacing w:after="0"/>
              <w:rPr>
                <w:sz w:val="13"/>
                <w:szCs w:val="13"/>
                <w:color w:val="auto"/>
              </w:rPr>
            </w:pPr>
          </w:p>
        </w:tc>
        <w:tc>
          <w:tcPr>
            <w:tcW w:w="1080" w:type="dxa"/>
            <w:vAlign w:val="bottom"/>
          </w:tcPr>
          <w:p>
            <w:pPr>
              <w:jc w:val="right"/>
              <w:ind w:right="373"/>
              <w:spacing w:after="0" w:line="152" w:lineRule="exact"/>
              <w:rPr>
                <w:sz w:val="20"/>
                <w:szCs w:val="20"/>
                <w:color w:val="auto"/>
              </w:rPr>
            </w:pPr>
            <w:r>
              <w:rPr>
                <w:rFonts w:ascii="Arial" w:cs="Arial" w:eastAsia="Arial" w:hAnsi="Arial"/>
                <w:sz w:val="14"/>
                <w:szCs w:val="14"/>
                <w:b w:val="1"/>
                <w:bCs w:val="1"/>
                <w:color w:val="auto"/>
              </w:rPr>
              <w:t>After 5</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1 Year</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rate debt (principal and interest)(1)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4,632,932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407,626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305,997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838,746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3,080,563</w:t>
            </w:r>
          </w:p>
        </w:tc>
        <w:tc>
          <w:tcPr>
            <w:tcW w:w="0" w:type="dxa"/>
            <w:vAlign w:val="bottom"/>
          </w:tcPr>
          <w:p>
            <w:pPr>
              <w:spacing w:after="0"/>
              <w:rPr>
                <w:sz w:val="1"/>
                <w:szCs w:val="1"/>
                <w:color w:val="auto"/>
              </w:rPr>
            </w:pPr>
          </w:p>
        </w:tc>
      </w:tr>
      <w:tr>
        <w:trPr>
          <w:trHeight w:val="228"/>
        </w:trPr>
        <w:tc>
          <w:tcPr>
            <w:tcW w:w="4120" w:type="dxa"/>
            <w:vAlign w:val="bottom"/>
          </w:tcPr>
          <w:p>
            <w:pPr>
              <w:ind w:left="40"/>
              <w:spacing w:after="0"/>
              <w:rPr>
                <w:sz w:val="20"/>
                <w:szCs w:val="20"/>
                <w:color w:val="auto"/>
              </w:rPr>
            </w:pPr>
            <w:r>
              <w:rPr>
                <w:rFonts w:ascii="Arial" w:cs="Arial" w:eastAsia="Arial" w:hAnsi="Arial"/>
                <w:sz w:val="18"/>
                <w:szCs w:val="18"/>
                <w:color w:val="auto"/>
              </w:rPr>
              <w:t>Fixed and variable rate debt - our share of</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40"/>
              <w:spacing w:after="0"/>
              <w:rPr>
                <w:sz w:val="20"/>
                <w:szCs w:val="20"/>
                <w:color w:val="auto"/>
              </w:rPr>
            </w:pPr>
            <w:r>
              <w:rPr>
                <w:rFonts w:ascii="Arial" w:cs="Arial" w:eastAsia="Arial" w:hAnsi="Arial"/>
                <w:sz w:val="18"/>
                <w:szCs w:val="18"/>
                <w:color w:val="auto"/>
                <w:w w:val="95"/>
              </w:rPr>
              <w:t>unconsolidated real estate partnerships (principal and</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interest)</w:t>
            </w:r>
          </w:p>
        </w:tc>
        <w:tc>
          <w:tcPr>
            <w:tcW w:w="34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30,825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20,610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9,463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 (principal and interest)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171,435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142,425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Variable rate debt (principal only)(2)</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41,000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41,000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211,831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188,132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Real estate commitments</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67,500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67,500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Development, redevelopment, and capital improvement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326,631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263,610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63,021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Contractual operating obligations</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58,490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28,013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24,997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5,480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5,540,644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710,384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476,711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874,929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3,478,620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Fixed rate debt includes our $275.0 million term loan as the rate is effectively fixed by two interest rate swap agreements.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Variable rate debt includes our revolving credit facility, which currently has $41.0 million outstanding and bears interest at LIBOR plus 0.825%.</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amounts set forth in the table above and other liquidity requirements previously discussed, the following potential commitments exist:</w:t>
      </w:r>
    </w:p>
    <w:p>
      <w:pPr>
        <w:spacing w:after="0" w:line="101" w:lineRule="exact"/>
        <w:rPr>
          <w:sz w:val="20"/>
          <w:szCs w:val="20"/>
          <w:color w:val="auto"/>
        </w:rPr>
      </w:pPr>
    </w:p>
    <w:p>
      <w:pPr>
        <w:ind w:firstLine="413"/>
        <w:spacing w:after="0" w:line="259" w:lineRule="auto"/>
        <w:tabs>
          <w:tab w:leader="none" w:pos="649"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Under the terms of the Congressional Plaza partnership agreement, a minority partner has the right to require us and the other minority partner to purchase its 26.63% interest in Congressional Plaza at the interest’s then-current fair market value. If the other minority partner defaults in their obligation, we must purchase the full interest. Based on management’s current estimate of fair market value as of December 31, 2017, our estimated liability upon exercise of the put option would range from approximately $81 million to $85 million.</w:t>
      </w:r>
    </w:p>
    <w:p>
      <w:pPr>
        <w:spacing w:after="0" w:line="50" w:lineRule="exact"/>
        <w:rPr>
          <w:rFonts w:ascii="Arial" w:cs="Arial" w:eastAsia="Arial" w:hAnsi="Arial"/>
          <w:sz w:val="18"/>
          <w:szCs w:val="18"/>
          <w:color w:val="auto"/>
        </w:rPr>
      </w:pPr>
    </w:p>
    <w:p>
      <w:pPr>
        <w:ind w:right="400" w:firstLine="413"/>
        <w:spacing w:after="0" w:line="334" w:lineRule="auto"/>
        <w:tabs>
          <w:tab w:leader="none" w:pos="659" w:val="left"/>
        </w:tabs>
        <w:numPr>
          <w:ilvl w:val="0"/>
          <w:numId w:val="50"/>
        </w:numPr>
        <w:rPr>
          <w:rFonts w:ascii="Arial" w:cs="Arial" w:eastAsia="Arial" w:hAnsi="Arial"/>
          <w:sz w:val="16"/>
          <w:szCs w:val="16"/>
          <w:color w:val="auto"/>
        </w:rPr>
      </w:pPr>
      <w:r>
        <w:rPr>
          <w:rFonts w:ascii="Arial" w:cs="Arial" w:eastAsia="Arial" w:hAnsi="Arial"/>
          <w:sz w:val="16"/>
          <w:szCs w:val="16"/>
          <w:color w:val="auto"/>
        </w:rPr>
        <w:t>Under the terms of various other partnership agreements, the partners have the right to exchange their operating partnership units for cash or the same number of our common shares, at our option. As of December 31, 2017, a total of 787,962 operating partnership units are outstanding.</w:t>
      </w:r>
    </w:p>
    <w:p>
      <w:pPr>
        <w:jc w:val="both"/>
        <w:ind w:right="180" w:firstLine="440"/>
        <w:spacing w:after="0" w:line="259" w:lineRule="auto"/>
        <w:tabs>
          <w:tab w:leader="none" w:pos="676"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other member in Montrose Crossing has the right to require us to purchase all of its 10.1% interest in Montrose Crossing at the interest's then-current fair market value. If the other member fails to exercise its put option, we have the right to purchase its interest on or after December 27, 2021 at fair market value. Based on management’s current estimate of fair market value as of December 31, 2017, our estimated maximum liability upon exercise of the put option would range from approximately $12 million to $13 million.</w:t>
      </w:r>
    </w:p>
    <w:p>
      <w:pPr>
        <w:spacing w:after="0" w:line="50" w:lineRule="exact"/>
        <w:rPr>
          <w:rFonts w:ascii="Arial" w:cs="Arial" w:eastAsia="Arial" w:hAnsi="Arial"/>
          <w:sz w:val="18"/>
          <w:szCs w:val="18"/>
          <w:color w:val="auto"/>
        </w:rPr>
      </w:pPr>
    </w:p>
    <w:p>
      <w:pPr>
        <w:ind w:right="80" w:firstLine="440"/>
        <w:spacing w:after="0" w:line="259" w:lineRule="auto"/>
        <w:tabs>
          <w:tab w:leader="none" w:pos="686" w:val="left"/>
        </w:tabs>
        <w:numPr>
          <w:ilvl w:val="1"/>
          <w:numId w:val="50"/>
        </w:numPr>
        <w:rPr>
          <w:rFonts w:ascii="Arial" w:cs="Arial" w:eastAsia="Arial" w:hAnsi="Arial"/>
          <w:sz w:val="18"/>
          <w:szCs w:val="18"/>
          <w:color w:val="auto"/>
        </w:rPr>
      </w:pPr>
      <w:r>
        <w:rPr>
          <w:rFonts w:ascii="Arial" w:cs="Arial" w:eastAsia="Arial" w:hAnsi="Arial"/>
          <w:sz w:val="18"/>
          <w:szCs w:val="18"/>
          <w:color w:val="auto"/>
        </w:rPr>
        <w:t>Two of the members in Plaza El Segundo have the right to require us to purchase their 10.0% and 11.8% ownership interests at the interests' then-current fair market value. If the members fail to exercise their put options, we have the right to purchase each of their interests on or after December 30, 2026 at fair market value. Based on management’s current estimate of fair market value as of December 31, 2017, our estimated maximum liability upon exercise of the put option would range from approximately $26 million to $29 million.</w:t>
      </w:r>
    </w:p>
    <w:p>
      <w:pPr>
        <w:spacing w:after="0" w:line="50" w:lineRule="exact"/>
        <w:rPr>
          <w:rFonts w:ascii="Arial" w:cs="Arial" w:eastAsia="Arial" w:hAnsi="Arial"/>
          <w:sz w:val="18"/>
          <w:szCs w:val="18"/>
          <w:color w:val="auto"/>
        </w:rPr>
      </w:pPr>
    </w:p>
    <w:p>
      <w:pPr>
        <w:ind w:right="180" w:firstLine="440"/>
        <w:spacing w:after="0" w:line="259" w:lineRule="auto"/>
        <w:tabs>
          <w:tab w:leader="none" w:pos="676" w:val="left"/>
        </w:tabs>
        <w:numPr>
          <w:ilvl w:val="1"/>
          <w:numId w:val="50"/>
        </w:numPr>
        <w:rPr>
          <w:rFonts w:ascii="Arial" w:cs="Arial" w:eastAsia="Arial" w:hAnsi="Arial"/>
          <w:sz w:val="18"/>
          <w:szCs w:val="18"/>
          <w:color w:val="auto"/>
        </w:rPr>
      </w:pPr>
      <w:r>
        <w:rPr>
          <w:rFonts w:ascii="Arial" w:cs="Arial" w:eastAsia="Arial" w:hAnsi="Arial"/>
          <w:sz w:val="18"/>
          <w:szCs w:val="18"/>
          <w:color w:val="auto"/>
        </w:rPr>
        <w:t>Effective January 1, 2017, the other member in The Grove at Shrewsbury and Brook 35 has the right to require us to purchase all of its approximately 4.8% interest in The Grove at Shrewsbury and approximately 8.8% interest in Brook 35 at the interests' then-current fair market value. Based on management's current estimate of fair market value as of December 31, 2017, our estimated maximum liability upon exercise of the put option would range from $9 million to $10 million.</w:t>
      </w:r>
    </w:p>
    <w:p>
      <w:pPr>
        <w:spacing w:after="0" w:line="50" w:lineRule="exact"/>
        <w:rPr>
          <w:rFonts w:ascii="Arial" w:cs="Arial" w:eastAsia="Arial" w:hAnsi="Arial"/>
          <w:sz w:val="18"/>
          <w:szCs w:val="18"/>
          <w:color w:val="auto"/>
        </w:rPr>
      </w:pPr>
    </w:p>
    <w:p>
      <w:pPr>
        <w:ind w:left="660" w:hanging="220"/>
        <w:spacing w:after="0"/>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At December 31, 2017, we had letters of credit outstanding of approximately $1.3 million.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6" w:right="23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than the items disclosed in the Contractual Commitments Table, we have no off-balance sheet arrangements as of December 31, 2017 that are reasonably likely to have a current or future material effect on our financial condition, revenues or expenses, results of operations, liquidity, capital expenditures or capital resources.</w:t>
      </w:r>
    </w:p>
    <w:p>
      <w:pPr>
        <w:spacing w:after="0" w:line="21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640"/>
          </w:cols>
          <w:pgMar w:left="240" w:top="126" w:right="101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December 31, 2017:</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ind w:right="20"/>
              <w:spacing w:after="0"/>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4"/>
                <w:szCs w:val="14"/>
                <w:color w:val="auto"/>
              </w:rPr>
            </w:pPr>
          </w:p>
        </w:tc>
        <w:tc>
          <w:tcPr>
            <w:tcW w:w="156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1"/>
              </w:rPr>
              <w:t>Principal Balance as of</w:t>
            </w:r>
          </w:p>
        </w:tc>
        <w:tc>
          <w:tcPr>
            <w:tcW w:w="100" w:type="dxa"/>
            <w:vAlign w:val="bottom"/>
          </w:tcPr>
          <w:p>
            <w:pPr>
              <w:spacing w:after="0"/>
              <w:rPr>
                <w:sz w:val="14"/>
                <w:szCs w:val="14"/>
                <w:color w:val="auto"/>
              </w:rPr>
            </w:pPr>
          </w:p>
        </w:tc>
        <w:tc>
          <w:tcPr>
            <w:tcW w:w="1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Stated Interest Rate as of</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12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Debt</w:t>
            </w: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92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4580" w:type="dxa"/>
            <w:vAlign w:val="bottom"/>
            <w:gridSpan w:val="2"/>
            <w:vMerge w:val="continue"/>
          </w:tcPr>
          <w:p>
            <w:pPr>
              <w:spacing w:after="0"/>
              <w:rPr>
                <w:sz w:val="16"/>
                <w:szCs w:val="16"/>
                <w:color w:val="auto"/>
              </w:rPr>
            </w:pPr>
          </w:p>
        </w:tc>
        <w:tc>
          <w:tcPr>
            <w:tcW w:w="1260" w:type="dxa"/>
            <w:vAlign w:val="bottom"/>
          </w:tcPr>
          <w:p>
            <w:pPr>
              <w:jc w:val="center"/>
              <w:ind w:right="40"/>
              <w:spacing w:after="0"/>
              <w:rPr>
                <w:sz w:val="20"/>
                <w:szCs w:val="20"/>
                <w:color w:val="auto"/>
              </w:rPr>
            </w:pPr>
            <w:r>
              <w:rPr>
                <w:rFonts w:ascii="Arial" w:cs="Arial" w:eastAsia="Arial" w:hAnsi="Arial"/>
                <w:sz w:val="14"/>
                <w:szCs w:val="14"/>
                <w:b w:val="1"/>
                <w:bCs w:val="1"/>
                <w:color w:val="auto"/>
                <w:w w:val="85"/>
              </w:rPr>
              <w:t>Issued</w:t>
            </w:r>
          </w:p>
        </w:tc>
        <w:tc>
          <w:tcPr>
            <w:tcW w:w="120" w:type="dxa"/>
            <w:vAlign w:val="bottom"/>
          </w:tcPr>
          <w:p>
            <w:pPr>
              <w:spacing w:after="0"/>
              <w:rPr>
                <w:sz w:val="16"/>
                <w:szCs w:val="16"/>
                <w:color w:val="auto"/>
              </w:rPr>
            </w:pPr>
          </w:p>
        </w:tc>
        <w:tc>
          <w:tcPr>
            <w:tcW w:w="1560" w:type="dxa"/>
            <w:vAlign w:val="bottom"/>
          </w:tcPr>
          <w:p>
            <w:pPr>
              <w:jc w:val="right"/>
              <w:ind w:right="180"/>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Pr>
          <w:p>
            <w:pPr>
              <w:spacing w:after="0"/>
              <w:rPr>
                <w:sz w:val="16"/>
                <w:szCs w:val="16"/>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2017</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940" w:type="dxa"/>
            <w:vAlign w:val="bottom"/>
            <w:tcBorders>
              <w:top w:val="single" w:sz="8" w:color="auto"/>
            </w:tcBorders>
            <w:gridSpan w:val="3"/>
          </w:tcPr>
          <w:p>
            <w:pPr>
              <w:jc w:val="right"/>
              <w:ind w:right="70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w:t>
            </w: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ind w:left="160"/>
              <w:spacing w:after="0"/>
              <w:rPr>
                <w:sz w:val="20"/>
                <w:szCs w:val="20"/>
                <w:color w:val="auto"/>
              </w:rPr>
            </w:pPr>
            <w:r>
              <w:rPr>
                <w:rFonts w:ascii="Arial" w:cs="Arial" w:eastAsia="Arial" w:hAnsi="Arial"/>
                <w:sz w:val="16"/>
                <w:szCs w:val="16"/>
                <w:i w:val="1"/>
                <w:iCs w:val="1"/>
                <w:color w:val="auto"/>
              </w:rPr>
              <w:t>Secured fixed rate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4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The Grove at Shrewsbury (West)</w:t>
            </w:r>
          </w:p>
        </w:tc>
        <w:tc>
          <w:tcPr>
            <w:tcW w:w="12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10,545</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March 1, 2018</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Rollingwood Apartments</w:t>
            </w:r>
          </w:p>
        </w:tc>
        <w:tc>
          <w:tcPr>
            <w:tcW w:w="1260" w:type="dxa"/>
            <w:vAlign w:val="bottom"/>
          </w:tcPr>
          <w:p>
            <w:pPr>
              <w:jc w:val="right"/>
              <w:ind w:right="140"/>
              <w:spacing w:after="0"/>
              <w:rPr>
                <w:sz w:val="20"/>
                <w:szCs w:val="20"/>
                <w:color w:val="auto"/>
              </w:rPr>
            </w:pPr>
            <w:r>
              <w:rPr>
                <w:rFonts w:ascii="Arial" w:cs="Arial" w:eastAsia="Arial" w:hAnsi="Arial"/>
                <w:sz w:val="16"/>
                <w:szCs w:val="16"/>
                <w:color w:val="auto"/>
              </w:rPr>
              <w:t>24,050</w:t>
            </w: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20,820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May 1, 2019</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The Shops at Sunset Place</w:t>
            </w:r>
          </w:p>
        </w:tc>
        <w:tc>
          <w:tcPr>
            <w:tcW w:w="12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66,603</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September 1, 2020</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29th Place</w:t>
            </w:r>
          </w:p>
        </w:tc>
        <w:tc>
          <w:tcPr>
            <w:tcW w:w="126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4,341</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January 31, 2021</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Sylmar Towne Center</w:t>
            </w:r>
          </w:p>
        </w:tc>
        <w:tc>
          <w:tcPr>
            <w:tcW w:w="12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17,362</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6, 2021</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Plaza Del Sol</w:t>
            </w:r>
          </w:p>
        </w:tc>
        <w:tc>
          <w:tcPr>
            <w:tcW w:w="126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8,579</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5.23%</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December 1, 2021</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THE AVENUE at White Marsh</w:t>
            </w:r>
          </w:p>
        </w:tc>
        <w:tc>
          <w:tcPr>
            <w:tcW w:w="12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52,705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52,705</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 2022</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Montrose Crossing</w:t>
            </w:r>
          </w:p>
        </w:tc>
        <w:tc>
          <w:tcPr>
            <w:tcW w:w="1260" w:type="dxa"/>
            <w:vAlign w:val="bottom"/>
          </w:tcPr>
          <w:p>
            <w:pPr>
              <w:jc w:val="right"/>
              <w:ind w:right="140"/>
              <w:spacing w:after="0"/>
              <w:rPr>
                <w:sz w:val="20"/>
                <w:szCs w:val="20"/>
                <w:color w:val="auto"/>
              </w:rPr>
            </w:pPr>
            <w:r>
              <w:rPr>
                <w:rFonts w:ascii="Arial" w:cs="Arial" w:eastAsia="Arial" w:hAnsi="Arial"/>
                <w:sz w:val="16"/>
                <w:szCs w:val="16"/>
                <w:color w:val="auto"/>
              </w:rPr>
              <w:t>80,000</w:t>
            </w: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71,054</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January 10, 2022</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Azalea</w:t>
            </w:r>
          </w:p>
        </w:tc>
        <w:tc>
          <w:tcPr>
            <w:tcW w:w="12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2025</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Bell Gardens</w:t>
            </w:r>
          </w:p>
        </w:tc>
        <w:tc>
          <w:tcPr>
            <w:tcW w:w="126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13,184</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August 1, 2026</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Plaza El Segundo</w:t>
            </w:r>
          </w:p>
        </w:tc>
        <w:tc>
          <w:tcPr>
            <w:tcW w:w="12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125,000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5, 2027</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The Grove at Shrewsbury (East)</w:t>
            </w:r>
          </w:p>
        </w:tc>
        <w:tc>
          <w:tcPr>
            <w:tcW w:w="1260" w:type="dxa"/>
            <w:vAlign w:val="bottom"/>
          </w:tcPr>
          <w:p>
            <w:pPr>
              <w:jc w:val="right"/>
              <w:ind w:right="140"/>
              <w:spacing w:after="0"/>
              <w:rPr>
                <w:sz w:val="20"/>
                <w:szCs w:val="20"/>
                <w:color w:val="auto"/>
              </w:rPr>
            </w:pPr>
            <w:r>
              <w:rPr>
                <w:rFonts w:ascii="Arial" w:cs="Arial" w:eastAsia="Arial" w:hAnsi="Arial"/>
                <w:sz w:val="16"/>
                <w:szCs w:val="16"/>
                <w:color w:val="auto"/>
              </w:rPr>
              <w:t>43,600</w:t>
            </w: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43,600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September 1, 2027</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Brook 35</w:t>
            </w:r>
          </w:p>
        </w:tc>
        <w:tc>
          <w:tcPr>
            <w:tcW w:w="12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11,500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1, 2029</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Chelsea</w:t>
            </w:r>
          </w:p>
        </w:tc>
        <w:tc>
          <w:tcPr>
            <w:tcW w:w="126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6,268</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5.36%</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491,561</w:t>
            </w: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920"/>
              <w:spacing w:after="0"/>
              <w:rPr>
                <w:sz w:val="20"/>
                <w:szCs w:val="20"/>
                <w:color w:val="auto"/>
              </w:rPr>
            </w:pPr>
            <w:r>
              <w:rPr>
                <w:rFonts w:ascii="Arial" w:cs="Arial" w:eastAsia="Arial" w:hAnsi="Arial"/>
                <w:sz w:val="16"/>
                <w:szCs w:val="16"/>
                <w:color w:val="auto"/>
              </w:rPr>
              <w:t>Net unamortized premium and debt issuance costs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Total mortgages payable</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491,505</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580" w:type="dxa"/>
            <w:vAlign w:val="bottom"/>
            <w:gridSpan w:val="2"/>
          </w:tcPr>
          <w:p>
            <w:pPr>
              <w:ind w:left="40"/>
              <w:spacing w:after="0"/>
              <w:rPr>
                <w:sz w:val="20"/>
                <w:szCs w:val="20"/>
                <w:color w:val="auto"/>
              </w:rPr>
            </w:pPr>
            <w:r>
              <w:rPr>
                <w:rFonts w:ascii="Arial" w:cs="Arial" w:eastAsia="Arial" w:hAnsi="Arial"/>
                <w:sz w:val="16"/>
                <w:szCs w:val="16"/>
                <w:b w:val="1"/>
                <w:bCs w:val="1"/>
                <w:color w:val="auto"/>
              </w:rPr>
              <w:t>Notes payable</w:t>
            </w:r>
          </w:p>
        </w:tc>
        <w:tc>
          <w:tcPr>
            <w:tcW w:w="1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i w:val="1"/>
                <w:iCs w:val="1"/>
                <w:color w:val="auto"/>
              </w:rPr>
              <w:t>Unsecured fixed rate</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Term Loan (1)</w:t>
            </w:r>
          </w:p>
        </w:tc>
        <w:tc>
          <w:tcPr>
            <w:tcW w:w="1260" w:type="dxa"/>
            <w:vAlign w:val="bottom"/>
          </w:tcPr>
          <w:p>
            <w:pPr>
              <w:jc w:val="right"/>
              <w:ind w:right="140"/>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20"/>
                <w:szCs w:val="20"/>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6"/>
                <w:szCs w:val="16"/>
                <w:color w:val="auto"/>
              </w:rPr>
              <w:t>LIBOR + 0.90%</w:t>
            </w:r>
          </w:p>
        </w:tc>
        <w:tc>
          <w:tcPr>
            <w:tcW w:w="1920" w:type="dxa"/>
            <w:vAlign w:val="bottom"/>
          </w:tcPr>
          <w:p>
            <w:pPr>
              <w:jc w:val="right"/>
              <w:spacing w:after="0"/>
              <w:rPr>
                <w:sz w:val="20"/>
                <w:szCs w:val="20"/>
                <w:color w:val="auto"/>
              </w:rPr>
            </w:pPr>
            <w:r>
              <w:rPr>
                <w:rFonts w:ascii="Arial" w:cs="Arial" w:eastAsia="Arial" w:hAnsi="Arial"/>
                <w:sz w:val="16"/>
                <w:szCs w:val="16"/>
                <w:color w:val="auto"/>
              </w:rPr>
              <w:t>November 21, 2018</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Various</w:t>
            </w:r>
          </w:p>
        </w:tc>
        <w:tc>
          <w:tcPr>
            <w:tcW w:w="12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7,239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4,819</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11.31%</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2028</w:t>
            </w:r>
          </w:p>
        </w:tc>
        <w:tc>
          <w:tcPr>
            <w:tcW w:w="0" w:type="dxa"/>
            <w:vAlign w:val="bottom"/>
          </w:tcPr>
          <w:p>
            <w:pPr>
              <w:spacing w:after="0"/>
              <w:rPr>
                <w:sz w:val="1"/>
                <w:szCs w:val="1"/>
                <w:color w:val="auto"/>
              </w:rPr>
            </w:pPr>
          </w:p>
        </w:tc>
      </w:tr>
      <w:tr>
        <w:trPr>
          <w:trHeight w:val="223"/>
        </w:trPr>
        <w:tc>
          <w:tcPr>
            <w:tcW w:w="4580" w:type="dxa"/>
            <w:vAlign w:val="bottom"/>
            <w:gridSpan w:val="2"/>
          </w:tcPr>
          <w:p>
            <w:pPr>
              <w:ind w:left="160"/>
              <w:spacing w:after="0"/>
              <w:rPr>
                <w:sz w:val="20"/>
                <w:szCs w:val="20"/>
                <w:color w:val="auto"/>
              </w:rPr>
            </w:pPr>
            <w:r>
              <w:rPr>
                <w:rFonts w:ascii="Arial" w:cs="Arial" w:eastAsia="Arial" w:hAnsi="Arial"/>
                <w:sz w:val="16"/>
                <w:szCs w:val="16"/>
                <w:i w:val="1"/>
                <w:iCs w:val="1"/>
                <w:color w:val="auto"/>
              </w:rPr>
              <w:t>Unsecured variable rate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4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Revolving credit facility (2)</w:t>
            </w:r>
          </w:p>
        </w:tc>
        <w:tc>
          <w:tcPr>
            <w:tcW w:w="12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800,000</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41,000</w:t>
            </w:r>
          </w:p>
        </w:tc>
        <w:tc>
          <w:tcPr>
            <w:tcW w:w="1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LIBOR + 0.825%</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20, 2020</w:t>
            </w:r>
          </w:p>
        </w:tc>
        <w:tc>
          <w:tcPr>
            <w:tcW w:w="0" w:type="dxa"/>
            <w:vAlign w:val="bottom"/>
          </w:tcPr>
          <w:p>
            <w:pPr>
              <w:spacing w:after="0"/>
              <w:rPr>
                <w:sz w:val="1"/>
                <w:szCs w:val="1"/>
                <w:color w:val="auto"/>
              </w:rPr>
            </w:pPr>
          </w:p>
        </w:tc>
      </w:tr>
      <w:tr>
        <w:trPr>
          <w:trHeight w:val="217"/>
        </w:trPr>
        <w:tc>
          <w:tcPr>
            <w:tcW w:w="4580" w:type="dxa"/>
            <w:vAlign w:val="bottom"/>
            <w:gridSpan w:val="2"/>
          </w:tcPr>
          <w:p>
            <w:pPr>
              <w:ind w:left="700"/>
              <w:spacing w:after="0"/>
              <w:rPr>
                <w:sz w:val="20"/>
                <w:szCs w:val="20"/>
                <w:color w:val="auto"/>
              </w:rPr>
            </w:pPr>
            <w:r>
              <w:rPr>
                <w:rFonts w:ascii="Arial" w:cs="Arial" w:eastAsia="Arial" w:hAnsi="Arial"/>
                <w:sz w:val="16"/>
                <w:szCs w:val="16"/>
                <w:color w:val="auto"/>
              </w:rPr>
              <w:t>Subtotal</w:t>
            </w:r>
          </w:p>
        </w:tc>
        <w:tc>
          <w:tcPr>
            <w:tcW w:w="1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320,819</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Net unamortized debt issuance costs</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580" w:type="dxa"/>
            <w:vAlign w:val="bottom"/>
            <w:gridSpan w:val="2"/>
          </w:tcPr>
          <w:p>
            <w:pPr>
              <w:ind w:left="700"/>
              <w:spacing w:after="0"/>
              <w:rPr>
                <w:sz w:val="20"/>
                <w:szCs w:val="20"/>
                <w:color w:val="auto"/>
              </w:rPr>
            </w:pPr>
            <w:r>
              <w:rPr>
                <w:rFonts w:ascii="Arial" w:cs="Arial" w:eastAsia="Arial" w:hAnsi="Arial"/>
                <w:sz w:val="16"/>
                <w:szCs w:val="16"/>
                <w:color w:val="auto"/>
              </w:rPr>
              <w:t>Total notes payable</w:t>
            </w:r>
          </w:p>
        </w:tc>
        <w:tc>
          <w:tcPr>
            <w:tcW w:w="1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320,265</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ind w:left="160"/>
              <w:spacing w:after="0"/>
              <w:rPr>
                <w:sz w:val="20"/>
                <w:szCs w:val="20"/>
                <w:color w:val="auto"/>
              </w:rPr>
            </w:pPr>
            <w:r>
              <w:rPr>
                <w:rFonts w:ascii="Arial" w:cs="Arial" w:eastAsia="Arial" w:hAnsi="Arial"/>
                <w:sz w:val="16"/>
                <w:szCs w:val="16"/>
                <w:i w:val="1"/>
                <w:iCs w:val="1"/>
                <w:color w:val="auto"/>
              </w:rPr>
              <w:t>Unsecured fixed rate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4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2.55% notes</w:t>
            </w:r>
          </w:p>
        </w:tc>
        <w:tc>
          <w:tcPr>
            <w:tcW w:w="12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2021</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3.00% notes</w:t>
            </w:r>
          </w:p>
        </w:tc>
        <w:tc>
          <w:tcPr>
            <w:tcW w:w="1260" w:type="dxa"/>
            <w:vAlign w:val="bottom"/>
          </w:tcPr>
          <w:p>
            <w:pPr>
              <w:jc w:val="right"/>
              <w:ind w:right="140"/>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250,000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August 1, 2022</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2.75% notes</w:t>
            </w:r>
          </w:p>
        </w:tc>
        <w:tc>
          <w:tcPr>
            <w:tcW w:w="12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275,000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1, 2023</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3.95% notes</w:t>
            </w:r>
          </w:p>
        </w:tc>
        <w:tc>
          <w:tcPr>
            <w:tcW w:w="1260" w:type="dxa"/>
            <w:vAlign w:val="bottom"/>
          </w:tcPr>
          <w:p>
            <w:pPr>
              <w:jc w:val="right"/>
              <w:ind w:right="140"/>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300,000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January 15, 2024</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7.48% debentures</w:t>
            </w:r>
          </w:p>
        </w:tc>
        <w:tc>
          <w:tcPr>
            <w:tcW w:w="12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29,200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3.25% notes</w:t>
            </w:r>
          </w:p>
        </w:tc>
        <w:tc>
          <w:tcPr>
            <w:tcW w:w="1260" w:type="dxa"/>
            <w:vAlign w:val="bottom"/>
          </w:tcPr>
          <w:p>
            <w:pPr>
              <w:jc w:val="right"/>
              <w:ind w:right="140"/>
              <w:spacing w:after="0"/>
              <w:rPr>
                <w:sz w:val="20"/>
                <w:szCs w:val="20"/>
                <w:color w:val="auto"/>
              </w:rPr>
            </w:pPr>
            <w:r>
              <w:rPr>
                <w:rFonts w:ascii="Arial" w:cs="Arial" w:eastAsia="Arial" w:hAnsi="Arial"/>
                <w:sz w:val="16"/>
                <w:szCs w:val="16"/>
                <w:color w:val="auto"/>
              </w:rPr>
              <w:t>475,000</w:t>
            </w: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475,000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July 15, 2027</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6.82% medium term notes</w:t>
            </w:r>
          </w:p>
        </w:tc>
        <w:tc>
          <w:tcPr>
            <w:tcW w:w="12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4.50% notes</w:t>
            </w:r>
          </w:p>
        </w:tc>
        <w:tc>
          <w:tcPr>
            <w:tcW w:w="1260" w:type="dxa"/>
            <w:vAlign w:val="bottom"/>
          </w:tcPr>
          <w:p>
            <w:pPr>
              <w:jc w:val="right"/>
              <w:ind w:right="140"/>
              <w:spacing w:after="0"/>
              <w:rPr>
                <w:sz w:val="20"/>
                <w:szCs w:val="20"/>
                <w:color w:val="auto"/>
              </w:rPr>
            </w:pPr>
            <w:r>
              <w:rPr>
                <w:rFonts w:ascii="Arial" w:cs="Arial" w:eastAsia="Arial" w:hAnsi="Arial"/>
                <w:sz w:val="16"/>
                <w:szCs w:val="16"/>
                <w:color w:val="auto"/>
              </w:rPr>
              <w:t>550,000</w:t>
            </w: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550,000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December 1, 2044</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3.625% notes</w:t>
            </w:r>
          </w:p>
        </w:tc>
        <w:tc>
          <w:tcPr>
            <w:tcW w:w="12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3.625%</w:t>
            </w: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2046</w:t>
            </w:r>
          </w:p>
        </w:tc>
        <w:tc>
          <w:tcPr>
            <w:tcW w:w="0" w:type="dxa"/>
            <w:vAlign w:val="bottom"/>
          </w:tcPr>
          <w:p>
            <w:pPr>
              <w:spacing w:after="0"/>
              <w:rPr>
                <w:sz w:val="1"/>
                <w:szCs w:val="1"/>
                <w:color w:val="auto"/>
              </w:rPr>
            </w:pPr>
          </w:p>
        </w:tc>
      </w:tr>
      <w:tr>
        <w:trPr>
          <w:trHeight w:val="217"/>
        </w:trPr>
        <w:tc>
          <w:tcPr>
            <w:tcW w:w="4580" w:type="dxa"/>
            <w:vAlign w:val="bottom"/>
            <w:gridSpan w:val="2"/>
          </w:tcPr>
          <w:p>
            <w:pPr>
              <w:ind w:left="700"/>
              <w:spacing w:after="0"/>
              <w:rPr>
                <w:sz w:val="20"/>
                <w:szCs w:val="20"/>
                <w:color w:val="auto"/>
              </w:rPr>
            </w:pPr>
            <w:r>
              <w:rPr>
                <w:rFonts w:ascii="Arial" w:cs="Arial" w:eastAsia="Arial" w:hAnsi="Arial"/>
                <w:sz w:val="16"/>
                <w:szCs w:val="16"/>
                <w:color w:val="auto"/>
              </w:rPr>
              <w:t>Subtotal</w:t>
            </w:r>
          </w:p>
        </w:tc>
        <w:tc>
          <w:tcPr>
            <w:tcW w:w="1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2,419,200</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Net unamortized discount and debt issuance costs</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(17,760)</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580" w:type="dxa"/>
            <w:vAlign w:val="bottom"/>
            <w:gridSpan w:val="2"/>
          </w:tcPr>
          <w:p>
            <w:pPr>
              <w:ind w:left="700"/>
              <w:spacing w:after="0"/>
              <w:rPr>
                <w:sz w:val="20"/>
                <w:szCs w:val="20"/>
                <w:color w:val="auto"/>
              </w:rPr>
            </w:pPr>
            <w:r>
              <w:rPr>
                <w:rFonts w:ascii="Arial" w:cs="Arial" w:eastAsia="Arial" w:hAnsi="Arial"/>
                <w:sz w:val="16"/>
                <w:szCs w:val="16"/>
                <w:color w:val="auto"/>
              </w:rPr>
              <w:t>Total senior notes and debentures</w:t>
            </w:r>
          </w:p>
        </w:tc>
        <w:tc>
          <w:tcPr>
            <w:tcW w:w="1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2,401,440</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Capital lease obligations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600"/>
              <w:spacing w:after="0"/>
              <w:rPr>
                <w:sz w:val="20"/>
                <w:szCs w:val="20"/>
                <w:color w:val="auto"/>
              </w:rPr>
            </w:pPr>
            <w:r>
              <w:rPr>
                <w:rFonts w:ascii="Arial" w:cs="Arial" w:eastAsia="Arial" w:hAnsi="Arial"/>
                <w:sz w:val="16"/>
                <w:szCs w:val="16"/>
                <w:color w:val="auto"/>
              </w:rPr>
              <w:t>Various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71,556</w:t>
            </w:r>
          </w:p>
        </w:tc>
        <w:tc>
          <w:tcPr>
            <w:tcW w:w="100" w:type="dxa"/>
            <w:vAlign w:val="bottom"/>
          </w:tcPr>
          <w:p>
            <w:pPr>
              <w:spacing w:after="0"/>
              <w:rPr>
                <w:sz w:val="20"/>
                <w:szCs w:val="20"/>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6"/>
                <w:szCs w:val="16"/>
                <w:color w:val="auto"/>
              </w:rPr>
              <w:t>Various</w:t>
            </w:r>
          </w:p>
        </w:tc>
        <w:tc>
          <w:tcPr>
            <w:tcW w:w="1920" w:type="dxa"/>
            <w:vAlign w:val="bottom"/>
          </w:tcPr>
          <w:p>
            <w:pPr>
              <w:jc w:val="right"/>
              <w:spacing w:after="0"/>
              <w:rPr>
                <w:sz w:val="20"/>
                <w:szCs w:val="20"/>
                <w:color w:val="auto"/>
              </w:rPr>
            </w:pPr>
            <w:r>
              <w:rPr>
                <w:rFonts w:ascii="Arial" w:cs="Arial" w:eastAsia="Arial" w:hAnsi="Arial"/>
                <w:sz w:val="16"/>
                <w:szCs w:val="16"/>
                <w:color w:val="auto"/>
              </w:rPr>
              <w:t>Various through 2106</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and capital lease obligations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3,284,766</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180" w:hanging="652"/>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entered into two interest rate swap agreements that fix the LIBOR portion of the interest rate on the term loan at 1.72%. The spread on the term loan is 90 basis points resulting in a fixed rate of 2.62%.</w:t>
      </w:r>
    </w:p>
    <w:p>
      <w:pPr>
        <w:spacing w:after="0" w:line="7"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during 2017 was $344.0 million and the weighted average effective interest rate on borrowings under our revolving credit facility, before amortization of debt fees, was 1.9%.</w:t>
      </w:r>
    </w:p>
    <w:p>
      <w:pPr>
        <w:sectPr>
          <w:pgSz w:w="11900" w:h="16838" w:orient="portrait"/>
          <w:cols w:equalWidth="0" w:num="1">
            <w:col w:w="11420"/>
          </w:cols>
          <w:pgMar w:left="240" w:top="126" w:right="239" w:bottom="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6" w:right="239" w:bottom="0" w:gutter="0" w:footer="0" w:header="0"/>
          <w:type w:val="continuous"/>
        </w:sectPr>
      </w:pPr>
    </w:p>
    <w:bookmarkStart w:id="48" w:name="page49"/>
    <w:bookmarkEnd w:id="48"/>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revolving credit facility, term loan and other debt agreements include financial and other covenants that may limit our operating activities in the future. As of December 31, 2017, we were in compliance with all of the financial and other covenants related to our revolving credit facility, term loan, and senior notes. Additionally, as of December 31, 2017, we were in compliance with all of the financial and other covenants that could trigger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December 31, 2017:</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Unsecured</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Secured</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Capital Lease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2018</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275,506</w:t>
            </w: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16,228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291,775</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563</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25,820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26,425</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2020</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41,624</w:t>
            </w: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65,539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107,209</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250,694</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30,541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281,286</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250,771</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117,018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367,845</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1,920,861</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236,415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71,320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2,228,596</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2,740,019</w:t>
            </w:r>
          </w:p>
        </w:tc>
        <w:tc>
          <w:tcPr>
            <w:tcW w:w="4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491,561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71,556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3,303,136</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$275.0 million unsecured term loan matures on November 21, 2018, subject to a one-year extension at our option.</w:t>
      </w:r>
    </w:p>
    <w:p>
      <w:pPr>
        <w:spacing w:after="0" w:line="62" w:lineRule="exact"/>
        <w:rPr>
          <w:rFonts w:ascii="Arial" w:cs="Arial" w:eastAsia="Arial" w:hAnsi="Arial"/>
          <w:sz w:val="18"/>
          <w:szCs w:val="18"/>
          <w:color w:val="auto"/>
        </w:rPr>
      </w:pPr>
    </w:p>
    <w:p>
      <w:pPr>
        <w:ind w:left="660" w:right="80" w:hanging="652"/>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$800.0 million revolving credit facility matures on April 20, 2020, subject to two six-month extensions at our option. As of December 31, 2017, there was $41.0 million outstanding under this credit facility.</w:t>
      </w:r>
    </w:p>
    <w:p>
      <w:pPr>
        <w:spacing w:after="0" w:line="7" w:lineRule="exact"/>
        <w:rPr>
          <w:rFonts w:ascii="Arial" w:cs="Arial" w:eastAsia="Arial" w:hAnsi="Arial"/>
          <w:sz w:val="18"/>
          <w:szCs w:val="18"/>
          <w:color w:val="auto"/>
        </w:rPr>
      </w:pPr>
    </w:p>
    <w:p>
      <w:pPr>
        <w:ind w:left="660" w:right="280" w:hanging="652"/>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premium/(discount) and debt issuance costs on mortgage loans, notes payable, and senior notes as of December 31,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other comprehensive income (loss) which is included in accumulated other comprehensive income (loss) on our consolidated balance sheet and our consolidated statement of shareholders' equity.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 worthiness of the counterparty which includes reviewing debt ratings and financial performance. However, management does not anticipate non-performance by the counterparty. If a cash flow hedge is deemed ineffective, the ineffective portion of changes in fair value of the interest rate swaps associated with our cash flow hedges is recognized in earnings in the period affected.</w:t>
      </w:r>
    </w:p>
    <w:p>
      <w:pPr>
        <w:spacing w:after="0" w:line="11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As of December 31, 2017, we are party to two interest rate swap agreements that effectively fixed the rate on the term loan at 2.62%. Both swaps were designated and qualified as cash flow hedges and were recorded at fair value. Hedge ineffectiveness has not impacted earnings in 2017, 2016 and 2015, and we do not anticipate it will have a significant effect in the future.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6" w:right="239"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9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extraordinary items and gains and losses on the sale of real estate, and impairment write-downs of depreciable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13" w:lineRule="exact"/>
        <w:rPr>
          <w:sz w:val="20"/>
          <w:szCs w:val="20"/>
          <w:color w:val="auto"/>
        </w:rPr>
      </w:pPr>
    </w:p>
    <w:p>
      <w:pPr>
        <w:ind w:left="1700" w:right="460" w:hanging="802"/>
        <w:spacing w:after="0" w:line="277" w:lineRule="auto"/>
        <w:tabs>
          <w:tab w:leader="none" w:pos="1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7" w:lineRule="exact"/>
        <w:rPr>
          <w:rFonts w:ascii="Arial" w:cs="Arial" w:eastAsia="Arial" w:hAnsi="Arial"/>
          <w:sz w:val="18"/>
          <w:szCs w:val="18"/>
          <w:color w:val="auto"/>
        </w:rPr>
      </w:pPr>
    </w:p>
    <w:p>
      <w:pPr>
        <w:ind w:left="1700" w:hanging="802"/>
        <w:spacing w:after="0"/>
        <w:tabs>
          <w:tab w:leader="none" w:pos="1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2" w:lineRule="exact"/>
        <w:rPr>
          <w:rFonts w:ascii="Arial" w:cs="Arial" w:eastAsia="Arial" w:hAnsi="Arial"/>
          <w:sz w:val="18"/>
          <w:szCs w:val="18"/>
          <w:color w:val="auto"/>
        </w:rPr>
      </w:pPr>
    </w:p>
    <w:p>
      <w:pPr>
        <w:ind w:left="1700" w:hanging="802"/>
        <w:spacing w:after="0"/>
        <w:tabs>
          <w:tab w:leader="none" w:pos="17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center"/>
              <w:ind w:left="434"/>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4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196"/>
        </w:trPr>
        <w:tc>
          <w:tcPr>
            <w:tcW w:w="7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80" w:type="dxa"/>
            <w:vAlign w:val="bottom"/>
            <w:gridSpan w:val="6"/>
          </w:tcPr>
          <w:p>
            <w:pPr>
              <w:jc w:val="center"/>
              <w:ind w:left="434"/>
              <w:spacing w:after="0"/>
              <w:rPr>
                <w:sz w:val="20"/>
                <w:szCs w:val="20"/>
                <w:color w:val="auto"/>
              </w:rPr>
            </w:pPr>
            <w:r>
              <w:rPr>
                <w:rFonts w:ascii="Arial" w:cs="Arial" w:eastAsia="Arial" w:hAnsi="Arial"/>
                <w:sz w:val="14"/>
                <w:szCs w:val="14"/>
                <w:b w:val="1"/>
                <w:bCs w:val="1"/>
                <w:color w:val="auto"/>
                <w:w w:val="91"/>
              </w:rPr>
              <w:t>(In thousands, except per share data)</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297,870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258,883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218,424</w:t>
            </w:r>
          </w:p>
        </w:tc>
        <w:tc>
          <w:tcPr>
            <w:tcW w:w="0" w:type="dxa"/>
            <w:vAlign w:val="bottom"/>
          </w:tcPr>
          <w:p>
            <w:pPr>
              <w:spacing w:after="0"/>
              <w:rPr>
                <w:sz w:val="1"/>
                <w:szCs w:val="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(8,973)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(8,205)</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(28,330)</w:t>
            </w:r>
          </w:p>
        </w:tc>
        <w:tc>
          <w:tcPr>
            <w:tcW w:w="0" w:type="dxa"/>
            <w:vAlign w:val="bottom"/>
          </w:tcPr>
          <w:p>
            <w:pPr>
              <w:spacing w:after="0"/>
              <w:rPr>
                <w:sz w:val="1"/>
                <w:szCs w:val="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3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188,719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169,198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154,232</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19,124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16,875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15,026</w:t>
            </w:r>
          </w:p>
        </w:tc>
        <w:tc>
          <w:tcPr>
            <w:tcW w:w="0" w:type="dxa"/>
            <w:vAlign w:val="bottom"/>
          </w:tcPr>
          <w:p>
            <w:pPr>
              <w:spacing w:after="0"/>
              <w:rPr>
                <w:sz w:val="1"/>
                <w:szCs w:val="1"/>
                <w:color w:val="auto"/>
              </w:rPr>
            </w:pPr>
          </w:p>
        </w:tc>
      </w:tr>
      <w:tr>
        <w:trPr>
          <w:trHeight w:val="236"/>
        </w:trPr>
        <w:tc>
          <w:tcPr>
            <w:tcW w:w="7420" w:type="dxa"/>
            <w:vAlign w:val="bottom"/>
          </w:tcPr>
          <w:p>
            <w:pPr>
              <w:ind w:left="380"/>
              <w:spacing w:after="0"/>
              <w:rPr>
                <w:sz w:val="20"/>
                <w:szCs w:val="20"/>
                <w:color w:val="auto"/>
              </w:rPr>
            </w:pPr>
            <w:r>
              <w:rPr>
                <w:rFonts w:ascii="Arial" w:cs="Arial" w:eastAsia="Arial" w:hAnsi="Arial"/>
                <w:sz w:val="18"/>
                <w:szCs w:val="18"/>
                <w:color w:val="auto"/>
              </w:rPr>
              <w:t>Funds from operations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420,125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404,850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351,147</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on preferred shares (1)</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3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3,143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3,145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3,398</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36"/>
        </w:trPr>
        <w:tc>
          <w:tcPr>
            <w:tcW w:w="7420" w:type="dxa"/>
            <w:vAlign w:val="bottom"/>
          </w:tcPr>
          <w:p>
            <w:pPr>
              <w:ind w:left="380"/>
              <w:spacing w:after="0"/>
              <w:rPr>
                <w:sz w:val="20"/>
                <w:szCs w:val="20"/>
                <w:color w:val="auto"/>
              </w:rPr>
            </w:pPr>
            <w:r>
              <w:rPr>
                <w:rFonts w:ascii="Arial" w:cs="Arial" w:eastAsia="Arial" w:hAnsi="Arial"/>
                <w:sz w:val="18"/>
                <w:szCs w:val="18"/>
                <w:color w:val="auto"/>
              </w:rPr>
              <w:t>Funds from operations available for common shareholders (2)</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419,977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406,359</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352,857</w:t>
            </w:r>
          </w:p>
        </w:tc>
        <w:tc>
          <w:tcPr>
            <w:tcW w:w="0" w:type="dxa"/>
            <w:vAlign w:val="bottom"/>
          </w:tcPr>
          <w:p>
            <w:pPr>
              <w:spacing w:after="0"/>
              <w:rPr>
                <w:sz w:val="1"/>
                <w:szCs w:val="1"/>
                <w:color w:val="auto"/>
              </w:rPr>
            </w:pPr>
          </w:p>
        </w:tc>
      </w:tr>
      <w:tr>
        <w:trPr>
          <w:trHeight w:val="67"/>
        </w:trPr>
        <w:tc>
          <w:tcPr>
            <w:tcW w:w="74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number of common shares, diluted (1)</w:t>
            </w: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73,122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71,869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69,920</w:t>
            </w:r>
          </w:p>
        </w:tc>
        <w:tc>
          <w:tcPr>
            <w:tcW w:w="0" w:type="dxa"/>
            <w:vAlign w:val="bottom"/>
          </w:tcPr>
          <w:p>
            <w:pPr>
              <w:spacing w:after="0"/>
              <w:rPr>
                <w:sz w:val="1"/>
                <w:szCs w:val="1"/>
                <w:color w:val="auto"/>
              </w:rPr>
            </w:pPr>
          </w:p>
        </w:tc>
      </w:tr>
      <w:tr>
        <w:trPr>
          <w:trHeight w:val="324"/>
        </w:trPr>
        <w:tc>
          <w:tcPr>
            <w:tcW w:w="7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Funds from operations available for common shareholders, per diluted share (2)</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660" w:right="260" w:hanging="652"/>
        <w:spacing w:after="0" w:line="263"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the year ended December 31, 2017, dividends on our Series 1 preferred stock are not deducted in the calculation of FFO available to common shareholders, as the related shares are dilutive and included in "weighted average common shares, diluted." The weighted average common shares used to compute FFO per diluted common share also includes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6" w:right="2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ind w:left="660"/>
        <w:spacing w:after="0" w:line="331" w:lineRule="auto"/>
        <w:rPr>
          <w:sz w:val="20"/>
          <w:szCs w:val="20"/>
          <w:color w:val="auto"/>
        </w:rPr>
      </w:pPr>
      <w:r>
        <w:rPr>
          <w:rFonts w:ascii="Arial" w:cs="Arial" w:eastAsia="Arial" w:hAnsi="Arial"/>
          <w:sz w:val="17"/>
          <w:szCs w:val="17"/>
          <w:color w:val="auto"/>
        </w:rPr>
        <w:t>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jc w:val="both"/>
        <w:ind w:left="660" w:right="460" w:hanging="652"/>
        <w:spacing w:after="0" w:line="263"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the $12.3 million and the $19.1 million early extinguishment of debt charge incurred in 2017 and 2015, respectively, was excluded, our FFO available for common shareholders for 2017 and 2015 would have been $432.2 million and $371.9 million, respectively, and FFO available for common shareholders, per diluted share would have been $5.91 and $5.32, respectively.</w:t>
      </w:r>
    </w:p>
    <w:p>
      <w:pPr>
        <w:spacing w:after="0" w:line="2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As of December 31, 2017, we were party to two interest rate swap agreements that effectively fix the rate on the $275.0 million term loan at 2.62%.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majority of our outstanding debt obligations (maturing at various times through 2046 or, with respect to capital lease obligations through 2106) have fixed interest rates which limit the risk of fluctuating interest rates. However, interest rate fluctuations may affect the fair value of our fixed rate debt instruments. At December 31, 2017, we had $3.2 billion of fixed-rate debt outstanding, including our $275.0 million term loan as the rate is effectively fixed by two interest rate swap agreements; we also had capital lease obligations of $71.6 million. If market interest rates used to calculate the fair value on our fixed-rate debt instruments at December 31, 2017 had been 1.0% higher, the fair value of those debt instruments on that date would have decreased by approximately $239.4 million. If market interest rates used to calculate the fair value on our fixed-rate debt instruments at December 31, 2017 had been 1.0% lower, the fair value of those debt instruments on that date would have increased by approximately $276.4 million.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Generally, we believe that our primary interest rate risk is due to fluctuations in interest rates on our variable rate debt. At December 31, 2017, we had $41.0 million of variable rate debt outstanding. Based upon this amount of variable rate debt and the specific terms, if market interest rates increased 1.0%, our annual interest expense woud increase by approximately $0.4 million with a corresponding decrease in our net income and cash flows for the year. Conversely, if market rates decreased 1.0%, our annual interest expense would decrease by approximately $0.4 million with a corresponding increase in our net income and cash flows for the year.</w:t>
      </w:r>
    </w:p>
    <w:p>
      <w:pPr>
        <w:spacing w:after="0" w:line="21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consolidated financial statements and supplementary data are included as a separate section of this Annual Report on Form 10-K commencing on page F-1 and are incorporated herein by reference.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6" w:right="25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right="1080"/>
        <w:spacing w:after="0" w:line="375"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9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Trust maintains disclosure controls and procedures (as defined in Rule 13a-15(e) and 15d-15(e) under the Securities Exchange Act of 1934, as amended (the "Exchange Act")) that are designed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the Trust’s management, including its Chief Executive Officer and Chief Financial Officer, as appropriate to allow timely decisions regarding required disclosures. Because of inherent limitations, disclosure controls and procedures, no matter how well designed and operated, can provide only reasonable, and not absolute, assurance that the objectives of disclosure controls and procedures are met.</w:t>
      </w:r>
    </w:p>
    <w:p>
      <w:pPr>
        <w:spacing w:after="0" w:line="2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management, with the participation of the Trust’s Chief Executive Officer and Chief Financial Officer, evaluated the effectiveness of the design and operation of the Trust’s disclosure controls and procedures as of December 31, 2017. Based on that evaluation, the Trust’s Chief Executive Officer and Chief Financial Officer concluded that, as of December 31, 2017, the Trust’s disclosure controls and procedures were effective at a reasonable assurance level.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9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Trust’s management is responsible for establishing and maintaining adequate internal control over financial reporting. Internal control over financial reporting is defined in Rule 13a-15(f) and 15d-15(f) under the Exchange Act as a process designed by, or under the supervision of, the Trust’s principal executive and principal financial officers and effected by our Board of Trustees, management and other personnel, to provide reasonable assurance regarding the reliability of financial reporting and the preparation of financial statements for external purposes in accordance with generally accepted accounting principles in the United States of America (GAAP) and includes those policies and procedures that:</w:t>
      </w:r>
    </w:p>
    <w:p>
      <w:pPr>
        <w:spacing w:after="0" w:line="13"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our transactions and disposition of our assets;</w:t>
      </w:r>
    </w:p>
    <w:p>
      <w:pPr>
        <w:spacing w:after="0" w:line="34" w:lineRule="exact"/>
        <w:rPr>
          <w:rFonts w:ascii="Arial" w:cs="Arial" w:eastAsia="Arial" w:hAnsi="Arial"/>
          <w:sz w:val="17"/>
          <w:szCs w:val="17"/>
          <w:color w:val="auto"/>
        </w:rPr>
      </w:pPr>
    </w:p>
    <w:p>
      <w:pPr>
        <w:ind w:left="660" w:right="80" w:hanging="328"/>
        <w:spacing w:after="0" w:line="250"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 of management and our Trustees; and</w:t>
      </w:r>
    </w:p>
    <w:p>
      <w:pPr>
        <w:ind w:left="660" w:right="700" w:hanging="328"/>
        <w:spacing w:after="0" w:line="260"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We assessed the effectiveness of the Trust’s internal control over financial reporting as of December 31, 2017. In making this assessment, we used the criteria set forth by the Committee of Sponsoring Organizations of the Treadway Commission (COSO)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Based on that assessment and criteria, management concluded that the Trust's internal control over financial reporting was effective as of December 31, 2017.</w:t>
      </w:r>
    </w:p>
    <w:p>
      <w:pPr>
        <w:spacing w:after="0" w:line="40" w:lineRule="exact"/>
        <w:rPr>
          <w:sz w:val="20"/>
          <w:szCs w:val="20"/>
          <w:color w:val="auto"/>
        </w:rPr>
      </w:pPr>
    </w:p>
    <w:p>
      <w:pPr>
        <w:ind w:right="2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Grant Thornton LLP, the independent registered public accounting firm that audited the Trust's consolidated financial statements included in this Annual Report on Form 10-K, has issued an attestation report on the Trust's internal control over financial reporting, which appears on page </w:t>
      </w:r>
      <w:hyperlink w:anchor="page60">
        <w:r>
          <w:rPr>
            <w:rFonts w:ascii="Arial" w:cs="Arial" w:eastAsia="Arial" w:hAnsi="Arial"/>
            <w:sz w:val="18"/>
            <w:szCs w:val="18"/>
            <w:u w:val="single" w:color="auto"/>
            <w:color w:val="0000EE"/>
          </w:rPr>
          <w:t>F-2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Annual Report on Form 10-K.</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our fourth fiscal quarter of 2017 that materially affected, or is reasonably likely to materially affect, our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6" w:right="23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Certain information required in Part III is omitted from this Report but is incorporated herein by reference from our Proxy Statement for the 2018 Annual Meeting of Shareholders (as amended or supplemented, the “Proxy Statement”).</w:t>
      </w:r>
    </w:p>
    <w:p>
      <w:pPr>
        <w:spacing w:after="0" w:line="19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TRUSTEES, EXECUTIVE OFFICERS AND CORPORATE GOVERNANCE</w:t>
      </w:r>
    </w:p>
    <w:p>
      <w:pPr>
        <w:spacing w:after="0" w:line="9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tables and narrative in the Proxy Statement identifying our Trustees and Board committees under the caption “Election of Trustees” and “Corporate Governance”, the sections of the Proxy Statement entitled “Executive Officers” and “Section 16(a) Beneficial Ownership Reporting Compliance” and other information included in the Proxy Statement required by this Item 10 are incorporated herein by reference.</w:t>
      </w:r>
    </w:p>
    <w:p>
      <w:pPr>
        <w:spacing w:after="0" w:line="1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We have adopted a Code of Ethics, which is applicable to our Chief Executive Officer and senior financial officers. The Code of Ethics is available in the Corporate Governance section of the Investors section of our website at </w:t>
      </w:r>
      <w:r>
        <w:rPr>
          <w:rFonts w:ascii="Arial" w:cs="Arial" w:eastAsia="Arial" w:hAnsi="Arial"/>
          <w:sz w:val="18"/>
          <w:szCs w:val="18"/>
          <w:i w:val="1"/>
          <w:iCs w:val="1"/>
          <w:color w:val="auto"/>
        </w:rPr>
        <w:t>www.federalrealty.com</w:t>
      </w:r>
      <w:r>
        <w:rPr>
          <w:rFonts w:ascii="Arial" w:cs="Arial" w:eastAsia="Arial" w:hAnsi="Arial"/>
          <w:sz w:val="18"/>
          <w:szCs w:val="18"/>
          <w:color w:val="auto"/>
        </w:rPr>
        <w:t>.</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9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sections of the Proxy Statement entitled “Summary Compensation Table,” “Compensation Committee Interlocks and Insider Participation,” “Compensation Committee Report,” “Trustee Compensation” and “Compensation Discussion and Analysis” and other information included in the Proxy Statement required by this Item 11 are incorporated herein by reference.</w:t>
      </w:r>
    </w:p>
    <w:p>
      <w:pPr>
        <w:spacing w:after="0" w:line="206" w:lineRule="exact"/>
        <w:rPr>
          <w:sz w:val="20"/>
          <w:szCs w:val="20"/>
          <w:color w:val="auto"/>
        </w:rPr>
      </w:pPr>
    </w:p>
    <w:p>
      <w:pPr>
        <w:ind w:right="560"/>
        <w:spacing w:after="0" w:line="28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3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sections of the Proxy Statement entitled “Share Ownership” and “Equity Compensation Plan Information” and other information included in the Proxy Statement required by this Item 12 are incorporated herein by reference.</w:t>
      </w:r>
    </w:p>
    <w:p>
      <w:pPr>
        <w:spacing w:after="0" w:line="19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TRUSTEE INDEPENDENCE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sections of the Proxy Statement entitled “Certain Relationship and Related Transactions” and “Independence of Trustees” and other information included in the Proxy Statement required by this Item 13 are incorporated herein by reference.</w:t>
      </w:r>
    </w:p>
    <w:p>
      <w:pPr>
        <w:spacing w:after="0" w:line="19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94" w:lineRule="exact"/>
        <w:rPr>
          <w:sz w:val="20"/>
          <w:szCs w:val="20"/>
          <w:color w:val="auto"/>
        </w:rPr>
      </w:pPr>
    </w:p>
    <w:p>
      <w:pPr>
        <w:ind w:right="280"/>
        <w:spacing w:after="0" w:line="341" w:lineRule="auto"/>
        <w:rPr>
          <w:sz w:val="20"/>
          <w:szCs w:val="20"/>
          <w:color w:val="auto"/>
        </w:rPr>
      </w:pPr>
      <w:r>
        <w:rPr>
          <w:rFonts w:ascii="Arial" w:cs="Arial" w:eastAsia="Arial" w:hAnsi="Arial"/>
          <w:sz w:val="16"/>
          <w:szCs w:val="16"/>
          <w:color w:val="auto"/>
        </w:rPr>
        <w:t>The sections of the Proxy Statement entitled “Ratification of Independent Registered Public Accounting Firm” and “Relationship with Independent Registered Public Accounting Firm” and other information included in the Proxy Statement required by this Item 14 are incorporated herein by reference.</w:t>
      </w:r>
    </w:p>
    <w:p>
      <w:pPr>
        <w:spacing w:after="0" w:line="20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(a)(1) Financial Statements</w:t>
      </w:r>
    </w:p>
    <w:p>
      <w:pPr>
        <w:spacing w:after="0" w:line="229" w:lineRule="exact"/>
        <w:rPr>
          <w:sz w:val="20"/>
          <w:szCs w:val="20"/>
          <w:color w:val="auto"/>
        </w:rPr>
      </w:pPr>
    </w:p>
    <w:p>
      <w:pPr>
        <w:ind w:left="40" w:right="8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Our consolidated financial statements and notes thereto, together with Reports of Independent Registered Public Accounting Firm are included as a separate section of this Annual Report on Form 10-K commencing on page </w:t>
      </w:r>
      <w:hyperlink w:anchor="page59">
        <w:r>
          <w:rPr>
            <w:rFonts w:ascii="Arial" w:cs="Arial" w:eastAsia="Arial" w:hAnsi="Arial"/>
            <w:sz w:val="18"/>
            <w:szCs w:val="18"/>
            <w:u w:val="single" w:color="auto"/>
            <w:color w:val="0000EE"/>
          </w:rPr>
          <w:t>F-1</w:t>
        </w:r>
      </w:hyperlink>
      <w:r>
        <w:rPr>
          <w:rFonts w:ascii="Arial" w:cs="Arial" w:eastAsia="Arial" w:hAnsi="Arial"/>
          <w:sz w:val="18"/>
          <w:szCs w:val="18"/>
          <w:color w:val="auto"/>
        </w:rPr>
        <w:t>.</w:t>
      </w:r>
    </w:p>
    <w:p>
      <w:pPr>
        <w:spacing w:after="0" w:line="200" w:lineRule="exact"/>
        <w:rPr>
          <w:sz w:val="20"/>
          <w:szCs w:val="20"/>
          <w:color w:val="auto"/>
        </w:rPr>
      </w:pP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Financial Statement Schedules</w:t>
      </w:r>
    </w:p>
    <w:p>
      <w:pPr>
        <w:spacing w:after="0" w:line="148" w:lineRule="exact"/>
        <w:rPr>
          <w:sz w:val="20"/>
          <w:szCs w:val="20"/>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 xml:space="preserve">Our financial statement schedules are included in a separate section of this Annual Report on Form 10-K commencing on page </w:t>
      </w:r>
      <w:hyperlink w:anchor="page89">
        <w:r>
          <w:rPr>
            <w:rFonts w:ascii="Arial" w:cs="Arial" w:eastAsia="Arial" w:hAnsi="Arial"/>
            <w:sz w:val="18"/>
            <w:szCs w:val="18"/>
            <w:u w:val="single" w:color="auto"/>
            <w:color w:val="0000EE"/>
          </w:rPr>
          <w:t>F-31</w:t>
        </w:r>
      </w:hyperlink>
      <w:r>
        <w:rPr>
          <w:rFonts w:ascii="Arial" w:cs="Arial" w:eastAsia="Arial" w:hAnsi="Arial"/>
          <w:sz w:val="18"/>
          <w:szCs w:val="18"/>
          <w:color w:val="auto"/>
        </w:rPr>
        <w:t>.</w:t>
      </w:r>
    </w:p>
    <w:p>
      <w:pPr>
        <w:spacing w:after="0" w:line="200" w:lineRule="exact"/>
        <w:rPr>
          <w:sz w:val="20"/>
          <w:szCs w:val="20"/>
          <w:color w:val="auto"/>
        </w:rPr>
      </w:pPr>
    </w:p>
    <w:p>
      <w:pPr>
        <w:spacing w:after="0" w:line="3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Exhibits</w:t>
      </w:r>
    </w:p>
    <w:p>
      <w:pPr>
        <w:spacing w:after="0" w:line="391" w:lineRule="exact"/>
        <w:rPr>
          <w:sz w:val="20"/>
          <w:szCs w:val="20"/>
          <w:color w:val="auto"/>
        </w:rPr>
      </w:pPr>
    </w:p>
    <w:p>
      <w:pPr>
        <w:ind w:left="280" w:hanging="245"/>
        <w:spacing w:after="0"/>
        <w:tabs>
          <w:tab w:leader="none" w:pos="2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following documents are filed as exhibits are filed as part of, or incorporated by reference info, this report: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53</w:t>
      </w:r>
    </w:p>
    <w:p>
      <w:pPr>
        <w:sectPr>
          <w:pgSz w:w="11900" w:h="16838" w:orient="portrait"/>
          <w:cols w:equalWidth="0" w:num="1">
            <w:col w:w="11360"/>
          </w:cols>
          <w:pgMar w:left="240" w:top="126" w:right="29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560" w:type="dxa"/>
            <w:vAlign w:val="bottom"/>
            <w:gridSpan w:val="15"/>
          </w:tcPr>
          <w:p>
            <w:pPr>
              <w:ind w:left="1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8"/>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24"/>
                <w:szCs w:val="24"/>
                <w:color w:val="auto"/>
              </w:rPr>
            </w:pPr>
          </w:p>
        </w:tc>
        <w:tc>
          <w:tcPr>
            <w:tcW w:w="10340" w:type="dxa"/>
            <w:vAlign w:val="bottom"/>
            <w:gridSpan w:val="24"/>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40" w:type="dxa"/>
            <w:vAlign w:val="bottom"/>
          </w:tcPr>
          <w:p>
            <w:pPr>
              <w:spacing w:after="0"/>
              <w:rPr>
                <w:sz w:val="16"/>
                <w:szCs w:val="16"/>
                <w:color w:val="auto"/>
              </w:rPr>
            </w:pPr>
          </w:p>
        </w:tc>
        <w:tc>
          <w:tcPr>
            <w:tcW w:w="10340" w:type="dxa"/>
            <w:vAlign w:val="bottom"/>
            <w:gridSpan w:val="2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340" w:type="dxa"/>
            <w:vAlign w:val="bottom"/>
            <w:tcBorders>
              <w:top w:val="single" w:sz="8" w:color="auto"/>
            </w:tcBorders>
            <w:gridSpan w:val="24"/>
          </w:tcPr>
          <w:p>
            <w:pPr>
              <w:spacing w:after="0"/>
              <w:rPr>
                <w:sz w:val="20"/>
                <w:szCs w:val="20"/>
                <w:color w:val="auto"/>
              </w:rPr>
            </w:pPr>
            <w:r>
              <w:rPr>
                <w:rFonts w:ascii="Arial" w:cs="Arial" w:eastAsia="Arial" w:hAnsi="Arial"/>
                <w:sz w:val="18"/>
                <w:szCs w:val="18"/>
                <w:color w:val="auto"/>
                <w:w w:val="92"/>
              </w:rPr>
              <w:t>Declaration of Trust of Federal Realty Investment Trust dated May 5, 1999 as amended by the Articles of Amendment of Declaration of Trust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w w:val="93"/>
              </w:rPr>
              <w:t>of Federal Realty Investment Trust dated May 6, 2004, as corrected by the Certificate of Correction of Articles of Amendment of Declaration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w w:val="91"/>
              </w:rPr>
              <w:t>of Trust of Federal Realty Investment Trust dated June 17, 2004, as amended by the Articles of Amendment of Declaration of Trust of Federal</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4"/>
          </w:tcPr>
          <w:p>
            <w:pPr>
              <w:spacing w:after="0" w:line="189" w:lineRule="exact"/>
              <w:rPr>
                <w:rFonts w:ascii="Arial" w:cs="Arial" w:eastAsia="Arial" w:hAnsi="Arial"/>
                <w:sz w:val="18"/>
                <w:szCs w:val="18"/>
                <w:color w:val="auto"/>
                <w:w w:val="93"/>
              </w:rPr>
            </w:pPr>
            <w:r>
              <w:rPr>
                <w:rFonts w:ascii="Arial" w:cs="Arial" w:eastAsia="Arial" w:hAnsi="Arial"/>
                <w:sz w:val="18"/>
                <w:szCs w:val="18"/>
                <w:color w:val="auto"/>
                <w:w w:val="93"/>
              </w:rPr>
              <w:t xml:space="preserve">Realty Investment Trust dated May 6, 2009 (previously filed as </w:t>
            </w:r>
            <w:hyperlink r:id="rId12">
              <w:r>
                <w:rPr>
                  <w:rFonts w:ascii="Arial" w:cs="Arial" w:eastAsia="Arial" w:hAnsi="Arial"/>
                  <w:sz w:val="18"/>
                  <w:szCs w:val="18"/>
                  <w:color w:val="0000FF"/>
                  <w:w w:val="93"/>
                </w:rPr>
                <w:t>Exhibit 3.1</w:t>
              </w:r>
              <w:r>
                <w:rPr>
                  <w:rFonts w:ascii="Arial" w:cs="Arial" w:eastAsia="Arial" w:hAnsi="Arial"/>
                  <w:sz w:val="18"/>
                  <w:szCs w:val="18"/>
                  <w:color w:val="auto"/>
                  <w:w w:val="93"/>
                </w:rPr>
                <w:t xml:space="preserve"> </w:t>
              </w:r>
            </w:hyperlink>
            <w:r>
              <w:rPr>
                <w:rFonts w:ascii="Arial" w:cs="Arial" w:eastAsia="Arial" w:hAnsi="Arial"/>
                <w:sz w:val="18"/>
                <w:szCs w:val="18"/>
                <w:color w:val="auto"/>
                <w:w w:val="93"/>
              </w:rPr>
              <w:t>to the Trust’s Registration Statement on Form S-3 (File No. 333-</w:t>
            </w:r>
          </w:p>
        </w:tc>
        <w:tc>
          <w:tcPr>
            <w:tcW w:w="0" w:type="dxa"/>
            <w:vAlign w:val="bottom"/>
          </w:tcPr>
          <w:p>
            <w:pPr>
              <w:spacing w:after="0"/>
              <w:rPr>
                <w:sz w:val="1"/>
                <w:szCs w:val="1"/>
                <w:color w:val="auto"/>
              </w:rPr>
            </w:pPr>
          </w:p>
        </w:tc>
      </w:tr>
      <w:tr>
        <w:trPr>
          <w:trHeight w:val="236"/>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0" w:type="dxa"/>
            <w:vAlign w:val="bottom"/>
            <w:gridSpan w:val="10"/>
          </w:tcPr>
          <w:p>
            <w:pPr>
              <w:spacing w:after="0"/>
              <w:rPr>
                <w:sz w:val="20"/>
                <w:szCs w:val="20"/>
                <w:color w:val="auto"/>
              </w:rPr>
            </w:pPr>
            <w:r>
              <w:rPr>
                <w:rFonts w:ascii="Arial" w:cs="Arial" w:eastAsia="Arial" w:hAnsi="Arial"/>
                <w:sz w:val="18"/>
                <w:szCs w:val="18"/>
                <w:color w:val="auto"/>
              </w:rPr>
              <w:t>160009) and incorporated herein by reference)</w:t>
            </w:r>
          </w:p>
        </w:tc>
        <w:tc>
          <w:tcPr>
            <w:tcW w:w="800" w:type="dxa"/>
            <w:vAlign w:val="bottom"/>
            <w:tcBorders>
              <w:top w:val="single" w:sz="8" w:color="0000FF"/>
            </w:tcBorders>
            <w:gridSpan w:val="2"/>
          </w:tcPr>
          <w:p>
            <w:pPr>
              <w:spacing w:after="0"/>
              <w:rPr>
                <w:sz w:val="20"/>
                <w:szCs w:val="20"/>
                <w:color w:val="auto"/>
              </w:rPr>
            </w:pPr>
          </w:p>
        </w:tc>
        <w:tc>
          <w:tcPr>
            <w:tcW w:w="494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w w:val="93"/>
              </w:rPr>
              <w:t>Amended and Restated Bylaws of Federal Realty Investment Trust dated February 12, 2003, as amended October 29, 2003, May 5, 2004,</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4"/>
          </w:tcPr>
          <w:p>
            <w:pPr>
              <w:spacing w:after="0" w:line="189" w:lineRule="exact"/>
              <w:rPr>
                <w:rFonts w:ascii="Arial" w:cs="Arial" w:eastAsia="Arial" w:hAnsi="Arial"/>
                <w:sz w:val="18"/>
                <w:szCs w:val="18"/>
                <w:color w:val="auto"/>
                <w:w w:val="91"/>
              </w:rPr>
            </w:pPr>
            <w:r>
              <w:rPr>
                <w:rFonts w:ascii="Arial" w:cs="Arial" w:eastAsia="Arial" w:hAnsi="Arial"/>
                <w:sz w:val="18"/>
                <w:szCs w:val="18"/>
                <w:color w:val="auto"/>
                <w:w w:val="91"/>
              </w:rPr>
              <w:t xml:space="preserve">February 17, 2006, May 6, 2009, and November 2, 2016 (previously files a </w:t>
            </w:r>
            <w:hyperlink r:id="rId13">
              <w:r>
                <w:rPr>
                  <w:rFonts w:ascii="Arial" w:cs="Arial" w:eastAsia="Arial" w:hAnsi="Arial"/>
                  <w:sz w:val="18"/>
                  <w:szCs w:val="18"/>
                  <w:color w:val="0000FF"/>
                  <w:w w:val="91"/>
                </w:rPr>
                <w:t>Exhibit 3.2</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 Trust's Annual Report on Form 10-K for the year</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rPr>
              <w:t>ended December 31, 2016 (File No. 1-07533) and incorporated herein by reference)</w:t>
            </w:r>
          </w:p>
        </w:tc>
        <w:tc>
          <w:tcPr>
            <w:tcW w:w="0" w:type="dxa"/>
            <w:vAlign w:val="bottom"/>
          </w:tcPr>
          <w:p>
            <w:pPr>
              <w:spacing w:after="0"/>
              <w:rPr>
                <w:sz w:val="1"/>
                <w:szCs w:val="1"/>
                <w:color w:val="auto"/>
              </w:rPr>
            </w:pPr>
          </w:p>
        </w:tc>
      </w:tr>
      <w:tr>
        <w:trPr>
          <w:trHeight w:val="351"/>
        </w:trPr>
        <w:tc>
          <w:tcPr>
            <w:tcW w:w="900" w:type="dxa"/>
            <w:vAlign w:val="bottom"/>
          </w:tcPr>
          <w:p>
            <w:pPr>
              <w:ind w:left="4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4"/>
          </w:tcPr>
          <w:p>
            <w:pPr>
              <w:spacing w:after="0"/>
              <w:rPr>
                <w:rFonts w:ascii="Arial" w:cs="Arial" w:eastAsia="Arial" w:hAnsi="Arial"/>
                <w:sz w:val="18"/>
                <w:szCs w:val="18"/>
                <w:color w:val="auto"/>
                <w:w w:val="99"/>
              </w:rPr>
            </w:pPr>
            <w:r>
              <w:rPr>
                <w:rFonts w:ascii="Arial" w:cs="Arial" w:eastAsia="Arial" w:hAnsi="Arial"/>
                <w:sz w:val="18"/>
                <w:szCs w:val="18"/>
                <w:color w:val="auto"/>
                <w:w w:val="99"/>
              </w:rPr>
              <w:t xml:space="preserve">Specimen Common Share certificate (previously filed as Exhibit 4(i) to the Trust’s Annual Report on </w:t>
            </w:r>
            <w:hyperlink r:id="rId14">
              <w:r>
                <w:rPr>
                  <w:rFonts w:ascii="Arial" w:cs="Arial" w:eastAsia="Arial" w:hAnsi="Arial"/>
                  <w:sz w:val="18"/>
                  <w:szCs w:val="18"/>
                  <w:color w:val="0000FF"/>
                  <w:w w:val="99"/>
                </w:rPr>
                <w:t>Form 10-K</w:t>
              </w:r>
              <w:r>
                <w:rPr>
                  <w:rFonts w:ascii="Arial" w:cs="Arial" w:eastAsia="Arial" w:hAnsi="Arial"/>
                  <w:sz w:val="18"/>
                  <w:szCs w:val="18"/>
                  <w:color w:val="auto"/>
                  <w:w w:val="99"/>
                </w:rPr>
                <w:t xml:space="preserve"> </w:t>
              </w:r>
            </w:hyperlink>
            <w:r>
              <w:rPr>
                <w:rFonts w:ascii="Arial" w:cs="Arial" w:eastAsia="Arial" w:hAnsi="Arial"/>
                <w:sz w:val="18"/>
                <w:szCs w:val="18"/>
                <w:color w:val="auto"/>
                <w:w w:val="99"/>
              </w:rPr>
              <w:t>for the year ended</w:t>
            </w:r>
          </w:p>
        </w:tc>
        <w:tc>
          <w:tcPr>
            <w:tcW w:w="0" w:type="dxa"/>
            <w:vAlign w:val="bottom"/>
          </w:tcPr>
          <w:p>
            <w:pPr>
              <w:spacing w:after="0"/>
              <w:rPr>
                <w:sz w:val="1"/>
                <w:szCs w:val="1"/>
                <w:color w:val="auto"/>
              </w:rPr>
            </w:pPr>
          </w:p>
        </w:tc>
      </w:tr>
      <w:tr>
        <w:trPr>
          <w:trHeight w:val="236"/>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320" w:type="dxa"/>
            <w:vAlign w:val="bottom"/>
            <w:gridSpan w:val="16"/>
          </w:tcPr>
          <w:p>
            <w:pPr>
              <w:spacing w:after="0"/>
              <w:rPr>
                <w:sz w:val="20"/>
                <w:szCs w:val="20"/>
                <w:color w:val="auto"/>
              </w:rPr>
            </w:pPr>
            <w:r>
              <w:rPr>
                <w:rFonts w:ascii="Arial" w:cs="Arial" w:eastAsia="Arial" w:hAnsi="Arial"/>
                <w:sz w:val="18"/>
                <w:szCs w:val="18"/>
                <w:color w:val="auto"/>
              </w:rPr>
              <w:t>December 31, 1999 (File No. 1-07533) and incorporated herein by reference)</w:t>
            </w:r>
          </w:p>
        </w:tc>
        <w:tc>
          <w:tcPr>
            <w:tcW w:w="800" w:type="dxa"/>
            <w:vAlign w:val="bottom"/>
            <w:tcBorders>
              <w:top w:val="single" w:sz="8" w:color="0000FF"/>
            </w:tcBorders>
            <w:gridSpan w:val="2"/>
          </w:tcPr>
          <w:p>
            <w:pPr>
              <w:spacing w:after="0"/>
              <w:rPr>
                <w:sz w:val="20"/>
                <w:szCs w:val="20"/>
                <w:color w:val="auto"/>
              </w:rPr>
            </w:pPr>
          </w:p>
        </w:tc>
        <w:tc>
          <w:tcPr>
            <w:tcW w:w="222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w w:val="94"/>
              </w:rPr>
              <w:t>Articles Supplementary relating to the 5.417% Series 1 Cumulative Convertible Preferred Shares of Beneficial Interest (previously filed as</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4"/>
          </w:tcPr>
          <w:p>
            <w:pPr>
              <w:spacing w:after="0" w:line="189" w:lineRule="exact"/>
              <w:rPr>
                <w:rFonts w:ascii="Arial" w:cs="Arial" w:eastAsia="Arial" w:hAnsi="Arial"/>
                <w:sz w:val="18"/>
                <w:szCs w:val="18"/>
                <w:color w:val="0000FF"/>
                <w:w w:val="95"/>
              </w:rPr>
            </w:pPr>
            <w:hyperlink r:id="rId15">
              <w:r>
                <w:rPr>
                  <w:rFonts w:ascii="Arial" w:cs="Arial" w:eastAsia="Arial" w:hAnsi="Arial"/>
                  <w:sz w:val="18"/>
                  <w:szCs w:val="18"/>
                  <w:color w:val="0000FF"/>
                  <w:w w:val="95"/>
                </w:rPr>
                <w:t xml:space="preserve">Exhibit 4.1 </w:t>
              </w:r>
            </w:hyperlink>
            <w:r>
              <w:rPr>
                <w:rFonts w:ascii="Arial" w:cs="Arial" w:eastAsia="Arial" w:hAnsi="Arial"/>
                <w:sz w:val="18"/>
                <w:szCs w:val="18"/>
                <w:color w:val="000000"/>
                <w:w w:val="95"/>
              </w:rPr>
              <w:t>to</w:t>
            </w:r>
            <w:r>
              <w:rPr>
                <w:rFonts w:ascii="Arial" w:cs="Arial" w:eastAsia="Arial" w:hAnsi="Arial"/>
                <w:sz w:val="18"/>
                <w:szCs w:val="18"/>
                <w:color w:val="0000FF"/>
                <w:w w:val="95"/>
              </w:rPr>
              <w:t xml:space="preserve"> </w:t>
            </w:r>
            <w:r>
              <w:rPr>
                <w:rFonts w:ascii="Arial" w:cs="Arial" w:eastAsia="Arial" w:hAnsi="Arial"/>
                <w:sz w:val="18"/>
                <w:szCs w:val="18"/>
                <w:color w:val="000000"/>
                <w:w w:val="95"/>
              </w:rPr>
              <w:t>the Trust’s Current Report on Form 8-K filed on March 13, 2007, (File No. 1-07533) and incorporated herein by reference)</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900" w:type="dxa"/>
            <w:vAlign w:val="bottom"/>
          </w:tcPr>
          <w:p>
            <w:pPr>
              <w:ind w:left="4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w w:val="94"/>
              </w:rPr>
              <w:t>** Indenture dated December 1, 1993 related to the Trust’s 7.48% Debentures due August 15, 2026; and 6.82% Medium Term Notes due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w w:val="91"/>
              </w:rPr>
              <w:t>August 1, 2027; (previously filed as Exhibit 4(a) to the Trust’s Registration Statement on Form S-3 (File No. 33-51029), and amended on Form</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rPr>
              <w:t>S-3 (File No. 33-63687), filed on December 13, 1993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w w:val="93"/>
              </w:rPr>
              <w:t>** Indenture dated September 1, 1998 related to the Trust’s 5.90% Notes due 2020; 3.00% Notes due 2022; 2.75% Notes due 2023; 3.95%</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w w:val="97"/>
              </w:rPr>
              <w:t>Notes due 2024; 4.50% Notes due 2044; 2.55% Notes due 2021; 3.625% Notes due 2046; 3.25% Notes due 2027 (previously filed as</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4"/>
          </w:tcPr>
          <w:p>
            <w:pPr>
              <w:spacing w:after="0" w:line="189" w:lineRule="exact"/>
              <w:rPr>
                <w:rFonts w:ascii="Arial" w:cs="Arial" w:eastAsia="Arial" w:hAnsi="Arial"/>
                <w:sz w:val="18"/>
                <w:szCs w:val="18"/>
                <w:color w:val="0000FF"/>
                <w:w w:val="92"/>
              </w:rPr>
            </w:pPr>
            <w:hyperlink r:id="rId16">
              <w:r>
                <w:rPr>
                  <w:rFonts w:ascii="Arial" w:cs="Arial" w:eastAsia="Arial" w:hAnsi="Arial"/>
                  <w:sz w:val="18"/>
                  <w:szCs w:val="18"/>
                  <w:color w:val="0000FF"/>
                  <w:w w:val="92"/>
                </w:rPr>
                <w:t xml:space="preserve">Exhibit 4(a) </w:t>
              </w:r>
            </w:hyperlink>
            <w:r>
              <w:rPr>
                <w:rFonts w:ascii="Arial" w:cs="Arial" w:eastAsia="Arial" w:hAnsi="Arial"/>
                <w:sz w:val="18"/>
                <w:szCs w:val="18"/>
                <w:color w:val="000000"/>
                <w:w w:val="92"/>
              </w:rPr>
              <w:t>to</w:t>
            </w:r>
            <w:r>
              <w:rPr>
                <w:rFonts w:ascii="Arial" w:cs="Arial" w:eastAsia="Arial" w:hAnsi="Arial"/>
                <w:sz w:val="18"/>
                <w:szCs w:val="18"/>
                <w:color w:val="0000FF"/>
                <w:w w:val="92"/>
              </w:rPr>
              <w:t xml:space="preserve"> </w:t>
            </w:r>
            <w:r>
              <w:rPr>
                <w:rFonts w:ascii="Arial" w:cs="Arial" w:eastAsia="Arial" w:hAnsi="Arial"/>
                <w:sz w:val="18"/>
                <w:szCs w:val="18"/>
                <w:color w:val="000000"/>
                <w:w w:val="92"/>
              </w:rPr>
              <w:t>the Trust’s Registration Statement on Form S-3 (File No. 333-63619) filed on September 17, 1998 and incorporated herein by</w:t>
            </w:r>
          </w:p>
        </w:tc>
        <w:tc>
          <w:tcPr>
            <w:tcW w:w="0" w:type="dxa"/>
            <w:vAlign w:val="bottom"/>
          </w:tcPr>
          <w:p>
            <w:pPr>
              <w:spacing w:after="0"/>
              <w:rPr>
                <w:sz w:val="1"/>
                <w:szCs w:val="1"/>
                <w:color w:val="auto"/>
              </w:rPr>
            </w:pPr>
          </w:p>
        </w:tc>
      </w:tr>
      <w:tr>
        <w:trPr>
          <w:trHeight w:val="236"/>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reference)</w:t>
            </w:r>
          </w:p>
        </w:tc>
        <w:tc>
          <w:tcPr>
            <w:tcW w:w="9480" w:type="dxa"/>
            <w:vAlign w:val="bottom"/>
            <w:gridSpan w:val="20"/>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w w:val="93"/>
              </w:rPr>
              <w:t>Articles Supplementary relating to the 5.000% Series C Cumulative Redeemable Preferred Shares of Beneficial Interest (previously filed as</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4"/>
          </w:tcPr>
          <w:p>
            <w:pPr>
              <w:spacing w:after="0" w:line="189" w:lineRule="exact"/>
              <w:rPr>
                <w:rFonts w:ascii="Arial" w:cs="Arial" w:eastAsia="Arial" w:hAnsi="Arial"/>
                <w:sz w:val="18"/>
                <w:szCs w:val="18"/>
                <w:color w:val="0000FF"/>
                <w:w w:val="94"/>
              </w:rPr>
            </w:pPr>
            <w:hyperlink r:id="rId17">
              <w:r>
                <w:rPr>
                  <w:rFonts w:ascii="Arial" w:cs="Arial" w:eastAsia="Arial" w:hAnsi="Arial"/>
                  <w:sz w:val="18"/>
                  <w:szCs w:val="18"/>
                  <w:color w:val="0000FF"/>
                  <w:w w:val="94"/>
                </w:rPr>
                <w:t xml:space="preserve">Exhibit 3.2 </w:t>
              </w:r>
            </w:hyperlink>
            <w:r>
              <w:rPr>
                <w:rFonts w:ascii="Arial" w:cs="Arial" w:eastAsia="Arial" w:hAnsi="Arial"/>
                <w:sz w:val="18"/>
                <w:szCs w:val="18"/>
                <w:color w:val="000000"/>
                <w:w w:val="94"/>
              </w:rPr>
              <w:t>to</w:t>
            </w:r>
            <w:r>
              <w:rPr>
                <w:rFonts w:ascii="Arial" w:cs="Arial" w:eastAsia="Arial" w:hAnsi="Arial"/>
                <w:sz w:val="18"/>
                <w:szCs w:val="18"/>
                <w:color w:val="0000FF"/>
                <w:w w:val="94"/>
              </w:rPr>
              <w:t xml:space="preserve"> </w:t>
            </w:r>
            <w:r>
              <w:rPr>
                <w:rFonts w:ascii="Arial" w:cs="Arial" w:eastAsia="Arial" w:hAnsi="Arial"/>
                <w:sz w:val="18"/>
                <w:szCs w:val="18"/>
                <w:color w:val="000000"/>
                <w:w w:val="94"/>
              </w:rPr>
              <w:t>the Trust's Registration Statement on Form 8-A (File No. 1-07533), filed on September 29, 2017 and incorporated herein by</w:t>
            </w:r>
          </w:p>
        </w:tc>
        <w:tc>
          <w:tcPr>
            <w:tcW w:w="0" w:type="dxa"/>
            <w:vAlign w:val="bottom"/>
          </w:tcPr>
          <w:p>
            <w:pPr>
              <w:spacing w:after="0"/>
              <w:rPr>
                <w:sz w:val="1"/>
                <w:szCs w:val="1"/>
                <w:color w:val="auto"/>
              </w:rPr>
            </w:pPr>
          </w:p>
        </w:tc>
      </w:tr>
      <w:tr>
        <w:trPr>
          <w:trHeight w:val="236"/>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w w:val="95"/>
              </w:rPr>
              <w:t>reference)</w:t>
            </w:r>
          </w:p>
        </w:tc>
        <w:tc>
          <w:tcPr>
            <w:tcW w:w="9540" w:type="dxa"/>
            <w:vAlign w:val="bottom"/>
            <w:gridSpan w:val="21"/>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w w:val="94"/>
              </w:rPr>
              <w:t>Deposit Agreement, dated as of September 29, 2017, by and among Federal Realty Investment Trust, American Stock Transfer and Trust</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4"/>
          </w:tcPr>
          <w:p>
            <w:pPr>
              <w:spacing w:after="0" w:line="189" w:lineRule="exact"/>
              <w:rPr>
                <w:rFonts w:ascii="Arial" w:cs="Arial" w:eastAsia="Arial" w:hAnsi="Arial"/>
                <w:sz w:val="18"/>
                <w:szCs w:val="18"/>
                <w:color w:val="auto"/>
                <w:w w:val="98"/>
              </w:rPr>
            </w:pPr>
            <w:r>
              <w:rPr>
                <w:rFonts w:ascii="Arial" w:cs="Arial" w:eastAsia="Arial" w:hAnsi="Arial"/>
                <w:sz w:val="18"/>
                <w:szCs w:val="18"/>
                <w:color w:val="auto"/>
                <w:w w:val="98"/>
              </w:rPr>
              <w:t xml:space="preserve">Company, LLC, as Depository, and all holders from time to time of Receipt (previously filed as </w:t>
            </w:r>
            <w:hyperlink r:id="rId18">
              <w:r>
                <w:rPr>
                  <w:rFonts w:ascii="Arial" w:cs="Arial" w:eastAsia="Arial" w:hAnsi="Arial"/>
                  <w:sz w:val="18"/>
                  <w:szCs w:val="18"/>
                  <w:color w:val="0000FF"/>
                  <w:w w:val="98"/>
                </w:rPr>
                <w:t>Exhibit 4.1</w:t>
              </w:r>
              <w:r>
                <w:rPr>
                  <w:rFonts w:ascii="Arial" w:cs="Arial" w:eastAsia="Arial" w:hAnsi="Arial"/>
                  <w:sz w:val="18"/>
                  <w:szCs w:val="18"/>
                  <w:color w:val="auto"/>
                  <w:w w:val="98"/>
                </w:rPr>
                <w:t xml:space="preserve"> </w:t>
              </w:r>
            </w:hyperlink>
            <w:r>
              <w:rPr>
                <w:rFonts w:ascii="Arial" w:cs="Arial" w:eastAsia="Arial" w:hAnsi="Arial"/>
                <w:sz w:val="18"/>
                <w:szCs w:val="18"/>
                <w:color w:val="auto"/>
                <w:w w:val="98"/>
              </w:rPr>
              <w:t>to the Trust's Registration</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rPr>
              <w:t>Statement on Form 8-A (File No. 1-07533), filed on September 29, 2017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w w:val="95"/>
              </w:rPr>
              <w:t>Specimen certificate relating to the 5.000% Series C Cumulative Redeemable Preferred Shares of Beneficial Interest (previously filed as</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4"/>
          </w:tcPr>
          <w:p>
            <w:pPr>
              <w:spacing w:after="0" w:line="189" w:lineRule="exact"/>
              <w:rPr>
                <w:rFonts w:ascii="Arial" w:cs="Arial" w:eastAsia="Arial" w:hAnsi="Arial"/>
                <w:sz w:val="18"/>
                <w:szCs w:val="18"/>
                <w:color w:val="0000FF"/>
                <w:w w:val="94"/>
              </w:rPr>
            </w:pPr>
            <w:hyperlink r:id="rId19">
              <w:r>
                <w:rPr>
                  <w:rFonts w:ascii="Arial" w:cs="Arial" w:eastAsia="Arial" w:hAnsi="Arial"/>
                  <w:sz w:val="18"/>
                  <w:szCs w:val="18"/>
                  <w:color w:val="0000FF"/>
                  <w:w w:val="94"/>
                </w:rPr>
                <w:t xml:space="preserve">Exhibit 4.3 </w:t>
              </w:r>
            </w:hyperlink>
            <w:r>
              <w:rPr>
                <w:rFonts w:ascii="Arial" w:cs="Arial" w:eastAsia="Arial" w:hAnsi="Arial"/>
                <w:sz w:val="18"/>
                <w:szCs w:val="18"/>
                <w:color w:val="000000"/>
                <w:w w:val="94"/>
              </w:rPr>
              <w:t>to</w:t>
            </w:r>
            <w:r>
              <w:rPr>
                <w:rFonts w:ascii="Arial" w:cs="Arial" w:eastAsia="Arial" w:hAnsi="Arial"/>
                <w:sz w:val="18"/>
                <w:szCs w:val="18"/>
                <w:color w:val="0000FF"/>
                <w:w w:val="94"/>
              </w:rPr>
              <w:t xml:space="preserve"> </w:t>
            </w:r>
            <w:r>
              <w:rPr>
                <w:rFonts w:ascii="Arial" w:cs="Arial" w:eastAsia="Arial" w:hAnsi="Arial"/>
                <w:sz w:val="18"/>
                <w:szCs w:val="18"/>
                <w:color w:val="000000"/>
                <w:w w:val="94"/>
              </w:rPr>
              <w:t>the Trust's Registration Statement on Form 8-A (File No. 1-07533), filed on September 29, 2017 and incorporated herein by</w:t>
            </w:r>
          </w:p>
        </w:tc>
        <w:tc>
          <w:tcPr>
            <w:tcW w:w="0" w:type="dxa"/>
            <w:vAlign w:val="bottom"/>
          </w:tcPr>
          <w:p>
            <w:pPr>
              <w:spacing w:after="0"/>
              <w:rPr>
                <w:sz w:val="1"/>
                <w:szCs w:val="1"/>
                <w:color w:val="auto"/>
              </w:rPr>
            </w:pPr>
          </w:p>
        </w:tc>
      </w:tr>
      <w:tr>
        <w:trPr>
          <w:trHeight w:val="236"/>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w w:val="95"/>
              </w:rPr>
              <w:t>reference)</w:t>
            </w:r>
          </w:p>
        </w:tc>
        <w:tc>
          <w:tcPr>
            <w:tcW w:w="9540" w:type="dxa"/>
            <w:vAlign w:val="bottom"/>
            <w:gridSpan w:val="21"/>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900" w:type="dxa"/>
            <w:vAlign w:val="bottom"/>
          </w:tcPr>
          <w:p>
            <w:pPr>
              <w:ind w:left="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4"/>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 Severance Agreement between the Trust and Donald C. Wood dated February 22, 1999 (previously filed as a portion of </w:t>
            </w:r>
            <w:hyperlink r:id="rId20">
              <w:r>
                <w:rPr>
                  <w:rFonts w:ascii="Arial" w:cs="Arial" w:eastAsia="Arial" w:hAnsi="Arial"/>
                  <w:sz w:val="18"/>
                  <w:szCs w:val="18"/>
                  <w:color w:val="0000FF"/>
                  <w:w w:val="94"/>
                </w:rPr>
                <w:t>Exhibit 10</w:t>
              </w:r>
              <w:r>
                <w:rPr>
                  <w:rFonts w:ascii="Arial" w:cs="Arial" w:eastAsia="Arial" w:hAnsi="Arial"/>
                  <w:sz w:val="18"/>
                  <w:szCs w:val="18"/>
                  <w:color w:val="auto"/>
                  <w:w w:val="94"/>
                </w:rPr>
                <w:t xml:space="preserve"> </w:t>
              </w:r>
            </w:hyperlink>
            <w:r>
              <w:rPr>
                <w:rFonts w:ascii="Arial" w:cs="Arial" w:eastAsia="Arial" w:hAnsi="Arial"/>
                <w:sz w:val="18"/>
                <w:szCs w:val="18"/>
                <w:color w:val="auto"/>
                <w:w w:val="94"/>
              </w:rPr>
              <w:t>to the</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w w:val="91"/>
              </w:rPr>
              <w:t>Trust's Quarterly Report on Form 10-Q for the quarter ended March 31, 1999 (File No. 1-07533) (the "1999 1Q Form 10-Q")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w w:val="92"/>
              </w:rPr>
              <w:t>* Executive Agreement between Federal Realty Investment Trust and Donald C. Wood dated February 22, 1999 (previously filed as a portion</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4"/>
          </w:tcPr>
          <w:p>
            <w:pPr>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of </w:t>
            </w:r>
            <w:hyperlink r:id="rId19">
              <w:r>
                <w:rPr>
                  <w:rFonts w:ascii="Arial" w:cs="Arial" w:eastAsia="Arial" w:hAnsi="Arial"/>
                  <w:sz w:val="18"/>
                  <w:szCs w:val="18"/>
                  <w:color w:val="0000FF"/>
                </w:rPr>
                <w:t>Exhibit 10</w:t>
              </w:r>
              <w:r>
                <w:rPr>
                  <w:rFonts w:ascii="Arial" w:cs="Arial" w:eastAsia="Arial" w:hAnsi="Arial"/>
                  <w:sz w:val="18"/>
                  <w:szCs w:val="18"/>
                  <w:color w:val="auto"/>
                </w:rPr>
                <w:t xml:space="preserve"> </w:t>
              </w:r>
            </w:hyperlink>
            <w:r>
              <w:rPr>
                <w:rFonts w:ascii="Arial" w:cs="Arial" w:eastAsia="Arial" w:hAnsi="Arial"/>
                <w:sz w:val="18"/>
                <w:szCs w:val="18"/>
                <w:color w:val="auto"/>
              </w:rPr>
              <w:t>to the 1999 1Q Form 10-Q and incorporated herein by reference)</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900" w:type="dxa"/>
            <w:vAlign w:val="bottom"/>
          </w:tcPr>
          <w:p>
            <w:pPr>
              <w:ind w:left="4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w w:val="93"/>
              </w:rPr>
              <w:t>* Amendment to Executive Agreement between Federal Realty Investment Trust and Donald C. Wood dated February 16, 2005 (previously</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4"/>
          </w:tcPr>
          <w:p>
            <w:pPr>
              <w:spacing w:after="0" w:line="189" w:lineRule="exact"/>
              <w:rPr>
                <w:rFonts w:ascii="Arial" w:cs="Arial" w:eastAsia="Arial" w:hAnsi="Arial"/>
                <w:sz w:val="18"/>
                <w:szCs w:val="18"/>
                <w:color w:val="auto"/>
                <w:w w:val="97"/>
              </w:rPr>
            </w:pPr>
            <w:r>
              <w:rPr>
                <w:rFonts w:ascii="Arial" w:cs="Arial" w:eastAsia="Arial" w:hAnsi="Arial"/>
                <w:sz w:val="18"/>
                <w:szCs w:val="18"/>
                <w:color w:val="auto"/>
                <w:w w:val="97"/>
              </w:rPr>
              <w:t xml:space="preserve">filed as </w:t>
            </w:r>
            <w:hyperlink r:id="rId21">
              <w:r>
                <w:rPr>
                  <w:rFonts w:ascii="Arial" w:cs="Arial" w:eastAsia="Arial" w:hAnsi="Arial"/>
                  <w:sz w:val="18"/>
                  <w:szCs w:val="18"/>
                  <w:color w:val="0000FF"/>
                  <w:w w:val="97"/>
                </w:rPr>
                <w:t>Exhibit 10.12</w:t>
              </w:r>
              <w:r>
                <w:rPr>
                  <w:rFonts w:ascii="Arial" w:cs="Arial" w:eastAsia="Arial" w:hAnsi="Arial"/>
                  <w:sz w:val="18"/>
                  <w:szCs w:val="18"/>
                  <w:color w:val="auto"/>
                  <w:w w:val="97"/>
                </w:rPr>
                <w:t xml:space="preserve"> </w:t>
              </w:r>
            </w:hyperlink>
            <w:r>
              <w:rPr>
                <w:rFonts w:ascii="Arial" w:cs="Arial" w:eastAsia="Arial" w:hAnsi="Arial"/>
                <w:sz w:val="18"/>
                <w:szCs w:val="18"/>
                <w:color w:val="auto"/>
                <w:w w:val="97"/>
              </w:rPr>
              <w:t>to the Trust’s Annual Report on Form 10-K for the year ended December 31, 2004 (File No. 1-07533) (the “2004</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rPr>
              <w:t>Form 10-K”) and incorporated herein by reference)</w:t>
            </w:r>
          </w:p>
        </w:tc>
        <w:tc>
          <w:tcPr>
            <w:tcW w:w="0" w:type="dxa"/>
            <w:vAlign w:val="bottom"/>
          </w:tcPr>
          <w:p>
            <w:pPr>
              <w:spacing w:after="0"/>
              <w:rPr>
                <w:sz w:val="1"/>
                <w:szCs w:val="1"/>
                <w:color w:val="auto"/>
              </w:rPr>
            </w:pPr>
          </w:p>
        </w:tc>
      </w:tr>
      <w:tr>
        <w:trPr>
          <w:trHeight w:val="351"/>
        </w:trPr>
        <w:tc>
          <w:tcPr>
            <w:tcW w:w="900" w:type="dxa"/>
            <w:vAlign w:val="bottom"/>
          </w:tcPr>
          <w:p>
            <w:pPr>
              <w:ind w:left="4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4"/>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2001 Long-Term Incentive Plan (previously filed as </w:t>
            </w:r>
            <w:hyperlink r:id="rId22">
              <w:r>
                <w:rPr>
                  <w:rFonts w:ascii="Arial" w:cs="Arial" w:eastAsia="Arial" w:hAnsi="Arial"/>
                  <w:sz w:val="18"/>
                  <w:szCs w:val="18"/>
                  <w:color w:val="0000FF"/>
                  <w:w w:val="93"/>
                </w:rPr>
                <w:t>Exhibit 99.1</w:t>
              </w:r>
              <w:r>
                <w:rPr>
                  <w:rFonts w:ascii="Arial" w:cs="Arial" w:eastAsia="Arial" w:hAnsi="Arial"/>
                  <w:sz w:val="18"/>
                  <w:szCs w:val="18"/>
                  <w:color w:val="auto"/>
                  <w:w w:val="93"/>
                </w:rPr>
                <w:t xml:space="preserve"> </w:t>
              </w:r>
            </w:hyperlink>
            <w:r>
              <w:rPr>
                <w:rFonts w:ascii="Arial" w:cs="Arial" w:eastAsia="Arial" w:hAnsi="Arial"/>
                <w:sz w:val="18"/>
                <w:szCs w:val="18"/>
                <w:color w:val="auto"/>
                <w:w w:val="93"/>
              </w:rPr>
              <w:t>to the Trust’s S-8 Registration Number 333-60364 filed on May 7, 2001 and</w:t>
            </w:r>
          </w:p>
        </w:tc>
        <w:tc>
          <w:tcPr>
            <w:tcW w:w="0" w:type="dxa"/>
            <w:vAlign w:val="bottom"/>
          </w:tcPr>
          <w:p>
            <w:pPr>
              <w:spacing w:after="0"/>
              <w:rPr>
                <w:sz w:val="1"/>
                <w:szCs w:val="1"/>
                <w:color w:val="auto"/>
              </w:rPr>
            </w:pPr>
          </w:p>
        </w:tc>
      </w:tr>
      <w:tr>
        <w:trPr>
          <w:trHeight w:val="236"/>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80" w:type="dxa"/>
            <w:vAlign w:val="bottom"/>
            <w:gridSpan w:val="9"/>
          </w:tcPr>
          <w:p>
            <w:pPr>
              <w:spacing w:after="0"/>
              <w:rPr>
                <w:sz w:val="20"/>
                <w:szCs w:val="20"/>
                <w:color w:val="auto"/>
              </w:rPr>
            </w:pPr>
            <w:r>
              <w:rPr>
                <w:rFonts w:ascii="Arial" w:cs="Arial" w:eastAsia="Arial" w:hAnsi="Arial"/>
                <w:sz w:val="18"/>
                <w:szCs w:val="18"/>
                <w:color w:val="auto"/>
              </w:rPr>
              <w:t>incorporated herein by reference)</w:t>
            </w:r>
          </w:p>
        </w:tc>
        <w:tc>
          <w:tcPr>
            <w:tcW w:w="880" w:type="dxa"/>
            <w:vAlign w:val="bottom"/>
            <w:tcBorders>
              <w:top w:val="single" w:sz="8" w:color="0000FF"/>
            </w:tcBorders>
            <w:gridSpan w:val="2"/>
          </w:tcPr>
          <w:p>
            <w:pPr>
              <w:spacing w:after="0"/>
              <w:rPr>
                <w:sz w:val="20"/>
                <w:szCs w:val="20"/>
                <w:color w:val="auto"/>
              </w:rPr>
            </w:pPr>
          </w:p>
        </w:tc>
        <w:tc>
          <w:tcPr>
            <w:tcW w:w="568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w w:val="97"/>
              </w:rPr>
              <w:t>* Health Coverage Continuation Agreement between Federal Realty Investment Trust and Donald C. Wood dated February 16, 2005</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4"/>
          </w:tcPr>
          <w:p>
            <w:pPr>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(previously filed as </w:t>
            </w:r>
            <w:hyperlink r:id="rId23">
              <w:r>
                <w:rPr>
                  <w:rFonts w:ascii="Arial" w:cs="Arial" w:eastAsia="Arial" w:hAnsi="Arial"/>
                  <w:sz w:val="18"/>
                  <w:szCs w:val="18"/>
                  <w:color w:val="0000FF"/>
                </w:rPr>
                <w:t>Exhibit 10.26</w:t>
              </w:r>
              <w:r>
                <w:rPr>
                  <w:rFonts w:ascii="Arial" w:cs="Arial" w:eastAsia="Arial" w:hAnsi="Arial"/>
                  <w:sz w:val="18"/>
                  <w:szCs w:val="18"/>
                  <w:color w:val="auto"/>
                </w:rPr>
                <w:t xml:space="preserve"> </w:t>
              </w:r>
            </w:hyperlink>
            <w:r>
              <w:rPr>
                <w:rFonts w:ascii="Arial" w:cs="Arial" w:eastAsia="Arial" w:hAnsi="Arial"/>
                <w:sz w:val="18"/>
                <w:szCs w:val="18"/>
                <w:color w:val="auto"/>
              </w:rPr>
              <w:t>to the 2004 Form 10-K and incorporated herein by reference)</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5300" w:type="dxa"/>
            <w:vAlign w:val="bottom"/>
            <w:gridSpan w:val="9"/>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00" w:type="dxa"/>
            <w:vAlign w:val="bottom"/>
          </w:tcPr>
          <w:p>
            <w:pPr>
              <w:ind w:left="4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4"/>
          </w:tcPr>
          <w:p>
            <w:pPr>
              <w:spacing w:after="0"/>
              <w:rPr>
                <w:rFonts w:ascii="Arial" w:cs="Arial" w:eastAsia="Arial" w:hAnsi="Arial"/>
                <w:sz w:val="18"/>
                <w:szCs w:val="18"/>
                <w:color w:val="auto"/>
                <w:w w:val="91"/>
              </w:rPr>
            </w:pPr>
            <w:r>
              <w:rPr>
                <w:rFonts w:ascii="Arial" w:cs="Arial" w:eastAsia="Arial" w:hAnsi="Arial"/>
                <w:sz w:val="18"/>
                <w:szCs w:val="18"/>
                <w:color w:val="auto"/>
                <w:w w:val="91"/>
              </w:rPr>
              <w:t xml:space="preserve">* Severance Agreement between the Trust and Dawn M. Becker dated April 19, 2000 (previously filed as </w:t>
            </w:r>
            <w:hyperlink r:id="rId24">
              <w:r>
                <w:rPr>
                  <w:rFonts w:ascii="Arial" w:cs="Arial" w:eastAsia="Arial" w:hAnsi="Arial"/>
                  <w:sz w:val="18"/>
                  <w:szCs w:val="18"/>
                  <w:color w:val="0000FF"/>
                  <w:w w:val="91"/>
                </w:rPr>
                <w:t>Exhibit 10.26</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 Trust’s 2005 2Q</w:t>
            </w:r>
          </w:p>
        </w:tc>
        <w:tc>
          <w:tcPr>
            <w:tcW w:w="0" w:type="dxa"/>
            <w:vAlign w:val="bottom"/>
          </w:tcPr>
          <w:p>
            <w:pPr>
              <w:spacing w:after="0"/>
              <w:rPr>
                <w:sz w:val="1"/>
                <w:szCs w:val="1"/>
                <w:color w:val="auto"/>
              </w:rPr>
            </w:pPr>
          </w:p>
        </w:tc>
      </w:tr>
      <w:tr>
        <w:trPr>
          <w:trHeight w:val="236"/>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700" w:type="dxa"/>
            <w:vAlign w:val="bottom"/>
            <w:gridSpan w:val="17"/>
          </w:tcPr>
          <w:p>
            <w:pPr>
              <w:spacing w:after="0"/>
              <w:rPr>
                <w:sz w:val="20"/>
                <w:szCs w:val="20"/>
                <w:color w:val="auto"/>
              </w:rPr>
            </w:pPr>
            <w:r>
              <w:rPr>
                <w:rFonts w:ascii="Arial" w:cs="Arial" w:eastAsia="Arial" w:hAnsi="Arial"/>
                <w:sz w:val="18"/>
                <w:szCs w:val="18"/>
                <w:color w:val="auto"/>
              </w:rPr>
              <w:t>Form 10-Q and incorporated herein by reference)</w:t>
            </w:r>
          </w:p>
        </w:tc>
        <w:tc>
          <w:tcPr>
            <w:tcW w:w="900" w:type="dxa"/>
            <w:vAlign w:val="bottom"/>
            <w:tcBorders>
              <w:top w:val="single" w:sz="8" w:color="0000FF"/>
            </w:tcBorders>
            <w:gridSpan w:val="2"/>
          </w:tcPr>
          <w:p>
            <w:pPr>
              <w:spacing w:after="0"/>
              <w:rPr>
                <w:sz w:val="20"/>
                <w:szCs w:val="20"/>
                <w:color w:val="auto"/>
              </w:rPr>
            </w:pPr>
          </w:p>
        </w:tc>
        <w:tc>
          <w:tcPr>
            <w:tcW w:w="174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900" w:type="dxa"/>
            <w:vAlign w:val="bottom"/>
          </w:tcPr>
          <w:p>
            <w:pPr>
              <w:ind w:left="4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4"/>
          </w:tcPr>
          <w:p>
            <w:pPr>
              <w:spacing w:after="0"/>
              <w:rPr>
                <w:rFonts w:ascii="Arial" w:cs="Arial" w:eastAsia="Arial" w:hAnsi="Arial"/>
                <w:sz w:val="18"/>
                <w:szCs w:val="18"/>
                <w:color w:val="auto"/>
                <w:w w:val="92"/>
              </w:rPr>
            </w:pPr>
            <w:r>
              <w:rPr>
                <w:rFonts w:ascii="Arial" w:cs="Arial" w:eastAsia="Arial" w:hAnsi="Arial"/>
                <w:sz w:val="18"/>
                <w:szCs w:val="18"/>
                <w:color w:val="auto"/>
                <w:w w:val="92"/>
              </w:rPr>
              <w:t xml:space="preserve">* Amendment to Severance Agreement between the Trust and Dawn M. Becker dated February 16, 2005 (previously filed as </w:t>
            </w:r>
            <w:hyperlink r:id="rId25">
              <w:r>
                <w:rPr>
                  <w:rFonts w:ascii="Arial" w:cs="Arial" w:eastAsia="Arial" w:hAnsi="Arial"/>
                  <w:sz w:val="18"/>
                  <w:szCs w:val="18"/>
                  <w:color w:val="0000FF"/>
                  <w:w w:val="92"/>
                </w:rPr>
                <w:t>Exhibit 10.27</w:t>
              </w:r>
              <w:r>
                <w:rPr>
                  <w:rFonts w:ascii="Arial" w:cs="Arial" w:eastAsia="Arial" w:hAnsi="Arial"/>
                  <w:sz w:val="18"/>
                  <w:szCs w:val="18"/>
                  <w:color w:val="auto"/>
                  <w:w w:val="92"/>
                </w:rPr>
                <w:t xml:space="preserve"> </w:t>
              </w:r>
            </w:hyperlink>
            <w:r>
              <w:rPr>
                <w:rFonts w:ascii="Arial" w:cs="Arial" w:eastAsia="Arial" w:hAnsi="Arial"/>
                <w:sz w:val="18"/>
                <w:szCs w:val="18"/>
                <w:color w:val="auto"/>
                <w:w w:val="92"/>
              </w:rPr>
              <w:t>to</w:t>
            </w:r>
          </w:p>
        </w:tc>
        <w:tc>
          <w:tcPr>
            <w:tcW w:w="0" w:type="dxa"/>
            <w:vAlign w:val="bottom"/>
          </w:tcPr>
          <w:p>
            <w:pPr>
              <w:spacing w:after="0"/>
              <w:rPr>
                <w:sz w:val="1"/>
                <w:szCs w:val="1"/>
                <w:color w:val="auto"/>
              </w:rPr>
            </w:pPr>
          </w:p>
        </w:tc>
      </w:tr>
      <w:tr>
        <w:trPr>
          <w:trHeight w:val="236"/>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20" w:type="dxa"/>
            <w:vAlign w:val="bottom"/>
            <w:gridSpan w:val="21"/>
          </w:tcPr>
          <w:p>
            <w:pPr>
              <w:spacing w:after="0"/>
              <w:rPr>
                <w:sz w:val="20"/>
                <w:szCs w:val="20"/>
                <w:color w:val="auto"/>
              </w:rPr>
            </w:pPr>
            <w:r>
              <w:rPr>
                <w:rFonts w:ascii="Arial" w:cs="Arial" w:eastAsia="Arial" w:hAnsi="Arial"/>
                <w:sz w:val="18"/>
                <w:szCs w:val="18"/>
                <w:color w:val="auto"/>
              </w:rPr>
              <w:t>the 2004 Form 10-K and incorporated herein by reference)</w:t>
            </w:r>
          </w:p>
        </w:tc>
        <w:tc>
          <w:tcPr>
            <w:tcW w:w="980" w:type="dxa"/>
            <w:vAlign w:val="bottom"/>
            <w:tcBorders>
              <w:top w:val="single" w:sz="8" w:color="0000FF"/>
            </w:tcBorders>
            <w:gridSpan w:val="2"/>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6" w:right="239" w:bottom="1440" w:gutter="0" w:footer="0" w:header="0"/>
          <w:type w:val="continuous"/>
        </w:sectPr>
      </w:pPr>
    </w:p>
    <w:bookmarkStart w:id="54" w:name="page55"/>
    <w:bookmarkEnd w:id="54"/>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10340" w:type="dxa"/>
            <w:vAlign w:val="bottom"/>
            <w:gridSpan w:val="30"/>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60"/>
              <w:spacing w:after="0"/>
              <w:rPr>
                <w:sz w:val="20"/>
                <w:szCs w:val="20"/>
                <w:color w:val="auto"/>
              </w:rPr>
            </w:pPr>
            <w:r>
              <w:rPr>
                <w:rFonts w:ascii="Arial" w:cs="Arial" w:eastAsia="Arial" w:hAnsi="Arial"/>
                <w:sz w:val="14"/>
                <w:szCs w:val="14"/>
                <w:b w:val="1"/>
                <w:bCs w:val="1"/>
                <w:color w:val="auto"/>
              </w:rPr>
              <w:t>No.</w:t>
            </w:r>
          </w:p>
        </w:tc>
        <w:tc>
          <w:tcPr>
            <w:tcW w:w="40" w:type="dxa"/>
            <w:vAlign w:val="bottom"/>
          </w:tcPr>
          <w:p>
            <w:pPr>
              <w:spacing w:after="0"/>
              <w:rPr>
                <w:sz w:val="16"/>
                <w:szCs w:val="16"/>
                <w:color w:val="auto"/>
              </w:rPr>
            </w:pPr>
          </w:p>
        </w:tc>
        <w:tc>
          <w:tcPr>
            <w:tcW w:w="10340" w:type="dxa"/>
            <w:vAlign w:val="bottom"/>
            <w:gridSpan w:val="3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340" w:type="dxa"/>
            <w:vAlign w:val="bottom"/>
            <w:tcBorders>
              <w:top w:val="single" w:sz="8" w:color="auto"/>
            </w:tcBorders>
            <w:gridSpan w:val="30"/>
          </w:tcPr>
          <w:p>
            <w:pPr>
              <w:spacing w:after="0"/>
              <w:rPr>
                <w:sz w:val="20"/>
                <w:szCs w:val="20"/>
                <w:color w:val="auto"/>
              </w:rPr>
            </w:pPr>
            <w:r>
              <w:rPr>
                <w:rFonts w:ascii="Arial" w:cs="Arial" w:eastAsia="Arial" w:hAnsi="Arial"/>
                <w:sz w:val="18"/>
                <w:szCs w:val="18"/>
                <w:color w:val="auto"/>
                <w:w w:val="92"/>
              </w:rPr>
              <w:t>Form of Restricted Share Award Agreement for awards made under the Trust’s 2003 Long-Term Incentive Award Program for shares issued</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30"/>
          </w:tcPr>
          <w:p>
            <w:pPr>
              <w:spacing w:after="0" w:line="189" w:lineRule="exact"/>
              <w:rPr>
                <w:rFonts w:ascii="Arial" w:cs="Arial" w:eastAsia="Arial" w:hAnsi="Arial"/>
                <w:sz w:val="18"/>
                <w:szCs w:val="18"/>
                <w:color w:val="auto"/>
                <w:w w:val="97"/>
              </w:rPr>
            </w:pPr>
            <w:r>
              <w:rPr>
                <w:rFonts w:ascii="Arial" w:cs="Arial" w:eastAsia="Arial" w:hAnsi="Arial"/>
                <w:sz w:val="18"/>
                <w:szCs w:val="18"/>
                <w:color w:val="auto"/>
                <w:w w:val="97"/>
              </w:rPr>
              <w:t xml:space="preserve">out of 2001 Long-Term Incentive Plan (previously filed as </w:t>
            </w:r>
            <w:hyperlink r:id="rId26">
              <w:r>
                <w:rPr>
                  <w:rFonts w:ascii="Arial" w:cs="Arial" w:eastAsia="Arial" w:hAnsi="Arial"/>
                  <w:sz w:val="18"/>
                  <w:szCs w:val="18"/>
                  <w:color w:val="0000FF"/>
                  <w:w w:val="97"/>
                </w:rPr>
                <w:t>Exhibit 10.28</w:t>
              </w:r>
              <w:r>
                <w:rPr>
                  <w:rFonts w:ascii="Arial" w:cs="Arial" w:eastAsia="Arial" w:hAnsi="Arial"/>
                  <w:sz w:val="18"/>
                  <w:szCs w:val="18"/>
                  <w:color w:val="auto"/>
                  <w:w w:val="97"/>
                </w:rPr>
                <w:t xml:space="preserve"> </w:t>
              </w:r>
            </w:hyperlink>
            <w:r>
              <w:rPr>
                <w:rFonts w:ascii="Arial" w:cs="Arial" w:eastAsia="Arial" w:hAnsi="Arial"/>
                <w:sz w:val="18"/>
                <w:szCs w:val="18"/>
                <w:color w:val="auto"/>
                <w:w w:val="97"/>
              </w:rPr>
              <w:t>to the 2004 Form 10-K and incorporated herein by reference)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920" w:type="dxa"/>
            <w:vAlign w:val="bottom"/>
          </w:tcPr>
          <w:p>
            <w:pPr>
              <w:ind w:left="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30"/>
          </w:tcPr>
          <w:p>
            <w:pPr>
              <w:spacing w:after="0"/>
              <w:rPr>
                <w:sz w:val="20"/>
                <w:szCs w:val="20"/>
                <w:color w:val="auto"/>
              </w:rPr>
            </w:pPr>
            <w:r>
              <w:rPr>
                <w:rFonts w:ascii="Arial" w:cs="Arial" w:eastAsia="Arial" w:hAnsi="Arial"/>
                <w:sz w:val="18"/>
                <w:szCs w:val="18"/>
                <w:color w:val="auto"/>
                <w:w w:val="91"/>
              </w:rPr>
              <w:t>Form of Restricted Share Award Agreement for long term vesting and retention awards for shares issued out of the 2010 Plan (previously filed</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30"/>
          </w:tcPr>
          <w:p>
            <w:pPr>
              <w:spacing w:after="0" w:line="189" w:lineRule="exact"/>
              <w:rPr>
                <w:rFonts w:ascii="Arial" w:cs="Arial" w:eastAsia="Arial" w:hAnsi="Arial"/>
                <w:sz w:val="18"/>
                <w:szCs w:val="18"/>
                <w:color w:val="auto"/>
                <w:w w:val="91"/>
              </w:rPr>
            </w:pPr>
            <w:r>
              <w:rPr>
                <w:rFonts w:ascii="Arial" w:cs="Arial" w:eastAsia="Arial" w:hAnsi="Arial"/>
                <w:sz w:val="18"/>
                <w:szCs w:val="18"/>
                <w:color w:val="auto"/>
                <w:w w:val="91"/>
              </w:rPr>
              <w:t xml:space="preserve">as </w:t>
            </w:r>
            <w:hyperlink r:id="rId27">
              <w:r>
                <w:rPr>
                  <w:rFonts w:ascii="Arial" w:cs="Arial" w:eastAsia="Arial" w:hAnsi="Arial"/>
                  <w:sz w:val="18"/>
                  <w:szCs w:val="18"/>
                  <w:color w:val="0000FF"/>
                  <w:w w:val="91"/>
                </w:rPr>
                <w:t>Exhibit 10.35</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 Trust's Annual Report on Form 10-K for the year ended December 31, 2010 (File No. 1-07533) (the "2010 Form 10-K")</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30"/>
          </w:tcPr>
          <w:p>
            <w:pPr>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30"/>
          </w:tcPr>
          <w:p>
            <w:pPr>
              <w:spacing w:after="0"/>
              <w:rPr>
                <w:sz w:val="20"/>
                <w:szCs w:val="20"/>
                <w:color w:val="auto"/>
              </w:rPr>
            </w:pPr>
            <w:r>
              <w:rPr>
                <w:rFonts w:ascii="Arial" w:cs="Arial" w:eastAsia="Arial" w:hAnsi="Arial"/>
                <w:sz w:val="18"/>
                <w:szCs w:val="18"/>
                <w:color w:val="auto"/>
                <w:w w:val="92"/>
              </w:rPr>
              <w:t>Form of Option Award Agreement for awards made under the Trust’s 2003 Long-Term Incentive Award Program for shares issued out of the</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30"/>
          </w:tcPr>
          <w:p>
            <w:pPr>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2001 Long-Term Incentive Plan (previously filed as </w:t>
            </w:r>
            <w:hyperlink r:id="rId28">
              <w:r>
                <w:rPr>
                  <w:rFonts w:ascii="Arial" w:cs="Arial" w:eastAsia="Arial" w:hAnsi="Arial"/>
                  <w:sz w:val="18"/>
                  <w:szCs w:val="18"/>
                  <w:color w:val="0000FF"/>
                </w:rPr>
                <w:t>Exhibit 10.32</w:t>
              </w:r>
              <w:r>
                <w:rPr>
                  <w:rFonts w:ascii="Arial" w:cs="Arial" w:eastAsia="Arial" w:hAnsi="Arial"/>
                  <w:sz w:val="18"/>
                  <w:szCs w:val="18"/>
                  <w:color w:val="auto"/>
                </w:rPr>
                <w:t xml:space="preserve"> </w:t>
              </w:r>
            </w:hyperlink>
            <w:r>
              <w:rPr>
                <w:rFonts w:ascii="Arial" w:cs="Arial" w:eastAsia="Arial" w:hAnsi="Arial"/>
                <w:sz w:val="18"/>
                <w:szCs w:val="18"/>
                <w:color w:val="auto"/>
              </w:rPr>
              <w:t>to the 2005 Form 10-K and incorporated herein by reference)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0"/>
          </w:tcPr>
          <w:p>
            <w:pPr>
              <w:spacing w:after="0"/>
              <w:rPr>
                <w:rFonts w:ascii="Arial" w:cs="Arial" w:eastAsia="Arial" w:hAnsi="Arial"/>
                <w:sz w:val="18"/>
                <w:szCs w:val="18"/>
                <w:color w:val="auto"/>
                <w:w w:val="91"/>
              </w:rPr>
            </w:pPr>
            <w:r>
              <w:rPr>
                <w:rFonts w:ascii="Arial" w:cs="Arial" w:eastAsia="Arial" w:hAnsi="Arial"/>
                <w:sz w:val="18"/>
                <w:szCs w:val="18"/>
                <w:color w:val="auto"/>
                <w:w w:val="91"/>
              </w:rPr>
              <w:t xml:space="preserve">Amended and Restated 2001 Long-Term Incentive Plan (previously filed as </w:t>
            </w:r>
            <w:hyperlink r:id="rId29">
              <w:r>
                <w:rPr>
                  <w:rFonts w:ascii="Arial" w:cs="Arial" w:eastAsia="Arial" w:hAnsi="Arial"/>
                  <w:sz w:val="18"/>
                  <w:szCs w:val="18"/>
                  <w:color w:val="0000FF"/>
                  <w:w w:val="91"/>
                </w:rPr>
                <w:t>Exhibit 10.34</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 Trust’s Quarterly Report on Form 10-Q for the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30"/>
          </w:tcPr>
          <w:p>
            <w:pPr>
              <w:spacing w:after="0"/>
              <w:rPr>
                <w:sz w:val="20"/>
                <w:szCs w:val="20"/>
                <w:color w:val="auto"/>
              </w:rPr>
            </w:pPr>
            <w:r>
              <w:rPr>
                <w:rFonts w:ascii="Arial" w:cs="Arial" w:eastAsia="Arial" w:hAnsi="Arial"/>
                <w:sz w:val="18"/>
                <w:szCs w:val="18"/>
                <w:color w:val="auto"/>
              </w:rPr>
              <w:t>quarter ended June 30, 2007 (File No. 1-07533) and incorporated herein by reference)</w:t>
            </w:r>
          </w:p>
        </w:tc>
        <w:tc>
          <w:tcPr>
            <w:tcW w:w="0" w:type="dxa"/>
            <w:vAlign w:val="bottom"/>
          </w:tcPr>
          <w:p>
            <w:pPr>
              <w:spacing w:after="0"/>
              <w:rPr>
                <w:sz w:val="1"/>
                <w:szCs w:val="1"/>
                <w:color w:val="auto"/>
              </w:rPr>
            </w:pPr>
          </w:p>
        </w:tc>
      </w:tr>
      <w:tr>
        <w:trPr>
          <w:trHeight w:val="351"/>
        </w:trPr>
        <w:tc>
          <w:tcPr>
            <w:tcW w:w="920" w:type="dxa"/>
            <w:vAlign w:val="bottom"/>
          </w:tcPr>
          <w:p>
            <w:pPr>
              <w:ind w:left="4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30"/>
          </w:tcPr>
          <w:p>
            <w:pPr>
              <w:spacing w:after="0"/>
              <w:rPr>
                <w:rFonts w:ascii="Arial" w:cs="Arial" w:eastAsia="Arial" w:hAnsi="Arial"/>
                <w:sz w:val="18"/>
                <w:szCs w:val="18"/>
                <w:color w:val="auto"/>
                <w:w w:val="91"/>
              </w:rPr>
            </w:pPr>
            <w:r>
              <w:rPr>
                <w:rFonts w:ascii="Arial" w:cs="Arial" w:eastAsia="Arial" w:hAnsi="Arial"/>
                <w:sz w:val="18"/>
                <w:szCs w:val="18"/>
                <w:color w:val="auto"/>
                <w:w w:val="91"/>
              </w:rPr>
              <w:t xml:space="preserve">* Amendment to Severance Agreement between the Trust and Donald C. Wood dated January 1, 2009 (previously filed as </w:t>
            </w:r>
            <w:hyperlink r:id="rId30">
              <w:r>
                <w:rPr>
                  <w:rFonts w:ascii="Arial" w:cs="Arial" w:eastAsia="Arial" w:hAnsi="Arial"/>
                  <w:sz w:val="18"/>
                  <w:szCs w:val="18"/>
                  <w:color w:val="0000FF"/>
                  <w:w w:val="91"/>
                </w:rPr>
                <w:t>Exhibit 10.26</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340" w:type="dxa"/>
            <w:vAlign w:val="bottom"/>
            <w:gridSpan w:val="30"/>
          </w:tcPr>
          <w:p>
            <w:pPr>
              <w:spacing w:after="0"/>
              <w:rPr>
                <w:sz w:val="20"/>
                <w:szCs w:val="20"/>
                <w:color w:val="auto"/>
              </w:rPr>
            </w:pPr>
            <w:r>
              <w:rPr>
                <w:rFonts w:ascii="Arial" w:cs="Arial" w:eastAsia="Arial" w:hAnsi="Arial"/>
                <w:sz w:val="18"/>
                <w:szCs w:val="18"/>
                <w:color w:val="auto"/>
                <w:w w:val="95"/>
              </w:rPr>
              <w:t>Trust’s Annual Report on Form 10-K for the year ended December 31, 2008 (File No. 1-07533) (“the 2008 Form 10-K”) and incorporated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30"/>
          </w:tcPr>
          <w:p>
            <w:pPr>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51"/>
        </w:trPr>
        <w:tc>
          <w:tcPr>
            <w:tcW w:w="920" w:type="dxa"/>
            <w:vAlign w:val="bottom"/>
          </w:tcPr>
          <w:p>
            <w:pPr>
              <w:ind w:left="4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30"/>
          </w:tcPr>
          <w:p>
            <w:pPr>
              <w:spacing w:after="0"/>
              <w:rPr>
                <w:rFonts w:ascii="Arial" w:cs="Arial" w:eastAsia="Arial" w:hAnsi="Arial"/>
                <w:sz w:val="18"/>
                <w:szCs w:val="18"/>
                <w:color w:val="auto"/>
                <w:w w:val="94"/>
              </w:rPr>
            </w:pPr>
            <w:hyperlink r:id="rId31">
              <w:r>
                <w:rPr>
                  <w:rFonts w:ascii="Arial" w:cs="Arial" w:eastAsia="Arial" w:hAnsi="Arial"/>
                  <w:sz w:val="18"/>
                  <w:szCs w:val="18"/>
                  <w:color w:val="auto"/>
                  <w:w w:val="94"/>
                </w:rPr>
                <w:t xml:space="preserve">* Second Amendment to Executive Agreement between the Trust and Donald C. Wood dated January 1, 2009 (previously filed as </w:t>
              </w:r>
              <w:r>
                <w:rPr>
                  <w:rFonts w:ascii="Arial" w:cs="Arial" w:eastAsia="Arial" w:hAnsi="Arial"/>
                  <w:sz w:val="18"/>
                  <w:szCs w:val="18"/>
                  <w:color w:val="0000FF"/>
                  <w:w w:val="94"/>
                </w:rPr>
                <w:t>Exhibit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60" w:type="dxa"/>
            <w:vAlign w:val="bottom"/>
            <w:gridSpan w:val="24"/>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10.</w:t>
              </w:r>
              <w:r>
                <w:rPr>
                  <w:rFonts w:ascii="Arial" w:cs="Arial" w:eastAsia="Arial" w:hAnsi="Arial"/>
                  <w:sz w:val="18"/>
                  <w:szCs w:val="18"/>
                  <w:u w:val="single" w:color="auto"/>
                  <w:color w:val="0000FF"/>
                </w:rPr>
                <w:t>27</w:t>
              </w:r>
              <w:r>
                <w:rPr>
                  <w:rFonts w:ascii="Arial" w:cs="Arial" w:eastAsia="Arial" w:hAnsi="Arial"/>
                  <w:sz w:val="18"/>
                  <w:szCs w:val="18"/>
                  <w:color w:val="0000FF"/>
                </w:rPr>
                <w:t xml:space="preserve"> </w:t>
              </w:r>
              <w:r>
                <w:rPr>
                  <w:rFonts w:ascii="Arial" w:cs="Arial" w:eastAsia="Arial" w:hAnsi="Arial"/>
                  <w:sz w:val="18"/>
                  <w:szCs w:val="18"/>
                  <w:color w:val="000000"/>
                </w:rPr>
                <w:t>to the Trust’s 2008 Form 10-K and incorporated herein by reference)</w:t>
              </w:r>
            </w:hyperlink>
          </w:p>
        </w:tc>
        <w:tc>
          <w:tcPr>
            <w:tcW w:w="540" w:type="dxa"/>
            <w:vAlign w:val="bottom"/>
            <w:tcBorders>
              <w:top w:val="single" w:sz="8" w:color="0000FF"/>
            </w:tcBorders>
            <w:gridSpan w:val="4"/>
          </w:tcPr>
          <w:p>
            <w:pPr>
              <w:spacing w:after="0"/>
              <w:rPr>
                <w:sz w:val="17"/>
                <w:szCs w:val="17"/>
                <w:color w:val="auto"/>
              </w:rPr>
            </w:pPr>
          </w:p>
        </w:tc>
        <w:tc>
          <w:tcPr>
            <w:tcW w:w="4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920" w:type="dxa"/>
            <w:vAlign w:val="bottom"/>
          </w:tcPr>
          <w:p>
            <w:pPr>
              <w:ind w:left="4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30"/>
          </w:tcPr>
          <w:p>
            <w:pPr>
              <w:spacing w:after="0"/>
              <w:rPr>
                <w:sz w:val="20"/>
                <w:szCs w:val="20"/>
                <w:color w:val="auto"/>
              </w:rPr>
            </w:pPr>
            <w:r>
              <w:rPr>
                <w:rFonts w:ascii="Arial" w:cs="Arial" w:eastAsia="Arial" w:hAnsi="Arial"/>
                <w:sz w:val="18"/>
                <w:szCs w:val="18"/>
                <w:color w:val="auto"/>
                <w:w w:val="91"/>
              </w:rPr>
              <w:t>* Amendment to Health Coverage Continuation Agreement between the Trust and Donald C. Wood dated January 1, 2009 (previously filed as</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30"/>
          </w:tcPr>
          <w:p>
            <w:pPr>
              <w:spacing w:after="0" w:line="189" w:lineRule="exact"/>
              <w:rPr>
                <w:rFonts w:ascii="Arial" w:cs="Arial" w:eastAsia="Arial" w:hAnsi="Arial"/>
                <w:sz w:val="18"/>
                <w:szCs w:val="18"/>
                <w:color w:val="0000FF"/>
              </w:rPr>
            </w:pPr>
            <w:hyperlink r:id="rId32">
              <w:r>
                <w:rPr>
                  <w:rFonts w:ascii="Arial" w:cs="Arial" w:eastAsia="Arial" w:hAnsi="Arial"/>
                  <w:sz w:val="18"/>
                  <w:szCs w:val="18"/>
                  <w:color w:val="0000FF"/>
                </w:rPr>
                <w:t xml:space="preserve">Exhibit 10.28 </w:t>
              </w:r>
            </w:hyperlink>
            <w:r>
              <w:rPr>
                <w:rFonts w:ascii="Arial" w:cs="Arial" w:eastAsia="Arial" w:hAnsi="Arial"/>
                <w:sz w:val="18"/>
                <w:szCs w:val="18"/>
                <w:color w:val="000000"/>
              </w:rPr>
              <w:t>to</w:t>
            </w:r>
            <w:r>
              <w:rPr>
                <w:rFonts w:ascii="Arial" w:cs="Arial" w:eastAsia="Arial" w:hAnsi="Arial"/>
                <w:sz w:val="18"/>
                <w:szCs w:val="18"/>
                <w:color w:val="0000FF"/>
              </w:rPr>
              <w:t xml:space="preserve"> </w:t>
            </w:r>
            <w:r>
              <w:rPr>
                <w:rFonts w:ascii="Arial" w:cs="Arial" w:eastAsia="Arial" w:hAnsi="Arial"/>
                <w:sz w:val="18"/>
                <w:szCs w:val="18"/>
                <w:color w:val="000000"/>
              </w:rPr>
              <w:t>the Trust’s 2008 Form 10-K and incorporated herein by reference)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ind w:left="4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30"/>
          </w:tcPr>
          <w:p>
            <w:pPr>
              <w:spacing w:after="0"/>
              <w:rPr>
                <w:rFonts w:ascii="Arial" w:cs="Arial" w:eastAsia="Arial" w:hAnsi="Arial"/>
                <w:sz w:val="18"/>
                <w:szCs w:val="18"/>
                <w:color w:val="auto"/>
                <w:w w:val="94"/>
              </w:rPr>
            </w:pPr>
            <w:hyperlink r:id="rId33">
              <w:r>
                <w:rPr>
                  <w:rFonts w:ascii="Arial" w:cs="Arial" w:eastAsia="Arial" w:hAnsi="Arial"/>
                  <w:sz w:val="18"/>
                  <w:szCs w:val="18"/>
                  <w:color w:val="auto"/>
                  <w:w w:val="94"/>
                </w:rPr>
                <w:t xml:space="preserve">* Second Amendment to Severance Agreement between the Trust and Dawn M. Becker dated January 1, 2009 (previously filed as </w:t>
              </w:r>
              <w:r>
                <w:rPr>
                  <w:rFonts w:ascii="Arial" w:cs="Arial" w:eastAsia="Arial" w:hAnsi="Arial"/>
                  <w:sz w:val="18"/>
                  <w:szCs w:val="18"/>
                  <w:color w:val="0000FF"/>
                  <w:w w:val="94"/>
                </w:rPr>
                <w:t>Exhibit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20" w:type="dxa"/>
            <w:vAlign w:val="bottom"/>
            <w:gridSpan w:val="25"/>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10.</w:t>
              </w:r>
              <w:r>
                <w:rPr>
                  <w:rFonts w:ascii="Arial" w:cs="Arial" w:eastAsia="Arial" w:hAnsi="Arial"/>
                  <w:sz w:val="18"/>
                  <w:szCs w:val="18"/>
                  <w:u w:val="single" w:color="auto"/>
                  <w:color w:val="0000FF"/>
                </w:rPr>
                <w:t>30</w:t>
              </w:r>
              <w:r>
                <w:rPr>
                  <w:rFonts w:ascii="Arial" w:cs="Arial" w:eastAsia="Arial" w:hAnsi="Arial"/>
                  <w:sz w:val="18"/>
                  <w:szCs w:val="18"/>
                  <w:color w:val="0000FF"/>
                </w:rPr>
                <w:t xml:space="preserve"> </w:t>
              </w:r>
              <w:r>
                <w:rPr>
                  <w:rFonts w:ascii="Arial" w:cs="Arial" w:eastAsia="Arial" w:hAnsi="Arial"/>
                  <w:sz w:val="18"/>
                  <w:szCs w:val="18"/>
                  <w:color w:val="000000"/>
                </w:rPr>
                <w:t>to the Trust’s 2008 Form 10-K and incorporated herein by reference)</w:t>
              </w:r>
            </w:hyperlink>
          </w:p>
        </w:tc>
        <w:tc>
          <w:tcPr>
            <w:tcW w:w="520" w:type="dxa"/>
            <w:vAlign w:val="bottom"/>
            <w:tcBorders>
              <w:top w:val="single" w:sz="8" w:color="0000FF"/>
            </w:tcBorders>
            <w:gridSpan w:val="4"/>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ind w:left="4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30"/>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2010 Performance Incentive Plan (previously filed as </w:t>
            </w:r>
            <w:hyperlink r:id="rId34">
              <w:r>
                <w:rPr>
                  <w:rFonts w:ascii="Arial" w:cs="Arial" w:eastAsia="Arial" w:hAnsi="Arial"/>
                  <w:sz w:val="18"/>
                  <w:szCs w:val="18"/>
                  <w:color w:val="0000FF"/>
                  <w:w w:val="94"/>
                </w:rPr>
                <w:t>Appendix A</w:t>
              </w:r>
              <w:r>
                <w:rPr>
                  <w:rFonts w:ascii="Arial" w:cs="Arial" w:eastAsia="Arial" w:hAnsi="Arial"/>
                  <w:sz w:val="18"/>
                  <w:szCs w:val="18"/>
                  <w:color w:val="auto"/>
                  <w:w w:val="94"/>
                </w:rPr>
                <w:t xml:space="preserve"> </w:t>
              </w:r>
            </w:hyperlink>
            <w:r>
              <w:rPr>
                <w:rFonts w:ascii="Arial" w:cs="Arial" w:eastAsia="Arial" w:hAnsi="Arial"/>
                <w:sz w:val="18"/>
                <w:szCs w:val="18"/>
                <w:color w:val="auto"/>
                <w:w w:val="94"/>
              </w:rPr>
              <w:t>to the Trust’s Definitive Proxy Statement for the 2010 Annual Meeting of</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Borders>
              <w:right w:val="single" w:sz="8" w:color="0000FF"/>
            </w:tcBorders>
            <w:gridSpan w:val="2"/>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30"/>
          </w:tcPr>
          <w:p>
            <w:pPr>
              <w:spacing w:after="0"/>
              <w:rPr>
                <w:sz w:val="20"/>
                <w:szCs w:val="20"/>
                <w:color w:val="auto"/>
              </w:rPr>
            </w:pPr>
            <w:r>
              <w:rPr>
                <w:rFonts w:ascii="Arial" w:cs="Arial" w:eastAsia="Arial" w:hAnsi="Arial"/>
                <w:sz w:val="18"/>
                <w:szCs w:val="18"/>
                <w:color w:val="auto"/>
              </w:rPr>
              <w:t>Shareholders (File No. 01-07533) and incorporated herein by reference)</w:t>
            </w:r>
          </w:p>
        </w:tc>
        <w:tc>
          <w:tcPr>
            <w:tcW w:w="0" w:type="dxa"/>
            <w:vAlign w:val="bottom"/>
          </w:tcPr>
          <w:p>
            <w:pPr>
              <w:spacing w:after="0"/>
              <w:rPr>
                <w:sz w:val="1"/>
                <w:szCs w:val="1"/>
                <w:color w:val="auto"/>
              </w:rPr>
            </w:pPr>
          </w:p>
        </w:tc>
      </w:tr>
      <w:tr>
        <w:trPr>
          <w:trHeight w:val="351"/>
        </w:trPr>
        <w:tc>
          <w:tcPr>
            <w:tcW w:w="920" w:type="dxa"/>
            <w:vAlign w:val="bottom"/>
          </w:tcPr>
          <w:p>
            <w:pPr>
              <w:ind w:left="4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30"/>
          </w:tcPr>
          <w:p>
            <w:pPr>
              <w:spacing w:after="0"/>
              <w:rPr>
                <w:rFonts w:ascii="Arial" w:cs="Arial" w:eastAsia="Arial" w:hAnsi="Arial"/>
                <w:sz w:val="18"/>
                <w:szCs w:val="18"/>
                <w:color w:val="auto"/>
                <w:w w:val="95"/>
              </w:rPr>
            </w:pPr>
            <w:r>
              <w:rPr>
                <w:rFonts w:ascii="Arial" w:cs="Arial" w:eastAsia="Arial" w:hAnsi="Arial"/>
                <w:sz w:val="18"/>
                <w:szCs w:val="18"/>
                <w:color w:val="auto"/>
                <w:w w:val="95"/>
              </w:rPr>
              <w:t xml:space="preserve">Amendment to 2010 Performance Incentive Plan (“the 2010 Plan”) (previously filed as </w:t>
            </w:r>
            <w:hyperlink r:id="rId34">
              <w:r>
                <w:rPr>
                  <w:rFonts w:ascii="Arial" w:cs="Arial" w:eastAsia="Arial" w:hAnsi="Arial"/>
                  <w:sz w:val="18"/>
                  <w:szCs w:val="18"/>
                  <w:color w:val="0000FF"/>
                  <w:w w:val="95"/>
                </w:rPr>
                <w:t>Appendix A</w:t>
              </w:r>
              <w:r>
                <w:rPr>
                  <w:rFonts w:ascii="Arial" w:cs="Arial" w:eastAsia="Arial" w:hAnsi="Arial"/>
                  <w:sz w:val="18"/>
                  <w:szCs w:val="18"/>
                  <w:color w:val="auto"/>
                  <w:w w:val="95"/>
                </w:rPr>
                <w:t xml:space="preserve"> </w:t>
              </w:r>
            </w:hyperlink>
            <w:r>
              <w:rPr>
                <w:rFonts w:ascii="Arial" w:cs="Arial" w:eastAsia="Arial" w:hAnsi="Arial"/>
                <w:sz w:val="18"/>
                <w:szCs w:val="18"/>
                <w:color w:val="auto"/>
                <w:w w:val="95"/>
              </w:rPr>
              <w:t>to the Trust’s Proxy Statement for the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30"/>
          </w:tcPr>
          <w:p>
            <w:pPr>
              <w:spacing w:after="0"/>
              <w:rPr>
                <w:sz w:val="20"/>
                <w:szCs w:val="20"/>
                <w:color w:val="auto"/>
              </w:rPr>
            </w:pPr>
            <w:r>
              <w:rPr>
                <w:rFonts w:ascii="Arial" w:cs="Arial" w:eastAsia="Arial" w:hAnsi="Arial"/>
                <w:sz w:val="18"/>
                <w:szCs w:val="18"/>
                <w:color w:val="auto"/>
              </w:rPr>
              <w:t>2010 Annual Meeting of Shareholders (File No. 01-07533) and incorporated herein by reference)</w:t>
            </w:r>
          </w:p>
        </w:tc>
        <w:tc>
          <w:tcPr>
            <w:tcW w:w="0" w:type="dxa"/>
            <w:vAlign w:val="bottom"/>
          </w:tcPr>
          <w:p>
            <w:pPr>
              <w:spacing w:after="0"/>
              <w:rPr>
                <w:sz w:val="1"/>
                <w:szCs w:val="1"/>
                <w:color w:val="auto"/>
              </w:rPr>
            </w:pPr>
          </w:p>
        </w:tc>
      </w:tr>
      <w:tr>
        <w:trPr>
          <w:trHeight w:val="351"/>
        </w:trPr>
        <w:tc>
          <w:tcPr>
            <w:tcW w:w="920" w:type="dxa"/>
            <w:vAlign w:val="bottom"/>
          </w:tcPr>
          <w:p>
            <w:pPr>
              <w:ind w:left="4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30"/>
          </w:tcPr>
          <w:p>
            <w:pPr>
              <w:spacing w:after="0"/>
              <w:rPr>
                <w:rFonts w:ascii="Arial" w:cs="Arial" w:eastAsia="Arial" w:hAnsi="Arial"/>
                <w:sz w:val="18"/>
                <w:szCs w:val="18"/>
                <w:color w:val="auto"/>
                <w:w w:val="91"/>
              </w:rPr>
            </w:pPr>
            <w:r>
              <w:rPr>
                <w:rFonts w:ascii="Arial" w:cs="Arial" w:eastAsia="Arial" w:hAnsi="Arial"/>
                <w:sz w:val="18"/>
                <w:szCs w:val="18"/>
                <w:color w:val="auto"/>
                <w:w w:val="91"/>
              </w:rPr>
              <w:t xml:space="preserve">* Restricted Share Award Agreement between the Trust and Donald C. Wood dated October 12, 2010 (previously filed as </w:t>
            </w:r>
            <w:hyperlink r:id="rId35">
              <w:r>
                <w:rPr>
                  <w:rFonts w:ascii="Arial" w:cs="Arial" w:eastAsia="Arial" w:hAnsi="Arial"/>
                  <w:sz w:val="18"/>
                  <w:szCs w:val="18"/>
                  <w:color w:val="0000FF"/>
                  <w:w w:val="91"/>
                </w:rPr>
                <w:t>Exhibit 10.36</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30"/>
          </w:tcPr>
          <w:p>
            <w:pPr>
              <w:spacing w:after="0"/>
              <w:rPr>
                <w:sz w:val="20"/>
                <w:szCs w:val="20"/>
                <w:color w:val="auto"/>
              </w:rPr>
            </w:pPr>
            <w:r>
              <w:rPr>
                <w:rFonts w:ascii="Arial" w:cs="Arial" w:eastAsia="Arial" w:hAnsi="Arial"/>
                <w:sz w:val="18"/>
                <w:szCs w:val="18"/>
                <w:color w:val="auto"/>
                <w:w w:val="92"/>
              </w:rPr>
              <w:t>Trust’s Quarterly Report on Form 10-Q for the quarter ended September 30, 2010 (File No. 01-07533)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30"/>
          </w:tcPr>
          <w:p>
            <w:pPr>
              <w:spacing w:after="0"/>
              <w:rPr>
                <w:sz w:val="20"/>
                <w:szCs w:val="20"/>
                <w:color w:val="auto"/>
              </w:rPr>
            </w:pPr>
            <w:r>
              <w:rPr>
                <w:rFonts w:ascii="Arial" w:cs="Arial" w:eastAsia="Arial" w:hAnsi="Arial"/>
                <w:sz w:val="18"/>
                <w:szCs w:val="18"/>
                <w:color w:val="auto"/>
                <w:w w:val="92"/>
              </w:rPr>
              <w:t>Form of Restricted Share Award Agreement for awards made under the Trust’s Long-Term Incentive Award Program and the Trust’s Annual</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30"/>
          </w:tcPr>
          <w:p>
            <w:pPr>
              <w:spacing w:after="0" w:line="189" w:lineRule="exact"/>
              <w:rPr>
                <w:rFonts w:ascii="Arial" w:cs="Arial" w:eastAsia="Arial" w:hAnsi="Arial"/>
                <w:sz w:val="18"/>
                <w:szCs w:val="18"/>
                <w:color w:val="auto"/>
                <w:w w:val="91"/>
              </w:rPr>
            </w:pPr>
            <w:r>
              <w:rPr>
                <w:rFonts w:ascii="Arial" w:cs="Arial" w:eastAsia="Arial" w:hAnsi="Arial"/>
                <w:sz w:val="18"/>
                <w:szCs w:val="18"/>
                <w:color w:val="auto"/>
                <w:w w:val="91"/>
              </w:rPr>
              <w:t xml:space="preserve">Incentive Bonus Program and basic awards with annual vesting for shares issued out of the 2010 Plan (previously filed as </w:t>
            </w:r>
            <w:hyperlink r:id="rId36">
              <w:r>
                <w:rPr>
                  <w:rFonts w:ascii="Arial" w:cs="Arial" w:eastAsia="Arial" w:hAnsi="Arial"/>
                  <w:sz w:val="18"/>
                  <w:szCs w:val="18"/>
                  <w:color w:val="0000FF"/>
                  <w:w w:val="91"/>
                </w:rPr>
                <w:t>Exhibit 10.34</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w:t>
            </w:r>
          </w:p>
        </w:tc>
        <w:tc>
          <w:tcPr>
            <w:tcW w:w="0" w:type="dxa"/>
            <w:vAlign w:val="bottom"/>
          </w:tcPr>
          <w:p>
            <w:pPr>
              <w:spacing w:after="0"/>
              <w:rPr>
                <w:sz w:val="1"/>
                <w:szCs w:val="1"/>
                <w:color w:val="auto"/>
              </w:rPr>
            </w:pPr>
          </w:p>
        </w:tc>
      </w:tr>
      <w:tr>
        <w:trPr>
          <w:trHeight w:val="236"/>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780" w:type="dxa"/>
            <w:vAlign w:val="bottom"/>
            <w:gridSpan w:val="22"/>
          </w:tcPr>
          <w:p>
            <w:pPr>
              <w:spacing w:after="0"/>
              <w:rPr>
                <w:sz w:val="20"/>
                <w:szCs w:val="20"/>
                <w:color w:val="auto"/>
              </w:rPr>
            </w:pPr>
            <w:r>
              <w:rPr>
                <w:rFonts w:ascii="Arial" w:cs="Arial" w:eastAsia="Arial" w:hAnsi="Arial"/>
                <w:sz w:val="18"/>
                <w:szCs w:val="18"/>
                <w:color w:val="auto"/>
              </w:rPr>
              <w:t>Trust’s 2010 Form 10-K (File No. 1-07533) and incorporated herein by reference)</w:t>
            </w:r>
          </w:p>
        </w:tc>
        <w:tc>
          <w:tcPr>
            <w:tcW w:w="1020" w:type="dxa"/>
            <w:vAlign w:val="bottom"/>
            <w:tcBorders>
              <w:top w:val="single" w:sz="8" w:color="0000FF"/>
            </w:tcBorders>
            <w:gridSpan w:val="5"/>
          </w:tcPr>
          <w:p>
            <w:pPr>
              <w:spacing w:after="0"/>
              <w:rPr>
                <w:sz w:val="20"/>
                <w:szCs w:val="20"/>
                <w:color w:val="auto"/>
              </w:rPr>
            </w:pPr>
          </w:p>
        </w:tc>
        <w:tc>
          <w:tcPr>
            <w:tcW w:w="54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30"/>
          </w:tcPr>
          <w:p>
            <w:pPr>
              <w:spacing w:after="0"/>
              <w:rPr>
                <w:sz w:val="20"/>
                <w:szCs w:val="20"/>
                <w:color w:val="auto"/>
              </w:rPr>
            </w:pPr>
            <w:r>
              <w:rPr>
                <w:rFonts w:ascii="Arial" w:cs="Arial" w:eastAsia="Arial" w:hAnsi="Arial"/>
                <w:sz w:val="18"/>
                <w:szCs w:val="18"/>
                <w:color w:val="auto"/>
                <w:w w:val="92"/>
              </w:rPr>
              <w:t>Form of Option Award Agreement for awards made under the Trust’s Long-Term Incentive Award Program for shares issued out of the 2010</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30"/>
          </w:tcPr>
          <w:p>
            <w:pPr>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Plan (previously filed as </w:t>
            </w:r>
            <w:hyperlink r:id="rId37">
              <w:r>
                <w:rPr>
                  <w:rFonts w:ascii="Arial" w:cs="Arial" w:eastAsia="Arial" w:hAnsi="Arial"/>
                  <w:sz w:val="18"/>
                  <w:szCs w:val="18"/>
                  <w:color w:val="0000FF"/>
                </w:rPr>
                <w:t>Exhibit 10.38</w:t>
              </w:r>
              <w:r>
                <w:rPr>
                  <w:rFonts w:ascii="Arial" w:cs="Arial" w:eastAsia="Arial" w:hAnsi="Arial"/>
                  <w:sz w:val="18"/>
                  <w:szCs w:val="18"/>
                  <w:color w:val="auto"/>
                </w:rPr>
                <w:t xml:space="preserve"> </w:t>
              </w:r>
            </w:hyperlink>
            <w:r>
              <w:rPr>
                <w:rFonts w:ascii="Arial" w:cs="Arial" w:eastAsia="Arial" w:hAnsi="Arial"/>
                <w:sz w:val="18"/>
                <w:szCs w:val="18"/>
                <w:color w:val="auto"/>
              </w:rPr>
              <w:t>to the Trust’s 2010 Form 10-K (File No. 1-07533) and incorporated herein by reference)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920" w:type="dxa"/>
            <w:vAlign w:val="bottom"/>
          </w:tcPr>
          <w:p>
            <w:pPr>
              <w:ind w:left="40"/>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30"/>
          </w:tcPr>
          <w:p>
            <w:pPr>
              <w:spacing w:after="0"/>
              <w:rPr>
                <w:sz w:val="20"/>
                <w:szCs w:val="20"/>
                <w:color w:val="auto"/>
              </w:rPr>
            </w:pPr>
            <w:r>
              <w:rPr>
                <w:rFonts w:ascii="Arial" w:cs="Arial" w:eastAsia="Arial" w:hAnsi="Arial"/>
                <w:sz w:val="18"/>
                <w:szCs w:val="18"/>
                <w:color w:val="auto"/>
                <w:w w:val="92"/>
              </w:rPr>
              <w:t>Form of Option Award Agreement for front loaded awards made under the Trust’s Long-Term Incentive Award Program for shares issued out</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30"/>
          </w:tcPr>
          <w:p>
            <w:pPr>
              <w:spacing w:after="0" w:line="189" w:lineRule="exact"/>
              <w:rPr>
                <w:rFonts w:ascii="Arial" w:cs="Arial" w:eastAsia="Arial" w:hAnsi="Arial"/>
                <w:sz w:val="18"/>
                <w:szCs w:val="18"/>
                <w:color w:val="auto"/>
                <w:w w:val="94"/>
              </w:rPr>
            </w:pPr>
            <w:r>
              <w:rPr>
                <w:rFonts w:ascii="Arial" w:cs="Arial" w:eastAsia="Arial" w:hAnsi="Arial"/>
                <w:sz w:val="18"/>
                <w:szCs w:val="18"/>
                <w:color w:val="auto"/>
                <w:w w:val="94"/>
              </w:rPr>
              <w:t xml:space="preserve">of the 2010 Plan (previously filed as </w:t>
            </w:r>
            <w:hyperlink r:id="rId38">
              <w:r>
                <w:rPr>
                  <w:rFonts w:ascii="Arial" w:cs="Arial" w:eastAsia="Arial" w:hAnsi="Arial"/>
                  <w:sz w:val="18"/>
                  <w:szCs w:val="18"/>
                  <w:color w:val="0000FF"/>
                  <w:w w:val="94"/>
                </w:rPr>
                <w:t>Exhibit 10.39</w:t>
              </w:r>
              <w:r>
                <w:rPr>
                  <w:rFonts w:ascii="Arial" w:cs="Arial" w:eastAsia="Arial" w:hAnsi="Arial"/>
                  <w:sz w:val="18"/>
                  <w:szCs w:val="18"/>
                  <w:color w:val="auto"/>
                  <w:w w:val="94"/>
                </w:rPr>
                <w:t xml:space="preserve"> </w:t>
              </w:r>
            </w:hyperlink>
            <w:r>
              <w:rPr>
                <w:rFonts w:ascii="Arial" w:cs="Arial" w:eastAsia="Arial" w:hAnsi="Arial"/>
                <w:sz w:val="18"/>
                <w:szCs w:val="18"/>
                <w:color w:val="auto"/>
                <w:w w:val="94"/>
              </w:rPr>
              <w:t>to the Trust’s 2010 Form 10-K (File No. 1-07533) and incorporated herein by reference)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20" w:type="dxa"/>
            <w:vAlign w:val="bottom"/>
          </w:tcPr>
          <w:p>
            <w:pPr>
              <w:ind w:left="4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30"/>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Form of Option Award Agreement for basic options awarded out of the 2010 Plan (previously filed as </w:t>
            </w:r>
            <w:hyperlink r:id="rId39">
              <w:r>
                <w:rPr>
                  <w:rFonts w:ascii="Arial" w:cs="Arial" w:eastAsia="Arial" w:hAnsi="Arial"/>
                  <w:sz w:val="18"/>
                  <w:szCs w:val="18"/>
                  <w:color w:val="0000FF"/>
                  <w:w w:val="93"/>
                </w:rPr>
                <w:t>Exhibit 10.40</w:t>
              </w:r>
              <w:r>
                <w:rPr>
                  <w:rFonts w:ascii="Arial" w:cs="Arial" w:eastAsia="Arial" w:hAnsi="Arial"/>
                  <w:sz w:val="18"/>
                  <w:szCs w:val="18"/>
                  <w:color w:val="auto"/>
                  <w:w w:val="93"/>
                </w:rPr>
                <w:t xml:space="preserve"> </w:t>
              </w:r>
            </w:hyperlink>
            <w:r>
              <w:rPr>
                <w:rFonts w:ascii="Arial" w:cs="Arial" w:eastAsia="Arial" w:hAnsi="Arial"/>
                <w:sz w:val="18"/>
                <w:szCs w:val="18"/>
                <w:color w:val="auto"/>
                <w:w w:val="93"/>
              </w:rPr>
              <w:t>to the Trust’s 2010 Form</w:t>
            </w:r>
          </w:p>
        </w:tc>
        <w:tc>
          <w:tcPr>
            <w:tcW w:w="0" w:type="dxa"/>
            <w:vAlign w:val="bottom"/>
          </w:tcPr>
          <w:p>
            <w:pPr>
              <w:spacing w:after="0"/>
              <w:rPr>
                <w:sz w:val="1"/>
                <w:szCs w:val="1"/>
                <w:color w:val="auto"/>
              </w:rPr>
            </w:pPr>
          </w:p>
        </w:tc>
      </w:tr>
      <w:tr>
        <w:trPr>
          <w:trHeight w:val="236"/>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360" w:type="dxa"/>
            <w:vAlign w:val="bottom"/>
            <w:gridSpan w:val="20"/>
          </w:tcPr>
          <w:p>
            <w:pPr>
              <w:spacing w:after="0"/>
              <w:rPr>
                <w:sz w:val="20"/>
                <w:szCs w:val="20"/>
                <w:color w:val="auto"/>
              </w:rPr>
            </w:pPr>
            <w:r>
              <w:rPr>
                <w:rFonts w:ascii="Arial" w:cs="Arial" w:eastAsia="Arial" w:hAnsi="Arial"/>
                <w:sz w:val="18"/>
                <w:szCs w:val="18"/>
                <w:color w:val="auto"/>
              </w:rPr>
              <w:t>10-K (File No. 1-07533) and incorporated herein by reference)</w:t>
            </w:r>
          </w:p>
        </w:tc>
        <w:tc>
          <w:tcPr>
            <w:tcW w:w="980" w:type="dxa"/>
            <w:vAlign w:val="bottom"/>
            <w:tcBorders>
              <w:top w:val="single" w:sz="8" w:color="0000FF"/>
            </w:tcBorders>
          </w:tcPr>
          <w:p>
            <w:pPr>
              <w:spacing w:after="0"/>
              <w:rPr>
                <w:sz w:val="20"/>
                <w:szCs w:val="20"/>
                <w:color w:val="auto"/>
              </w:rPr>
            </w:pPr>
          </w:p>
        </w:tc>
        <w:tc>
          <w:tcPr>
            <w:tcW w:w="200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30"/>
          </w:tcPr>
          <w:p>
            <w:pPr>
              <w:spacing w:after="0"/>
              <w:rPr>
                <w:sz w:val="20"/>
                <w:szCs w:val="20"/>
                <w:color w:val="auto"/>
              </w:rPr>
            </w:pPr>
            <w:r>
              <w:rPr>
                <w:rFonts w:ascii="Arial" w:cs="Arial" w:eastAsia="Arial" w:hAnsi="Arial"/>
                <w:sz w:val="18"/>
                <w:szCs w:val="18"/>
                <w:color w:val="auto"/>
                <w:w w:val="95"/>
              </w:rPr>
              <w:t>Form of Restricted Share Award Agreement, dated as of February 10, 2011, between the Trust and Dawn M. Becker (previously filed as</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30"/>
          </w:tcPr>
          <w:p>
            <w:pPr>
              <w:spacing w:after="0" w:line="189" w:lineRule="exact"/>
              <w:rPr>
                <w:rFonts w:ascii="Arial" w:cs="Arial" w:eastAsia="Arial" w:hAnsi="Arial"/>
                <w:sz w:val="18"/>
                <w:szCs w:val="18"/>
                <w:color w:val="0000FF"/>
              </w:rPr>
            </w:pPr>
            <w:hyperlink r:id="rId40">
              <w:r>
                <w:rPr>
                  <w:rFonts w:ascii="Arial" w:cs="Arial" w:eastAsia="Arial" w:hAnsi="Arial"/>
                  <w:sz w:val="18"/>
                  <w:szCs w:val="18"/>
                  <w:color w:val="0000FF"/>
                </w:rPr>
                <w:t xml:space="preserve">Exhibit 10.41 </w:t>
              </w:r>
            </w:hyperlink>
            <w:r>
              <w:rPr>
                <w:rFonts w:ascii="Arial" w:cs="Arial" w:eastAsia="Arial" w:hAnsi="Arial"/>
                <w:sz w:val="18"/>
                <w:szCs w:val="18"/>
                <w:color w:val="000000"/>
              </w:rPr>
              <w:t>to</w:t>
            </w:r>
            <w:r>
              <w:rPr>
                <w:rFonts w:ascii="Arial" w:cs="Arial" w:eastAsia="Arial" w:hAnsi="Arial"/>
                <w:sz w:val="18"/>
                <w:szCs w:val="18"/>
                <w:color w:val="0000FF"/>
              </w:rPr>
              <w:t xml:space="preserve"> </w:t>
            </w:r>
            <w:r>
              <w:rPr>
                <w:rFonts w:ascii="Arial" w:cs="Arial" w:eastAsia="Arial" w:hAnsi="Arial"/>
                <w:sz w:val="18"/>
                <w:szCs w:val="18"/>
                <w:color w:val="000000"/>
              </w:rPr>
              <w:t>the Trust’s 2010 Form 10-K (File No. 1-07533) and incorporated herein by reference)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550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920" w:type="dxa"/>
            <w:vAlign w:val="bottom"/>
          </w:tcPr>
          <w:p>
            <w:pPr>
              <w:ind w:left="40"/>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30"/>
          </w:tcPr>
          <w:p>
            <w:pPr>
              <w:spacing w:after="0"/>
              <w:rPr>
                <w:sz w:val="20"/>
                <w:szCs w:val="20"/>
                <w:color w:val="auto"/>
              </w:rPr>
            </w:pPr>
            <w:r>
              <w:rPr>
                <w:rFonts w:ascii="Arial" w:cs="Arial" w:eastAsia="Arial" w:hAnsi="Arial"/>
                <w:sz w:val="18"/>
                <w:szCs w:val="18"/>
                <w:color w:val="auto"/>
                <w:w w:val="93"/>
              </w:rPr>
              <w:t>Credit Agreement dated as of July 7, 2011, by and among the Trust, as Borrower, the financial institutions party thereto and their permitted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340" w:type="dxa"/>
            <w:vAlign w:val="bottom"/>
            <w:gridSpan w:val="30"/>
          </w:tcPr>
          <w:p>
            <w:pPr>
              <w:spacing w:after="0"/>
              <w:rPr>
                <w:sz w:val="20"/>
                <w:szCs w:val="20"/>
                <w:color w:val="auto"/>
              </w:rPr>
            </w:pPr>
            <w:r>
              <w:rPr>
                <w:rFonts w:ascii="Arial" w:cs="Arial" w:eastAsia="Arial" w:hAnsi="Arial"/>
                <w:sz w:val="18"/>
                <w:szCs w:val="18"/>
                <w:color w:val="auto"/>
                <w:w w:val="99"/>
              </w:rPr>
              <w:t>assignees under Section 12.6., as Lenders, Wells Fargo Bank, National Association, as Administrative Agent, PNC Bank, National</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340" w:type="dxa"/>
            <w:vAlign w:val="bottom"/>
            <w:gridSpan w:val="30"/>
          </w:tcPr>
          <w:p>
            <w:pPr>
              <w:spacing w:after="0"/>
              <w:rPr>
                <w:sz w:val="20"/>
                <w:szCs w:val="20"/>
                <w:color w:val="auto"/>
              </w:rPr>
            </w:pPr>
            <w:r>
              <w:rPr>
                <w:rFonts w:ascii="Arial" w:cs="Arial" w:eastAsia="Arial" w:hAnsi="Arial"/>
                <w:sz w:val="18"/>
                <w:szCs w:val="18"/>
                <w:color w:val="auto"/>
                <w:w w:val="92"/>
              </w:rPr>
              <w:t>Association, as Syndication Agent, Wells Fargo Securities, LLC, as a Lead Arranger and Book Manager, and PNC Capital Markets LLC, as a</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30"/>
          </w:tcPr>
          <w:p>
            <w:pPr>
              <w:spacing w:after="0" w:line="189" w:lineRule="exact"/>
              <w:rPr>
                <w:rFonts w:ascii="Arial" w:cs="Arial" w:eastAsia="Arial" w:hAnsi="Arial"/>
                <w:sz w:val="18"/>
                <w:szCs w:val="18"/>
                <w:color w:val="auto"/>
                <w:w w:val="95"/>
              </w:rPr>
            </w:pPr>
            <w:r>
              <w:rPr>
                <w:rFonts w:ascii="Arial" w:cs="Arial" w:eastAsia="Arial" w:hAnsi="Arial"/>
                <w:sz w:val="18"/>
                <w:szCs w:val="18"/>
                <w:color w:val="auto"/>
                <w:w w:val="95"/>
              </w:rPr>
              <w:t xml:space="preserve">Lead Arranger and Book Manager (previously filed as </w:t>
            </w:r>
            <w:hyperlink r:id="rId41">
              <w:r>
                <w:rPr>
                  <w:rFonts w:ascii="Arial" w:cs="Arial" w:eastAsia="Arial" w:hAnsi="Arial"/>
                  <w:sz w:val="18"/>
                  <w:szCs w:val="18"/>
                  <w:color w:val="0000FF"/>
                  <w:w w:val="95"/>
                </w:rPr>
                <w:t>Exhibit 10.1</w:t>
              </w:r>
              <w:r>
                <w:rPr>
                  <w:rFonts w:ascii="Arial" w:cs="Arial" w:eastAsia="Arial" w:hAnsi="Arial"/>
                  <w:sz w:val="18"/>
                  <w:szCs w:val="18"/>
                  <w:color w:val="auto"/>
                  <w:w w:val="95"/>
                </w:rPr>
                <w:t xml:space="preserve"> </w:t>
              </w:r>
            </w:hyperlink>
            <w:r>
              <w:rPr>
                <w:rFonts w:ascii="Arial" w:cs="Arial" w:eastAsia="Arial" w:hAnsi="Arial"/>
                <w:sz w:val="18"/>
                <w:szCs w:val="18"/>
                <w:color w:val="auto"/>
                <w:w w:val="95"/>
              </w:rPr>
              <w:t>to the Trust’s Current Report on Form 8-K (File No. 1-07533), filed on</w:t>
            </w:r>
          </w:p>
        </w:tc>
        <w:tc>
          <w:tcPr>
            <w:tcW w:w="0" w:type="dxa"/>
            <w:vAlign w:val="bottom"/>
          </w:tcPr>
          <w:p>
            <w:pPr>
              <w:spacing w:after="0"/>
              <w:rPr>
                <w:sz w:val="1"/>
                <w:szCs w:val="1"/>
                <w:color w:val="auto"/>
              </w:rPr>
            </w:pPr>
          </w:p>
        </w:tc>
      </w:tr>
      <w:tr>
        <w:trPr>
          <w:trHeight w:val="236"/>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gridSpan w:val="10"/>
          </w:tcPr>
          <w:p>
            <w:pPr>
              <w:spacing w:after="0"/>
              <w:rPr>
                <w:sz w:val="20"/>
                <w:szCs w:val="20"/>
                <w:color w:val="auto"/>
              </w:rPr>
            </w:pPr>
            <w:r>
              <w:rPr>
                <w:rFonts w:ascii="Arial" w:cs="Arial" w:eastAsia="Arial" w:hAnsi="Arial"/>
                <w:sz w:val="18"/>
                <w:szCs w:val="18"/>
                <w:color w:val="auto"/>
                <w:w w:val="94"/>
              </w:rPr>
              <w:t>July 11, 2011 and incorporated herein by reference)</w:t>
            </w:r>
          </w:p>
        </w:tc>
        <w:tc>
          <w:tcPr>
            <w:tcW w:w="900" w:type="dxa"/>
            <w:vAlign w:val="bottom"/>
            <w:tcBorders>
              <w:top w:val="single" w:sz="8" w:color="0000FF"/>
            </w:tcBorders>
            <w:gridSpan w:val="4"/>
          </w:tcPr>
          <w:p>
            <w:pPr>
              <w:spacing w:after="0"/>
              <w:rPr>
                <w:sz w:val="20"/>
                <w:szCs w:val="20"/>
                <w:color w:val="auto"/>
              </w:rPr>
            </w:pPr>
          </w:p>
        </w:tc>
        <w:tc>
          <w:tcPr>
            <w:tcW w:w="5500" w:type="dxa"/>
            <w:vAlign w:val="bottom"/>
            <w:gridSpan w:val="16"/>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80" w:type="dxa"/>
            <w:vAlign w:val="bottom"/>
            <w:gridSpan w:val="13"/>
          </w:tcPr>
          <w:p>
            <w:pPr>
              <w:jc w:val="right"/>
              <w:ind w:right="2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10340" w:type="dxa"/>
            <w:vAlign w:val="bottom"/>
            <w:gridSpan w:val="2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60"/>
              <w:spacing w:after="0"/>
              <w:rPr>
                <w:sz w:val="20"/>
                <w:szCs w:val="20"/>
                <w:color w:val="auto"/>
              </w:rPr>
            </w:pPr>
            <w:r>
              <w:rPr>
                <w:rFonts w:ascii="Arial" w:cs="Arial" w:eastAsia="Arial" w:hAnsi="Arial"/>
                <w:sz w:val="14"/>
                <w:szCs w:val="14"/>
                <w:b w:val="1"/>
                <w:bCs w:val="1"/>
                <w:color w:val="auto"/>
              </w:rPr>
              <w:t>No.</w:t>
            </w:r>
          </w:p>
        </w:tc>
        <w:tc>
          <w:tcPr>
            <w:tcW w:w="40" w:type="dxa"/>
            <w:vAlign w:val="bottom"/>
          </w:tcPr>
          <w:p>
            <w:pPr>
              <w:spacing w:after="0"/>
              <w:rPr>
                <w:sz w:val="16"/>
                <w:szCs w:val="16"/>
                <w:color w:val="auto"/>
              </w:rPr>
            </w:pPr>
          </w:p>
        </w:tc>
        <w:tc>
          <w:tcPr>
            <w:tcW w:w="10340" w:type="dxa"/>
            <w:vAlign w:val="bottom"/>
            <w:gridSpan w:val="2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340" w:type="dxa"/>
            <w:vAlign w:val="bottom"/>
            <w:tcBorders>
              <w:top w:val="single" w:sz="8" w:color="auto"/>
            </w:tcBorders>
            <w:gridSpan w:val="27"/>
          </w:tcPr>
          <w:p>
            <w:pPr>
              <w:spacing w:after="0"/>
              <w:rPr>
                <w:sz w:val="20"/>
                <w:szCs w:val="20"/>
                <w:color w:val="auto"/>
              </w:rPr>
            </w:pPr>
            <w:r>
              <w:rPr>
                <w:rFonts w:ascii="Arial" w:cs="Arial" w:eastAsia="Arial" w:hAnsi="Arial"/>
                <w:sz w:val="18"/>
                <w:szCs w:val="18"/>
                <w:color w:val="auto"/>
                <w:w w:val="92"/>
              </w:rPr>
              <w:t>Term Loan Agreement dated as of November 22, 2011, by and among the Trust, as Borrower, the financial institutions party thereto and their</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340" w:type="dxa"/>
            <w:vAlign w:val="bottom"/>
            <w:gridSpan w:val="27"/>
          </w:tcPr>
          <w:p>
            <w:pPr>
              <w:spacing w:after="0"/>
              <w:rPr>
                <w:sz w:val="20"/>
                <w:szCs w:val="20"/>
                <w:color w:val="auto"/>
              </w:rPr>
            </w:pPr>
            <w:r>
              <w:rPr>
                <w:rFonts w:ascii="Arial" w:cs="Arial" w:eastAsia="Arial" w:hAnsi="Arial"/>
                <w:sz w:val="18"/>
                <w:szCs w:val="18"/>
                <w:color w:val="auto"/>
                <w:w w:val="98"/>
              </w:rPr>
              <w:t>permitted assignees under Section 12.6., as Lenders, PNC Bank, National Association, as Administrative Agent, Capital One, N.A.,</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340" w:type="dxa"/>
            <w:vAlign w:val="bottom"/>
            <w:gridSpan w:val="27"/>
          </w:tcPr>
          <w:p>
            <w:pPr>
              <w:spacing w:after="0"/>
              <w:rPr>
                <w:sz w:val="20"/>
                <w:szCs w:val="20"/>
                <w:color w:val="auto"/>
              </w:rPr>
            </w:pPr>
            <w:r>
              <w:rPr>
                <w:rFonts w:ascii="Arial" w:cs="Arial" w:eastAsia="Arial" w:hAnsi="Arial"/>
                <w:sz w:val="18"/>
                <w:szCs w:val="18"/>
                <w:color w:val="auto"/>
                <w:w w:val="92"/>
              </w:rPr>
              <w:t>Syndication Agent, PNC Capital Markets, LLC, as a Lead Arranger and Book Manager, and Capital One, N.A., as a Lead Arranger and Book</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7"/>
          </w:tcPr>
          <w:p>
            <w:pPr>
              <w:spacing w:after="0" w:line="189" w:lineRule="exact"/>
              <w:rPr>
                <w:rFonts w:ascii="Arial" w:cs="Arial" w:eastAsia="Arial" w:hAnsi="Arial"/>
                <w:sz w:val="18"/>
                <w:szCs w:val="18"/>
                <w:color w:val="auto"/>
                <w:w w:val="95"/>
              </w:rPr>
            </w:pPr>
            <w:r>
              <w:rPr>
                <w:rFonts w:ascii="Arial" w:cs="Arial" w:eastAsia="Arial" w:hAnsi="Arial"/>
                <w:sz w:val="18"/>
                <w:szCs w:val="18"/>
                <w:color w:val="auto"/>
                <w:w w:val="95"/>
              </w:rPr>
              <w:t xml:space="preserve">Manager (previously filed as </w:t>
            </w:r>
            <w:hyperlink r:id="rId42">
              <w:r>
                <w:rPr>
                  <w:rFonts w:ascii="Arial" w:cs="Arial" w:eastAsia="Arial" w:hAnsi="Arial"/>
                  <w:sz w:val="18"/>
                  <w:szCs w:val="18"/>
                  <w:color w:val="0000FF"/>
                  <w:w w:val="95"/>
                </w:rPr>
                <w:t>Exhibit 10.1</w:t>
              </w:r>
              <w:r>
                <w:rPr>
                  <w:rFonts w:ascii="Arial" w:cs="Arial" w:eastAsia="Arial" w:hAnsi="Arial"/>
                  <w:sz w:val="18"/>
                  <w:szCs w:val="18"/>
                  <w:color w:val="auto"/>
                  <w:w w:val="95"/>
                </w:rPr>
                <w:t xml:space="preserve"> </w:t>
              </w:r>
            </w:hyperlink>
            <w:r>
              <w:rPr>
                <w:rFonts w:ascii="Arial" w:cs="Arial" w:eastAsia="Arial" w:hAnsi="Arial"/>
                <w:sz w:val="18"/>
                <w:szCs w:val="18"/>
                <w:color w:val="auto"/>
                <w:w w:val="95"/>
              </w:rPr>
              <w:t>to the Trust's Current Report on Form 8-K (File No. 1-07533), filed on November 28, 2011 and</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7"/>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255"/>
        </w:trPr>
        <w:tc>
          <w:tcPr>
            <w:tcW w:w="920" w:type="dxa"/>
            <w:vAlign w:val="bottom"/>
          </w:tcPr>
          <w:p>
            <w:pPr>
              <w:ind w:left="40"/>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340" w:type="dxa"/>
            <w:vAlign w:val="bottom"/>
            <w:gridSpan w:val="27"/>
          </w:tcPr>
          <w:p>
            <w:pPr>
              <w:spacing w:after="0"/>
              <w:rPr>
                <w:sz w:val="20"/>
                <w:szCs w:val="20"/>
                <w:color w:val="auto"/>
              </w:rPr>
            </w:pPr>
            <w:r>
              <w:rPr>
                <w:rFonts w:ascii="Arial" w:cs="Arial" w:eastAsia="Arial" w:hAnsi="Arial"/>
                <w:sz w:val="18"/>
                <w:szCs w:val="18"/>
                <w:color w:val="auto"/>
                <w:w w:val="91"/>
              </w:rPr>
              <w:t>Revised Form of Restricted Share Award Agreement for front loaded awards made under the Trust’s Long-Term Incentive Award Program for</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7"/>
          </w:tcPr>
          <w:p>
            <w:pPr>
              <w:spacing w:after="0" w:line="189" w:lineRule="exact"/>
              <w:rPr>
                <w:rFonts w:ascii="Arial" w:cs="Arial" w:eastAsia="Arial" w:hAnsi="Arial"/>
                <w:sz w:val="18"/>
                <w:szCs w:val="18"/>
                <w:color w:val="auto"/>
                <w:w w:val="91"/>
              </w:rPr>
            </w:pPr>
            <w:r>
              <w:rPr>
                <w:rFonts w:ascii="Arial" w:cs="Arial" w:eastAsia="Arial" w:hAnsi="Arial"/>
                <w:sz w:val="18"/>
                <w:szCs w:val="18"/>
                <w:color w:val="auto"/>
                <w:w w:val="91"/>
              </w:rPr>
              <w:t xml:space="preserve">shares issued out of the 2010 Plan (previously filed as </w:t>
            </w:r>
            <w:hyperlink r:id="rId43">
              <w:r>
                <w:rPr>
                  <w:rFonts w:ascii="Arial" w:cs="Arial" w:eastAsia="Arial" w:hAnsi="Arial"/>
                  <w:sz w:val="18"/>
                  <w:szCs w:val="18"/>
                  <w:color w:val="0000FF"/>
                  <w:w w:val="91"/>
                </w:rPr>
                <w:t>Exhibit 10.35</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 Trust's Annual Report on Form 10-K for the year ended December</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7"/>
          </w:tcPr>
          <w:p>
            <w:pPr>
              <w:spacing w:after="0"/>
              <w:rPr>
                <w:sz w:val="20"/>
                <w:szCs w:val="20"/>
                <w:color w:val="auto"/>
              </w:rPr>
            </w:pPr>
            <w:r>
              <w:rPr>
                <w:rFonts w:ascii="Arial" w:cs="Arial" w:eastAsia="Arial" w:hAnsi="Arial"/>
                <w:sz w:val="18"/>
                <w:szCs w:val="18"/>
                <w:color w:val="auto"/>
              </w:rPr>
              <w:t>31, 2012 (File No. 1-07533) (the "2012 Form 10-K")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7"/>
          </w:tcPr>
          <w:p>
            <w:pPr>
              <w:spacing w:after="0"/>
              <w:rPr>
                <w:sz w:val="20"/>
                <w:szCs w:val="20"/>
                <w:color w:val="auto"/>
              </w:rPr>
            </w:pPr>
            <w:r>
              <w:rPr>
                <w:rFonts w:ascii="Arial" w:cs="Arial" w:eastAsia="Arial" w:hAnsi="Arial"/>
                <w:sz w:val="18"/>
                <w:szCs w:val="18"/>
                <w:color w:val="auto"/>
                <w:w w:val="91"/>
              </w:rPr>
              <w:t>Revised Form of Restricted Share Award Agreement for long-term vesting and retention awards made under the Trust’s Long-Term Incentive</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7"/>
          </w:tcPr>
          <w:p>
            <w:pPr>
              <w:spacing w:after="0" w:line="189" w:lineRule="exact"/>
              <w:rPr>
                <w:rFonts w:ascii="Arial" w:cs="Arial" w:eastAsia="Arial" w:hAnsi="Arial"/>
                <w:sz w:val="18"/>
                <w:szCs w:val="18"/>
                <w:color w:val="auto"/>
                <w:w w:val="91"/>
              </w:rPr>
            </w:pPr>
            <w:r>
              <w:rPr>
                <w:rFonts w:ascii="Arial" w:cs="Arial" w:eastAsia="Arial" w:hAnsi="Arial"/>
                <w:sz w:val="18"/>
                <w:szCs w:val="18"/>
                <w:color w:val="auto"/>
                <w:w w:val="91"/>
              </w:rPr>
              <w:t xml:space="preserve">Award Program for shares issued out of the 2010 Plan (previously filed as </w:t>
            </w:r>
            <w:hyperlink r:id="rId44">
              <w:r>
                <w:rPr>
                  <w:rFonts w:ascii="Arial" w:cs="Arial" w:eastAsia="Arial" w:hAnsi="Arial"/>
                  <w:sz w:val="18"/>
                  <w:szCs w:val="18"/>
                  <w:color w:val="0000FF"/>
                  <w:w w:val="91"/>
                </w:rPr>
                <w:t>Exhibit 10.36</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 Trust's 2012 Form 10-K (File No. 1-07533) and</w:t>
            </w:r>
          </w:p>
        </w:tc>
        <w:tc>
          <w:tcPr>
            <w:tcW w:w="0" w:type="dxa"/>
            <w:vAlign w:val="bottom"/>
          </w:tcPr>
          <w:p>
            <w:pPr>
              <w:spacing w:after="0"/>
              <w:rPr>
                <w:sz w:val="1"/>
                <w:szCs w:val="1"/>
                <w:color w:val="auto"/>
              </w:rPr>
            </w:pPr>
          </w:p>
        </w:tc>
      </w:tr>
      <w:tr>
        <w:trPr>
          <w:trHeight w:val="236"/>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60" w:type="dxa"/>
            <w:vAlign w:val="bottom"/>
            <w:gridSpan w:val="12"/>
          </w:tcPr>
          <w:p>
            <w:pPr>
              <w:spacing w:after="0"/>
              <w:rPr>
                <w:sz w:val="20"/>
                <w:szCs w:val="20"/>
                <w:color w:val="auto"/>
              </w:rPr>
            </w:pPr>
            <w:r>
              <w:rPr>
                <w:rFonts w:ascii="Arial" w:cs="Arial" w:eastAsia="Arial" w:hAnsi="Arial"/>
                <w:sz w:val="18"/>
                <w:szCs w:val="18"/>
                <w:color w:val="auto"/>
              </w:rPr>
              <w:t>incorporated herein by reference)</w:t>
            </w:r>
          </w:p>
        </w:tc>
        <w:tc>
          <w:tcPr>
            <w:tcW w:w="980" w:type="dxa"/>
            <w:vAlign w:val="bottom"/>
            <w:tcBorders>
              <w:top w:val="single" w:sz="8" w:color="0000FF"/>
            </w:tcBorders>
          </w:tcPr>
          <w:p>
            <w:pPr>
              <w:spacing w:after="0"/>
              <w:rPr>
                <w:sz w:val="20"/>
                <w:szCs w:val="20"/>
                <w:color w:val="auto"/>
              </w:rPr>
            </w:pPr>
          </w:p>
        </w:tc>
        <w:tc>
          <w:tcPr>
            <w:tcW w:w="4000" w:type="dxa"/>
            <w:vAlign w:val="bottom"/>
            <w:gridSpan w:val="14"/>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920" w:type="dxa"/>
            <w:vAlign w:val="bottom"/>
          </w:tcPr>
          <w:p>
            <w:pPr>
              <w:ind w:left="4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7"/>
          </w:tcPr>
          <w:p>
            <w:pPr>
              <w:spacing w:after="0"/>
              <w:rPr>
                <w:rFonts w:ascii="Arial" w:cs="Arial" w:eastAsia="Arial" w:hAnsi="Arial"/>
                <w:sz w:val="18"/>
                <w:szCs w:val="18"/>
                <w:color w:val="auto"/>
                <w:w w:val="95"/>
              </w:rPr>
            </w:pPr>
            <w:r>
              <w:rPr>
                <w:rFonts w:ascii="Arial" w:cs="Arial" w:eastAsia="Arial" w:hAnsi="Arial"/>
                <w:sz w:val="18"/>
                <w:szCs w:val="18"/>
                <w:color w:val="auto"/>
                <w:w w:val="95"/>
              </w:rPr>
              <w:t xml:space="preserve">Revised Form of Performance Share Award Agreement for shares awarded out of the 2010 Plan (previously filed as </w:t>
            </w:r>
            <w:hyperlink r:id="rId45">
              <w:r>
                <w:rPr>
                  <w:rFonts w:ascii="Arial" w:cs="Arial" w:eastAsia="Arial" w:hAnsi="Arial"/>
                  <w:sz w:val="18"/>
                  <w:szCs w:val="18"/>
                  <w:color w:val="0000FF"/>
                  <w:w w:val="95"/>
                </w:rPr>
                <w:t>Exhibit 10.37</w:t>
              </w:r>
              <w:r>
                <w:rPr>
                  <w:rFonts w:ascii="Arial" w:cs="Arial" w:eastAsia="Arial" w:hAnsi="Arial"/>
                  <w:sz w:val="18"/>
                  <w:szCs w:val="18"/>
                  <w:color w:val="auto"/>
                  <w:w w:val="95"/>
                </w:rPr>
                <w:t xml:space="preserve"> </w:t>
              </w:r>
            </w:hyperlink>
            <w:r>
              <w:rPr>
                <w:rFonts w:ascii="Arial" w:cs="Arial" w:eastAsia="Arial" w:hAnsi="Arial"/>
                <w:sz w:val="18"/>
                <w:szCs w:val="18"/>
                <w:color w:val="auto"/>
                <w:w w:val="95"/>
              </w:rPr>
              <w:t>to the</w:t>
            </w:r>
          </w:p>
        </w:tc>
        <w:tc>
          <w:tcPr>
            <w:tcW w:w="0" w:type="dxa"/>
            <w:vAlign w:val="bottom"/>
          </w:tcPr>
          <w:p>
            <w:pPr>
              <w:spacing w:after="0"/>
              <w:rPr>
                <w:sz w:val="1"/>
                <w:szCs w:val="1"/>
                <w:color w:val="auto"/>
              </w:rPr>
            </w:pPr>
          </w:p>
        </w:tc>
      </w:tr>
      <w:tr>
        <w:trPr>
          <w:trHeight w:val="236"/>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360" w:type="dxa"/>
            <w:vAlign w:val="bottom"/>
            <w:gridSpan w:val="19"/>
          </w:tcPr>
          <w:p>
            <w:pPr>
              <w:spacing w:after="0"/>
              <w:rPr>
                <w:sz w:val="20"/>
                <w:szCs w:val="20"/>
                <w:color w:val="auto"/>
              </w:rPr>
            </w:pPr>
            <w:r>
              <w:rPr>
                <w:rFonts w:ascii="Arial" w:cs="Arial" w:eastAsia="Arial" w:hAnsi="Arial"/>
                <w:sz w:val="18"/>
                <w:szCs w:val="18"/>
                <w:color w:val="auto"/>
              </w:rPr>
              <w:t>Trust's 2012 Form 10-K (File No. 1-07533) and incorporated herein by reference)</w:t>
            </w:r>
          </w:p>
        </w:tc>
        <w:tc>
          <w:tcPr>
            <w:tcW w:w="980" w:type="dxa"/>
            <w:vAlign w:val="bottom"/>
            <w:tcBorders>
              <w:top w:val="single" w:sz="8" w:color="0000FF"/>
            </w:tcBorders>
            <w:gridSpan w:val="5"/>
          </w:tcPr>
          <w:p>
            <w:pPr>
              <w:spacing w:after="0"/>
              <w:rPr>
                <w:sz w:val="20"/>
                <w:szCs w:val="20"/>
                <w:color w:val="auto"/>
              </w:rPr>
            </w:pPr>
          </w:p>
        </w:tc>
        <w:tc>
          <w:tcPr>
            <w:tcW w:w="100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7"/>
          </w:tcPr>
          <w:p>
            <w:pPr>
              <w:spacing w:after="0"/>
              <w:rPr>
                <w:sz w:val="20"/>
                <w:szCs w:val="20"/>
                <w:color w:val="auto"/>
              </w:rPr>
            </w:pPr>
            <w:r>
              <w:rPr>
                <w:rFonts w:ascii="Arial" w:cs="Arial" w:eastAsia="Arial" w:hAnsi="Arial"/>
                <w:sz w:val="18"/>
                <w:szCs w:val="18"/>
                <w:color w:val="auto"/>
                <w:w w:val="91"/>
              </w:rPr>
              <w:t>Revised Form of Restricted Share Award Agreement for awards made under the Trust’s Long-Term Incentive Award Program and the Trust’s</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7"/>
          </w:tcPr>
          <w:p>
            <w:pPr>
              <w:spacing w:after="0" w:line="189" w:lineRule="exact"/>
              <w:rPr>
                <w:rFonts w:ascii="Arial" w:cs="Arial" w:eastAsia="Arial" w:hAnsi="Arial"/>
                <w:sz w:val="18"/>
                <w:szCs w:val="18"/>
                <w:color w:val="auto"/>
                <w:w w:val="94"/>
              </w:rPr>
            </w:pPr>
            <w:hyperlink r:id="rId46">
              <w:r>
                <w:rPr>
                  <w:rFonts w:ascii="Arial" w:cs="Arial" w:eastAsia="Arial" w:hAnsi="Arial"/>
                  <w:sz w:val="18"/>
                  <w:szCs w:val="18"/>
                  <w:color w:val="auto"/>
                  <w:w w:val="94"/>
                </w:rPr>
                <w:t xml:space="preserve">Annual Incentive Bonus Program and basic awards with annual vesting for shares issued out of the 2010 Plan (previously filed as </w:t>
              </w:r>
              <w:r>
                <w:rPr>
                  <w:rFonts w:ascii="Arial" w:cs="Arial" w:eastAsia="Arial" w:hAnsi="Arial"/>
                  <w:sz w:val="18"/>
                  <w:szCs w:val="18"/>
                  <w:color w:val="0000FF"/>
                  <w:w w:val="94"/>
                </w:rPr>
                <w:t>Exhibit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60" w:type="dxa"/>
            <w:vAlign w:val="bottom"/>
            <w:gridSpan w:val="25"/>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10.</w:t>
              </w:r>
              <w:r>
                <w:rPr>
                  <w:rFonts w:ascii="Arial" w:cs="Arial" w:eastAsia="Arial" w:hAnsi="Arial"/>
                  <w:sz w:val="18"/>
                  <w:szCs w:val="18"/>
                  <w:u w:val="single" w:color="auto"/>
                  <w:color w:val="0000FF"/>
                </w:rPr>
                <w:t>38</w:t>
              </w:r>
              <w:r>
                <w:rPr>
                  <w:rFonts w:ascii="Arial" w:cs="Arial" w:eastAsia="Arial" w:hAnsi="Arial"/>
                  <w:sz w:val="18"/>
                  <w:szCs w:val="18"/>
                  <w:color w:val="0000FF"/>
                </w:rPr>
                <w:t xml:space="preserve"> </w:t>
              </w:r>
              <w:r>
                <w:rPr>
                  <w:rFonts w:ascii="Arial" w:cs="Arial" w:eastAsia="Arial" w:hAnsi="Arial"/>
                  <w:sz w:val="18"/>
                  <w:szCs w:val="18"/>
                  <w:color w:val="000000"/>
                </w:rPr>
                <w:t>to the Trust's 2012 Form 10-K (File No. 1-07533) and incorporated herein by reference)</w:t>
              </w:r>
            </w:hyperlink>
          </w:p>
        </w:tc>
        <w:tc>
          <w:tcPr>
            <w:tcW w:w="52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920" w:type="dxa"/>
            <w:vAlign w:val="bottom"/>
          </w:tcPr>
          <w:p>
            <w:pPr>
              <w:ind w:left="40"/>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7"/>
          </w:tcPr>
          <w:p>
            <w:pPr>
              <w:spacing w:after="0"/>
              <w:rPr>
                <w:sz w:val="20"/>
                <w:szCs w:val="20"/>
                <w:color w:val="auto"/>
              </w:rPr>
            </w:pPr>
            <w:r>
              <w:rPr>
                <w:rFonts w:ascii="Arial" w:cs="Arial" w:eastAsia="Arial" w:hAnsi="Arial"/>
                <w:sz w:val="18"/>
                <w:szCs w:val="18"/>
                <w:color w:val="auto"/>
                <w:w w:val="93"/>
              </w:rPr>
              <w:t>First Amendment to the Credit Agreement, dated as of April 22, 2013, by and among Federal Realty Investment Trust, each of the Lenders</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7"/>
          </w:tcPr>
          <w:p>
            <w:pPr>
              <w:spacing w:after="0" w:line="189" w:lineRule="exact"/>
              <w:rPr>
                <w:rFonts w:ascii="Arial" w:cs="Arial" w:eastAsia="Arial" w:hAnsi="Arial"/>
                <w:sz w:val="18"/>
                <w:szCs w:val="18"/>
                <w:color w:val="auto"/>
                <w:w w:val="94"/>
              </w:rPr>
            </w:pPr>
            <w:r>
              <w:rPr>
                <w:rFonts w:ascii="Arial" w:cs="Arial" w:eastAsia="Arial" w:hAnsi="Arial"/>
                <w:sz w:val="18"/>
                <w:szCs w:val="18"/>
                <w:color w:val="auto"/>
                <w:w w:val="94"/>
              </w:rPr>
              <w:t xml:space="preserve">party thereto, and Wells Fargo Bank, National Association, as Administrative Agent (previously filed as </w:t>
            </w:r>
            <w:hyperlink r:id="rId47">
              <w:r>
                <w:rPr>
                  <w:rFonts w:ascii="Arial" w:cs="Arial" w:eastAsia="Arial" w:hAnsi="Arial"/>
                  <w:sz w:val="18"/>
                  <w:szCs w:val="18"/>
                  <w:color w:val="0000FF"/>
                  <w:w w:val="94"/>
                </w:rPr>
                <w:t>Exhibit 10.1</w:t>
              </w:r>
              <w:r>
                <w:rPr>
                  <w:rFonts w:ascii="Arial" w:cs="Arial" w:eastAsia="Arial" w:hAnsi="Arial"/>
                  <w:sz w:val="18"/>
                  <w:szCs w:val="18"/>
                  <w:color w:val="auto"/>
                  <w:w w:val="94"/>
                </w:rPr>
                <w:t xml:space="preserve"> </w:t>
              </w:r>
            </w:hyperlink>
            <w:r>
              <w:rPr>
                <w:rFonts w:ascii="Arial" w:cs="Arial" w:eastAsia="Arial" w:hAnsi="Arial"/>
                <w:sz w:val="18"/>
                <w:szCs w:val="18"/>
                <w:color w:val="auto"/>
                <w:w w:val="94"/>
              </w:rPr>
              <w:t>to the Trust's Current</w:t>
            </w:r>
          </w:p>
        </w:tc>
        <w:tc>
          <w:tcPr>
            <w:tcW w:w="0" w:type="dxa"/>
            <w:vAlign w:val="bottom"/>
          </w:tcPr>
          <w:p>
            <w:pPr>
              <w:spacing w:after="0"/>
              <w:rPr>
                <w:sz w:val="1"/>
                <w:szCs w:val="1"/>
                <w:color w:val="auto"/>
              </w:rPr>
            </w:pPr>
          </w:p>
        </w:tc>
      </w:tr>
      <w:tr>
        <w:trPr>
          <w:trHeight w:val="236"/>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520" w:type="dxa"/>
            <w:vAlign w:val="bottom"/>
            <w:gridSpan w:val="15"/>
          </w:tcPr>
          <w:p>
            <w:pPr>
              <w:spacing w:after="0"/>
              <w:rPr>
                <w:sz w:val="20"/>
                <w:szCs w:val="20"/>
                <w:color w:val="auto"/>
              </w:rPr>
            </w:pPr>
            <w:r>
              <w:rPr>
                <w:rFonts w:ascii="Arial" w:cs="Arial" w:eastAsia="Arial" w:hAnsi="Arial"/>
                <w:sz w:val="18"/>
                <w:szCs w:val="18"/>
                <w:color w:val="auto"/>
                <w:w w:val="93"/>
              </w:rPr>
              <w:t>Report on Form 8-K (File No. 1-07533), filed on April 26, 2013 and incorporated herein by reference)</w:t>
            </w:r>
          </w:p>
        </w:tc>
        <w:tc>
          <w:tcPr>
            <w:tcW w:w="880" w:type="dxa"/>
            <w:vAlign w:val="bottom"/>
            <w:tcBorders>
              <w:top w:val="single" w:sz="8" w:color="0000FF"/>
            </w:tcBorders>
            <w:gridSpan w:val="5"/>
          </w:tcPr>
          <w:p>
            <w:pPr>
              <w:spacing w:after="0"/>
              <w:rPr>
                <w:sz w:val="20"/>
                <w:szCs w:val="20"/>
                <w:color w:val="auto"/>
              </w:rPr>
            </w:pPr>
          </w:p>
        </w:tc>
        <w:tc>
          <w:tcPr>
            <w:tcW w:w="194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7"/>
          </w:tcPr>
          <w:p>
            <w:pPr>
              <w:spacing w:after="0"/>
              <w:rPr>
                <w:sz w:val="20"/>
                <w:szCs w:val="20"/>
                <w:color w:val="auto"/>
              </w:rPr>
            </w:pPr>
            <w:r>
              <w:rPr>
                <w:rFonts w:ascii="Arial" w:cs="Arial" w:eastAsia="Arial" w:hAnsi="Arial"/>
                <w:sz w:val="18"/>
                <w:szCs w:val="18"/>
                <w:color w:val="auto"/>
                <w:w w:val="96"/>
              </w:rPr>
              <w:t>First Amendment to the Term Loan Agreement, dated as of April 22, 2013, by and among Federal Realty Investment Trust, each of the</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7"/>
          </w:tcPr>
          <w:p>
            <w:pPr>
              <w:spacing w:after="0" w:line="189" w:lineRule="exact"/>
              <w:rPr>
                <w:rFonts w:ascii="Arial" w:cs="Arial" w:eastAsia="Arial" w:hAnsi="Arial"/>
                <w:sz w:val="18"/>
                <w:szCs w:val="18"/>
                <w:color w:val="auto"/>
                <w:w w:val="91"/>
              </w:rPr>
            </w:pPr>
            <w:r>
              <w:rPr>
                <w:rFonts w:ascii="Arial" w:cs="Arial" w:eastAsia="Arial" w:hAnsi="Arial"/>
                <w:sz w:val="18"/>
                <w:szCs w:val="18"/>
                <w:color w:val="auto"/>
                <w:w w:val="91"/>
              </w:rPr>
              <w:t xml:space="preserve">Lenders party thereto, and PNC Bank, National Association, as Administrative Agent (previously filed as </w:t>
            </w:r>
            <w:hyperlink r:id="rId48">
              <w:r>
                <w:rPr>
                  <w:rFonts w:ascii="Arial" w:cs="Arial" w:eastAsia="Arial" w:hAnsi="Arial"/>
                  <w:sz w:val="18"/>
                  <w:szCs w:val="18"/>
                  <w:color w:val="0000FF"/>
                  <w:w w:val="91"/>
                </w:rPr>
                <w:t>Exhibit 10.40</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 Trust's Quarterly</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7"/>
          </w:tcPr>
          <w:p>
            <w:pPr>
              <w:spacing w:after="0"/>
              <w:rPr>
                <w:sz w:val="20"/>
                <w:szCs w:val="20"/>
                <w:color w:val="auto"/>
              </w:rPr>
            </w:pPr>
            <w:r>
              <w:rPr>
                <w:rFonts w:ascii="Arial" w:cs="Arial" w:eastAsia="Arial" w:hAnsi="Arial"/>
                <w:sz w:val="18"/>
                <w:szCs w:val="18"/>
                <w:color w:val="auto"/>
              </w:rPr>
              <w:t>Report on Form 10-Q for the quarter ended March 31, 2013 (File No. 1-07533) and incorporated herein by reference</w:t>
            </w:r>
          </w:p>
        </w:tc>
        <w:tc>
          <w:tcPr>
            <w:tcW w:w="0" w:type="dxa"/>
            <w:vAlign w:val="bottom"/>
          </w:tcPr>
          <w:p>
            <w:pPr>
              <w:spacing w:after="0"/>
              <w:rPr>
                <w:sz w:val="1"/>
                <w:szCs w:val="1"/>
                <w:color w:val="auto"/>
              </w:rPr>
            </w:pPr>
          </w:p>
        </w:tc>
      </w:tr>
      <w:tr>
        <w:trPr>
          <w:trHeight w:val="391"/>
        </w:trPr>
        <w:tc>
          <w:tcPr>
            <w:tcW w:w="920" w:type="dxa"/>
            <w:vAlign w:val="bottom"/>
          </w:tcPr>
          <w:p>
            <w:pPr>
              <w:ind w:left="40"/>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7"/>
            <w:vMerge w:val="restart"/>
          </w:tcPr>
          <w:p>
            <w:pPr>
              <w:spacing w:after="0"/>
              <w:rPr>
                <w:sz w:val="20"/>
                <w:szCs w:val="20"/>
                <w:color w:val="auto"/>
              </w:rPr>
            </w:pPr>
            <w:r>
              <w:rPr>
                <w:rFonts w:ascii="Arial" w:cs="Arial" w:eastAsia="Arial" w:hAnsi="Arial"/>
                <w:sz w:val="18"/>
                <w:szCs w:val="18"/>
                <w:color w:val="auto"/>
                <w:w w:val="94"/>
              </w:rPr>
              <w:t>Second Amendment to Term Loan Agreement, dated as of August 28, 2014, by and among Federal Realty Investment Trust, each of the</w:t>
            </w:r>
          </w:p>
        </w:tc>
        <w:tc>
          <w:tcPr>
            <w:tcW w:w="0" w:type="dxa"/>
            <w:vAlign w:val="bottom"/>
          </w:tcPr>
          <w:p>
            <w:pPr>
              <w:spacing w:after="0"/>
              <w:rPr>
                <w:sz w:val="1"/>
                <w:szCs w:val="1"/>
                <w:color w:val="auto"/>
              </w:rPr>
            </w:pPr>
          </w:p>
        </w:tc>
      </w:tr>
      <w:tr>
        <w:trPr>
          <w:trHeight w:val="67"/>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340" w:type="dxa"/>
            <w:vAlign w:val="bottom"/>
            <w:gridSpan w:val="2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7"/>
          </w:tcPr>
          <w:p>
            <w:pPr>
              <w:spacing w:after="0" w:line="189" w:lineRule="exact"/>
              <w:rPr>
                <w:rFonts w:ascii="Arial" w:cs="Arial" w:eastAsia="Arial" w:hAnsi="Arial"/>
                <w:sz w:val="18"/>
                <w:szCs w:val="18"/>
                <w:color w:val="auto"/>
                <w:w w:val="93"/>
              </w:rPr>
            </w:pPr>
            <w:r>
              <w:rPr>
                <w:rFonts w:ascii="Arial" w:cs="Arial" w:eastAsia="Arial" w:hAnsi="Arial"/>
                <w:sz w:val="18"/>
                <w:szCs w:val="18"/>
                <w:color w:val="auto"/>
                <w:w w:val="93"/>
              </w:rPr>
              <w:t xml:space="preserve">Lenders party thereto, and PNC Bank, National Association, as Administrative Agent (previously filed as </w:t>
            </w:r>
            <w:hyperlink r:id="rId49">
              <w:r>
                <w:rPr>
                  <w:rFonts w:ascii="Arial" w:cs="Arial" w:eastAsia="Arial" w:hAnsi="Arial"/>
                  <w:sz w:val="18"/>
                  <w:szCs w:val="18"/>
                  <w:color w:val="0000FF"/>
                  <w:w w:val="93"/>
                </w:rPr>
                <w:t>Exhibit 10.1</w:t>
              </w:r>
              <w:r>
                <w:rPr>
                  <w:rFonts w:ascii="Arial" w:cs="Arial" w:eastAsia="Arial" w:hAnsi="Arial"/>
                  <w:sz w:val="18"/>
                  <w:szCs w:val="18"/>
                  <w:color w:val="auto"/>
                  <w:w w:val="93"/>
                </w:rPr>
                <w:t xml:space="preserve"> </w:t>
              </w:r>
            </w:hyperlink>
            <w:r>
              <w:rPr>
                <w:rFonts w:ascii="Arial" w:cs="Arial" w:eastAsia="Arial" w:hAnsi="Arial"/>
                <w:sz w:val="18"/>
                <w:szCs w:val="18"/>
                <w:color w:val="auto"/>
                <w:w w:val="93"/>
              </w:rPr>
              <w:t>to the Trust's Current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7"/>
          </w:tcPr>
          <w:p>
            <w:pPr>
              <w:spacing w:after="0"/>
              <w:rPr>
                <w:sz w:val="20"/>
                <w:szCs w:val="20"/>
                <w:color w:val="auto"/>
              </w:rPr>
            </w:pPr>
            <w:r>
              <w:rPr>
                <w:rFonts w:ascii="Arial" w:cs="Arial" w:eastAsia="Arial" w:hAnsi="Arial"/>
                <w:sz w:val="18"/>
                <w:szCs w:val="18"/>
                <w:color w:val="auto"/>
              </w:rPr>
              <w:t>Report on Form 8-K (File No. 1-07533), filed on September 2, 2014 and incorporated herein by reference)</w:t>
            </w:r>
          </w:p>
        </w:tc>
        <w:tc>
          <w:tcPr>
            <w:tcW w:w="0" w:type="dxa"/>
            <w:vAlign w:val="bottom"/>
          </w:tcPr>
          <w:p>
            <w:pPr>
              <w:spacing w:after="0"/>
              <w:rPr>
                <w:sz w:val="1"/>
                <w:szCs w:val="1"/>
                <w:color w:val="auto"/>
              </w:rPr>
            </w:pPr>
          </w:p>
        </w:tc>
      </w:tr>
      <w:tr>
        <w:trPr>
          <w:trHeight w:val="458"/>
        </w:trPr>
        <w:tc>
          <w:tcPr>
            <w:tcW w:w="920" w:type="dxa"/>
            <w:vAlign w:val="bottom"/>
          </w:tcPr>
          <w:p>
            <w:pPr>
              <w:ind w:left="40"/>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7"/>
          </w:tcPr>
          <w:p>
            <w:pPr>
              <w:spacing w:after="0"/>
              <w:rPr>
                <w:sz w:val="20"/>
                <w:szCs w:val="20"/>
                <w:color w:val="auto"/>
              </w:rPr>
            </w:pPr>
            <w:r>
              <w:rPr>
                <w:rFonts w:ascii="Arial" w:cs="Arial" w:eastAsia="Arial" w:hAnsi="Arial"/>
                <w:sz w:val="18"/>
                <w:szCs w:val="18"/>
                <w:color w:val="auto"/>
                <w:w w:val="93"/>
              </w:rPr>
              <w:t>Second Amendment to Credit Agreement, dated as of April 20, 2016, by and among Federal Realty Investment Trust, each of the Lenders</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7"/>
          </w:tcPr>
          <w:p>
            <w:pPr>
              <w:spacing w:after="0" w:line="189" w:lineRule="exact"/>
              <w:rPr>
                <w:rFonts w:ascii="Arial" w:cs="Arial" w:eastAsia="Arial" w:hAnsi="Arial"/>
                <w:sz w:val="18"/>
                <w:szCs w:val="18"/>
                <w:color w:val="auto"/>
                <w:w w:val="92"/>
              </w:rPr>
            </w:pPr>
            <w:r>
              <w:rPr>
                <w:rFonts w:ascii="Arial" w:cs="Arial" w:eastAsia="Arial" w:hAnsi="Arial"/>
                <w:sz w:val="18"/>
                <w:szCs w:val="18"/>
                <w:color w:val="auto"/>
                <w:w w:val="92"/>
              </w:rPr>
              <w:t xml:space="preserve">party thereto, and PNC Bank, National Association, as Administrative Agent (previously filed as </w:t>
            </w:r>
            <w:hyperlink r:id="rId50">
              <w:r>
                <w:rPr>
                  <w:rFonts w:ascii="Arial" w:cs="Arial" w:eastAsia="Arial" w:hAnsi="Arial"/>
                  <w:sz w:val="18"/>
                  <w:szCs w:val="18"/>
                  <w:color w:val="0000FF"/>
                  <w:w w:val="92"/>
                </w:rPr>
                <w:t>Exhibit 10.1</w:t>
              </w:r>
              <w:r>
                <w:rPr>
                  <w:rFonts w:ascii="Arial" w:cs="Arial" w:eastAsia="Arial" w:hAnsi="Arial"/>
                  <w:sz w:val="18"/>
                  <w:szCs w:val="18"/>
                  <w:color w:val="auto"/>
                  <w:w w:val="92"/>
                </w:rPr>
                <w:t xml:space="preserve"> </w:t>
              </w:r>
            </w:hyperlink>
            <w:r>
              <w:rPr>
                <w:rFonts w:ascii="Arial" w:cs="Arial" w:eastAsia="Arial" w:hAnsi="Arial"/>
                <w:sz w:val="18"/>
                <w:szCs w:val="18"/>
                <w:color w:val="auto"/>
                <w:w w:val="92"/>
              </w:rPr>
              <w:t>to the Trust's Current Report on</w:t>
            </w:r>
          </w:p>
        </w:tc>
        <w:tc>
          <w:tcPr>
            <w:tcW w:w="0" w:type="dxa"/>
            <w:vAlign w:val="bottom"/>
          </w:tcPr>
          <w:p>
            <w:pPr>
              <w:spacing w:after="0"/>
              <w:rPr>
                <w:sz w:val="1"/>
                <w:szCs w:val="1"/>
                <w:color w:val="auto"/>
              </w:rPr>
            </w:pPr>
          </w:p>
        </w:tc>
      </w:tr>
      <w:tr>
        <w:trPr>
          <w:trHeight w:val="236"/>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0" w:type="dxa"/>
            <w:vAlign w:val="bottom"/>
            <w:gridSpan w:val="14"/>
          </w:tcPr>
          <w:p>
            <w:pPr>
              <w:spacing w:after="0"/>
              <w:rPr>
                <w:sz w:val="20"/>
                <w:szCs w:val="20"/>
                <w:color w:val="auto"/>
              </w:rPr>
            </w:pPr>
            <w:r>
              <w:rPr>
                <w:rFonts w:ascii="Arial" w:cs="Arial" w:eastAsia="Arial" w:hAnsi="Arial"/>
                <w:sz w:val="18"/>
                <w:szCs w:val="18"/>
                <w:color w:val="auto"/>
                <w:w w:val="98"/>
              </w:rPr>
              <w:t>Form 8K (File No. 1-07533), filed on April 26, 2016 and incorporated herein by reference)</w:t>
            </w:r>
          </w:p>
        </w:tc>
        <w:tc>
          <w:tcPr>
            <w:tcW w:w="900" w:type="dxa"/>
            <w:vAlign w:val="bottom"/>
            <w:tcBorders>
              <w:top w:val="single" w:sz="8" w:color="0000FF"/>
            </w:tcBorders>
            <w:gridSpan w:val="4"/>
          </w:tcPr>
          <w:p>
            <w:pPr>
              <w:spacing w:after="0"/>
              <w:rPr>
                <w:sz w:val="20"/>
                <w:szCs w:val="20"/>
                <w:color w:val="auto"/>
              </w:rPr>
            </w:pPr>
          </w:p>
        </w:tc>
        <w:tc>
          <w:tcPr>
            <w:tcW w:w="244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7"/>
          </w:tcPr>
          <w:p>
            <w:pPr>
              <w:spacing w:after="0"/>
              <w:rPr>
                <w:sz w:val="20"/>
                <w:szCs w:val="20"/>
                <w:color w:val="auto"/>
              </w:rPr>
            </w:pPr>
            <w:r>
              <w:rPr>
                <w:rFonts w:ascii="Arial" w:cs="Arial" w:eastAsia="Arial" w:hAnsi="Arial"/>
                <w:sz w:val="18"/>
                <w:szCs w:val="18"/>
                <w:color w:val="auto"/>
                <w:w w:val="92"/>
              </w:rPr>
              <w:t>Third Amendment to Term Loan Agreement, dated as of April 20, 2016, by and among Federal Realty Investment Trust, each of the Lenders</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7"/>
          </w:tcPr>
          <w:p>
            <w:pPr>
              <w:spacing w:after="0" w:line="189" w:lineRule="exact"/>
              <w:rPr>
                <w:rFonts w:ascii="Arial" w:cs="Arial" w:eastAsia="Arial" w:hAnsi="Arial"/>
                <w:sz w:val="18"/>
                <w:szCs w:val="18"/>
                <w:color w:val="auto"/>
                <w:w w:val="92"/>
              </w:rPr>
            </w:pPr>
            <w:r>
              <w:rPr>
                <w:rFonts w:ascii="Arial" w:cs="Arial" w:eastAsia="Arial" w:hAnsi="Arial"/>
                <w:sz w:val="18"/>
                <w:szCs w:val="18"/>
                <w:color w:val="auto"/>
                <w:w w:val="92"/>
              </w:rPr>
              <w:t xml:space="preserve">party thereto, and PNC Bank, National Association, as Administrative Agent (previously filed as </w:t>
            </w:r>
            <w:hyperlink r:id="rId51">
              <w:r>
                <w:rPr>
                  <w:rFonts w:ascii="Arial" w:cs="Arial" w:eastAsia="Arial" w:hAnsi="Arial"/>
                  <w:sz w:val="18"/>
                  <w:szCs w:val="18"/>
                  <w:color w:val="0000FF"/>
                  <w:w w:val="92"/>
                </w:rPr>
                <w:t>Exhibit 10.1</w:t>
              </w:r>
              <w:r>
                <w:rPr>
                  <w:rFonts w:ascii="Arial" w:cs="Arial" w:eastAsia="Arial" w:hAnsi="Arial"/>
                  <w:sz w:val="18"/>
                  <w:szCs w:val="18"/>
                  <w:color w:val="auto"/>
                  <w:w w:val="92"/>
                </w:rPr>
                <w:t xml:space="preserve"> </w:t>
              </w:r>
            </w:hyperlink>
            <w:r>
              <w:rPr>
                <w:rFonts w:ascii="Arial" w:cs="Arial" w:eastAsia="Arial" w:hAnsi="Arial"/>
                <w:sz w:val="18"/>
                <w:szCs w:val="18"/>
                <w:color w:val="auto"/>
                <w:w w:val="92"/>
              </w:rPr>
              <w:t>to the Trust's Current Report on</w:t>
            </w:r>
          </w:p>
        </w:tc>
        <w:tc>
          <w:tcPr>
            <w:tcW w:w="0" w:type="dxa"/>
            <w:vAlign w:val="bottom"/>
          </w:tcPr>
          <w:p>
            <w:pPr>
              <w:spacing w:after="0"/>
              <w:rPr>
                <w:sz w:val="1"/>
                <w:szCs w:val="1"/>
                <w:color w:val="auto"/>
              </w:rPr>
            </w:pPr>
          </w:p>
        </w:tc>
      </w:tr>
      <w:tr>
        <w:trPr>
          <w:trHeight w:val="236"/>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0" w:type="dxa"/>
            <w:vAlign w:val="bottom"/>
            <w:gridSpan w:val="14"/>
          </w:tcPr>
          <w:p>
            <w:pPr>
              <w:spacing w:after="0"/>
              <w:rPr>
                <w:sz w:val="20"/>
                <w:szCs w:val="20"/>
                <w:color w:val="auto"/>
              </w:rPr>
            </w:pPr>
            <w:r>
              <w:rPr>
                <w:rFonts w:ascii="Arial" w:cs="Arial" w:eastAsia="Arial" w:hAnsi="Arial"/>
                <w:sz w:val="18"/>
                <w:szCs w:val="18"/>
                <w:color w:val="auto"/>
                <w:w w:val="97"/>
              </w:rPr>
              <w:t>Form 8-K (File No. 1-07533), filed on April 26, 2016 and incorporated herein by reference)</w:t>
            </w:r>
          </w:p>
        </w:tc>
        <w:tc>
          <w:tcPr>
            <w:tcW w:w="900" w:type="dxa"/>
            <w:vAlign w:val="bottom"/>
            <w:tcBorders>
              <w:top w:val="single" w:sz="8" w:color="0000FF"/>
            </w:tcBorders>
            <w:gridSpan w:val="4"/>
          </w:tcPr>
          <w:p>
            <w:pPr>
              <w:spacing w:after="0"/>
              <w:rPr>
                <w:sz w:val="20"/>
                <w:szCs w:val="20"/>
                <w:color w:val="auto"/>
              </w:rPr>
            </w:pPr>
          </w:p>
        </w:tc>
        <w:tc>
          <w:tcPr>
            <w:tcW w:w="244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920" w:type="dxa"/>
            <w:vAlign w:val="bottom"/>
          </w:tcPr>
          <w:p>
            <w:pPr>
              <w:ind w:left="40"/>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7"/>
          </w:tcPr>
          <w:p>
            <w:pPr>
              <w:spacing w:after="0"/>
              <w:rPr>
                <w:rFonts w:ascii="Arial" w:cs="Arial" w:eastAsia="Arial" w:hAnsi="Arial"/>
                <w:sz w:val="18"/>
                <w:szCs w:val="18"/>
                <w:color w:val="auto"/>
                <w:w w:val="95"/>
              </w:rPr>
            </w:pPr>
            <w:r>
              <w:rPr>
                <w:rFonts w:ascii="Arial" w:cs="Arial" w:eastAsia="Arial" w:hAnsi="Arial"/>
                <w:sz w:val="18"/>
                <w:szCs w:val="18"/>
                <w:color w:val="auto"/>
                <w:w w:val="95"/>
              </w:rPr>
              <w:t xml:space="preserve">Severance Agreement between the Trust and Daniel Guglielmone dated August 15, 2016 (previously filed as </w:t>
            </w:r>
            <w:hyperlink r:id="rId52">
              <w:r>
                <w:rPr>
                  <w:rFonts w:ascii="Arial" w:cs="Arial" w:eastAsia="Arial" w:hAnsi="Arial"/>
                  <w:sz w:val="18"/>
                  <w:szCs w:val="18"/>
                  <w:color w:val="0000FF"/>
                  <w:w w:val="95"/>
                </w:rPr>
                <w:t>Exhibit 10.36</w:t>
              </w:r>
              <w:r>
                <w:rPr>
                  <w:rFonts w:ascii="Arial" w:cs="Arial" w:eastAsia="Arial" w:hAnsi="Arial"/>
                  <w:sz w:val="18"/>
                  <w:szCs w:val="18"/>
                  <w:color w:val="auto"/>
                  <w:w w:val="95"/>
                </w:rPr>
                <w:t xml:space="preserve"> </w:t>
              </w:r>
            </w:hyperlink>
            <w:r>
              <w:rPr>
                <w:rFonts w:ascii="Arial" w:cs="Arial" w:eastAsia="Arial" w:hAnsi="Arial"/>
                <w:sz w:val="18"/>
                <w:szCs w:val="18"/>
                <w:color w:val="auto"/>
                <w:w w:val="95"/>
              </w:rPr>
              <w:t>to the Trust's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7"/>
          </w:tcPr>
          <w:p>
            <w:pPr>
              <w:spacing w:after="0"/>
              <w:rPr>
                <w:sz w:val="20"/>
                <w:szCs w:val="20"/>
                <w:color w:val="auto"/>
              </w:rPr>
            </w:pPr>
            <w:r>
              <w:rPr>
                <w:rFonts w:ascii="Arial" w:cs="Arial" w:eastAsia="Arial" w:hAnsi="Arial"/>
                <w:sz w:val="18"/>
                <w:szCs w:val="18"/>
                <w:color w:val="auto"/>
                <w:w w:val="99"/>
              </w:rPr>
              <w:t>Quarterly Report on Form 10-Q for the quarter ended September 30, 2016 (File No. 1-07533 and incorporated herein by reference)</w:t>
            </w:r>
          </w:p>
        </w:tc>
        <w:tc>
          <w:tcPr>
            <w:tcW w:w="0" w:type="dxa"/>
            <w:vAlign w:val="bottom"/>
          </w:tcPr>
          <w:p>
            <w:pPr>
              <w:spacing w:after="0"/>
              <w:rPr>
                <w:sz w:val="1"/>
                <w:szCs w:val="1"/>
                <w:color w:val="auto"/>
              </w:rPr>
            </w:pPr>
          </w:p>
        </w:tc>
      </w:tr>
      <w:tr>
        <w:trPr>
          <w:trHeight w:val="364"/>
        </w:trPr>
        <w:tc>
          <w:tcPr>
            <w:tcW w:w="920" w:type="dxa"/>
            <w:vAlign w:val="bottom"/>
          </w:tcPr>
          <w:p>
            <w:pPr>
              <w:ind w:left="4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99">
              <w:r>
                <w:rPr>
                  <w:rFonts w:ascii="Arial" w:cs="Arial" w:eastAsia="Arial" w:hAnsi="Arial"/>
                  <w:sz w:val="18"/>
                  <w:szCs w:val="18"/>
                  <w:color w:val="0000FF"/>
                  <w:w w:val="91"/>
                </w:rPr>
                <w:t>Subsidiaries of Federal Realty Investment Trust (filed herewith)</w:t>
              </w:r>
            </w:hyperlink>
          </w:p>
        </w:tc>
        <w:tc>
          <w:tcPr>
            <w:tcW w:w="574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8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104">
              <w:r>
                <w:rPr>
                  <w:rFonts w:ascii="Arial" w:cs="Arial" w:eastAsia="Arial" w:hAnsi="Arial"/>
                  <w:sz w:val="18"/>
                  <w:szCs w:val="18"/>
                  <w:color w:val="0000FF"/>
                  <w:w w:val="92"/>
                </w:rPr>
                <w:t>Consent of Grant Thornton LLP (filed herewith)</w:t>
              </w:r>
            </w:hyperlink>
          </w:p>
        </w:tc>
        <w:tc>
          <w:tcPr>
            <w:tcW w:w="686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7"/>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Rule 13a-14(a) Certification of Chief Executive Officer (filed herewith)</w:t>
              </w:r>
            </w:hyperlink>
          </w:p>
        </w:tc>
        <w:tc>
          <w:tcPr>
            <w:tcW w:w="0" w:type="dxa"/>
            <w:vAlign w:val="bottom"/>
          </w:tcPr>
          <w:p>
            <w:pPr>
              <w:spacing w:after="0"/>
              <w:rPr>
                <w:sz w:val="1"/>
                <w:szCs w:val="1"/>
                <w:color w:val="auto"/>
              </w:rPr>
            </w:pPr>
          </w:p>
        </w:tc>
      </w:tr>
      <w:tr>
        <w:trPr>
          <w:trHeight w:val="371"/>
        </w:trPr>
        <w:tc>
          <w:tcPr>
            <w:tcW w:w="92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2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3"/>
              </w:rPr>
            </w:pPr>
            <w:hyperlink w:anchor="page106">
              <w:r>
                <w:rPr>
                  <w:rFonts w:ascii="Arial" w:cs="Arial" w:eastAsia="Arial" w:hAnsi="Arial"/>
                  <w:sz w:val="18"/>
                  <w:szCs w:val="18"/>
                  <w:color w:val="0000FF"/>
                  <w:w w:val="93"/>
                </w:rPr>
                <w:t>Rule 13a-14(a) Certification of Chief Financial Officer (filed herewith)</w:t>
              </w:r>
            </w:hyperlink>
          </w:p>
        </w:tc>
        <w:tc>
          <w:tcPr>
            <w:tcW w:w="40" w:type="dxa"/>
            <w:vAlign w:val="bottom"/>
            <w:tcBorders>
              <w:top w:val="single" w:sz="8" w:color="0000FF"/>
            </w:tcBorders>
          </w:tcPr>
          <w:p>
            <w:pPr>
              <w:spacing w:after="0"/>
              <w:rPr>
                <w:sz w:val="24"/>
                <w:szCs w:val="24"/>
                <w:color w:val="auto"/>
              </w:rPr>
            </w:pPr>
          </w:p>
        </w:tc>
        <w:tc>
          <w:tcPr>
            <w:tcW w:w="51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92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7"/>
          </w:tcPr>
          <w:p>
            <w:pPr>
              <w:spacing w:after="0"/>
              <w:rPr>
                <w:rFonts w:ascii="Arial" w:cs="Arial" w:eastAsia="Arial" w:hAnsi="Arial"/>
                <w:sz w:val="18"/>
                <w:szCs w:val="18"/>
                <w:color w:val="0000FF"/>
              </w:rPr>
            </w:pPr>
            <w:hyperlink w:anchor="page107">
              <w:r>
                <w:rPr>
                  <w:rFonts w:ascii="Arial" w:cs="Arial" w:eastAsia="Arial" w:hAnsi="Arial"/>
                  <w:sz w:val="18"/>
                  <w:szCs w:val="18"/>
                  <w:color w:val="0000FF"/>
                </w:rPr>
                <w:t>Section 1350 Certification of Chief Executive Officer (filed herewith)</w:t>
              </w:r>
            </w:hyperlink>
          </w:p>
        </w:tc>
        <w:tc>
          <w:tcPr>
            <w:tcW w:w="0" w:type="dxa"/>
            <w:vAlign w:val="bottom"/>
          </w:tcPr>
          <w:p>
            <w:pPr>
              <w:spacing w:after="0"/>
              <w:rPr>
                <w:sz w:val="1"/>
                <w:szCs w:val="1"/>
                <w:color w:val="auto"/>
              </w:rPr>
            </w:pPr>
          </w:p>
        </w:tc>
      </w:tr>
      <w:tr>
        <w:trPr>
          <w:trHeight w:val="371"/>
        </w:trPr>
        <w:tc>
          <w:tcPr>
            <w:tcW w:w="92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8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3"/>
              </w:rPr>
            </w:pPr>
            <w:hyperlink w:anchor="page108">
              <w:r>
                <w:rPr>
                  <w:rFonts w:ascii="Arial" w:cs="Arial" w:eastAsia="Arial" w:hAnsi="Arial"/>
                  <w:sz w:val="18"/>
                  <w:szCs w:val="18"/>
                  <w:color w:val="0000FF"/>
                  <w:w w:val="93"/>
                </w:rPr>
                <w:t>Section 1350 Certification of Chief Financial Officer (filed herewith)</w:t>
              </w:r>
            </w:hyperlink>
          </w:p>
        </w:tc>
        <w:tc>
          <w:tcPr>
            <w:tcW w:w="40" w:type="dxa"/>
            <w:vAlign w:val="bottom"/>
            <w:tcBorders>
              <w:top w:val="single" w:sz="8" w:color="0000FF"/>
            </w:tcBorders>
          </w:tcPr>
          <w:p>
            <w:pPr>
              <w:spacing w:after="0"/>
              <w:rPr>
                <w:sz w:val="24"/>
                <w:szCs w:val="24"/>
                <w:color w:val="auto"/>
              </w:rPr>
            </w:pPr>
          </w:p>
        </w:tc>
        <w:tc>
          <w:tcPr>
            <w:tcW w:w="532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080" w:right="480" w:hanging="1045"/>
        <w:spacing w:after="0" w:line="25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0000FF"/>
        </w:rPr>
        <w:t>The following materials from Federal Realty Investment Trust’s Annual Report on Form 10-K for the year ended December 31, 2017,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rPr>
          <w:sz w:val="20"/>
          <w:szCs w:val="20"/>
          <w:color w:val="auto"/>
        </w:rPr>
      </w:pPr>
      <w:r>
        <w:rPr>
          <w:rFonts w:ascii="Arial" w:cs="Arial" w:eastAsia="Arial" w:hAnsi="Arial"/>
          <w:sz w:val="18"/>
          <w:szCs w:val="18"/>
          <w:color w:val="auto"/>
        </w:rPr>
        <w:t>_____________________</w:t>
      </w:r>
    </w:p>
    <w:p>
      <w:pPr>
        <w:sectPr>
          <w:pgSz w:w="11900" w:h="16838" w:orient="portrait"/>
          <w:cols w:equalWidth="0" w:num="1">
            <w:col w:w="11420"/>
          </w:cols>
          <w:pgMar w:left="240" w:top="12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6" w:right="239" w:bottom="1440" w:gutter="0" w:footer="0" w:header="0"/>
          <w:type w:val="continuous"/>
        </w:sectPr>
      </w:pPr>
    </w:p>
    <w:bookmarkStart w:id="56" w:name="page57"/>
    <w:bookmarkEnd w:id="56"/>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required to be filed as an exhibit pursuant to Item 15(b) of Form 10-K.</w:t>
      </w:r>
    </w:p>
    <w:p>
      <w:pPr>
        <w:spacing w:after="0" w:line="23" w:lineRule="exact"/>
        <w:rPr>
          <w:sz w:val="20"/>
          <w:szCs w:val="20"/>
          <w:color w:val="auto"/>
        </w:rPr>
      </w:pPr>
    </w:p>
    <w:p>
      <w:pPr>
        <w:ind w:firstLine="8"/>
        <w:spacing w:after="0" w:line="260" w:lineRule="auto"/>
        <w:tabs>
          <w:tab w:leader="none" w:pos="225" w:val="left"/>
        </w:tabs>
        <w:numPr>
          <w:ilvl w:val="0"/>
          <w:numId w:val="59"/>
        </w:numPr>
        <w:rPr>
          <w:rFonts w:ascii="Arial" w:cs="Arial" w:eastAsia="Arial" w:hAnsi="Arial"/>
          <w:sz w:val="18"/>
          <w:szCs w:val="18"/>
          <w:color w:val="auto"/>
        </w:rPr>
      </w:pPr>
      <w:r>
        <w:rPr>
          <w:rFonts w:ascii="Arial" w:cs="Arial" w:eastAsia="Arial" w:hAnsi="Arial"/>
          <w:sz w:val="18"/>
          <w:szCs w:val="18"/>
          <w:color w:val="auto"/>
        </w:rPr>
        <w:t>Pursuant to Regulation S-K Item 601(b)(4)(iii), the Trust by this filing agrees, upon request, to furnish to the Securities and Exchange Commission a copy of other instruments defining the rights of holders of long-term debt of the Trust.</w:t>
      </w:r>
    </w:p>
    <w:p>
      <w:pPr>
        <w:spacing w:after="0" w:line="12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20"/>
          </w:cols>
          <w:pgMar w:left="240" w:top="126" w:right="33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36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this February 13, 2018.</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Federal Realty Investment Trust</w:t>
      </w:r>
    </w:p>
    <w:p>
      <w:pPr>
        <w:spacing w:after="0" w:line="387" w:lineRule="exact"/>
        <w:rPr>
          <w:sz w:val="20"/>
          <w:szCs w:val="20"/>
          <w:color w:val="auto"/>
        </w:rPr>
      </w:pPr>
    </w:p>
    <w:p>
      <w:pPr>
        <w:ind w:left="5080"/>
        <w:spacing w:after="0"/>
        <w:tabs>
          <w:tab w:leader="none" w:pos="6280" w:val="left"/>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D</w:t>
      </w:r>
      <w:r>
        <w:rPr>
          <w:rFonts w:ascii="Arial" w:cs="Arial" w:eastAsia="Arial" w:hAnsi="Arial"/>
          <w:sz w:val="13"/>
          <w:szCs w:val="13"/>
          <w:color w:val="auto"/>
        </w:rPr>
        <w:t>ONALD</w:t>
      </w:r>
      <w:r>
        <w:rPr>
          <w:rFonts w:ascii="Arial" w:cs="Arial" w:eastAsia="Arial" w:hAnsi="Arial"/>
          <w:sz w:val="17"/>
          <w:szCs w:val="17"/>
          <w:color w:val="auto"/>
        </w:rPr>
        <w:t xml:space="preserve"> C. W</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40640</wp:posOffset>
            </wp:positionV>
            <wp:extent cx="2458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3">
                      <a:extLst>
                        <a:ext uri="{28A0092B-C50C-407E-A947-70E740481C1C}"/>
                      </a:extLst>
                    </a:blip>
                    <a:srcRect/>
                    <a:stretch>
                      <a:fillRect/>
                    </a:stretch>
                  </pic:blipFill>
                  <pic:spPr bwMode="auto">
                    <a:xfrm>
                      <a:off x="0" y="0"/>
                      <a:ext cx="2458720" cy="8255"/>
                    </a:xfrm>
                    <a:prstGeom prst="rect">
                      <a:avLst/>
                    </a:prstGeom>
                    <a:noFill/>
                  </pic:spPr>
                </pic:pic>
              </a:graphicData>
            </a:graphic>
          </wp:anchor>
        </w:drawing>
      </w:r>
    </w:p>
    <w:p>
      <w:pPr>
        <w:spacing w:after="0" w:line="61" w:lineRule="exact"/>
        <w:rPr>
          <w:sz w:val="20"/>
          <w:szCs w:val="20"/>
          <w:color w:val="auto"/>
        </w:rPr>
      </w:pPr>
    </w:p>
    <w:p>
      <w:pPr>
        <w:jc w:val="center"/>
        <w:ind w:left="3180"/>
        <w:spacing w:after="0"/>
        <w:rPr>
          <w:sz w:val="20"/>
          <w:szCs w:val="20"/>
          <w:color w:val="auto"/>
        </w:rPr>
      </w:pPr>
      <w:r>
        <w:rPr>
          <w:rFonts w:ascii="Arial" w:cs="Arial" w:eastAsia="Arial" w:hAnsi="Arial"/>
          <w:sz w:val="14"/>
          <w:szCs w:val="14"/>
          <w:b w:val="1"/>
          <w:bCs w:val="1"/>
          <w:color w:val="auto"/>
        </w:rPr>
        <w:t>Donald C. Wood</w:t>
      </w:r>
    </w:p>
    <w:p>
      <w:pPr>
        <w:spacing w:after="0" w:line="3" w:lineRule="exact"/>
        <w:rPr>
          <w:sz w:val="20"/>
          <w:szCs w:val="20"/>
          <w:color w:val="auto"/>
        </w:rPr>
      </w:pPr>
    </w:p>
    <w:p>
      <w:pPr>
        <w:jc w:val="center"/>
        <w:ind w:left="3180"/>
        <w:spacing w:after="0"/>
        <w:rPr>
          <w:sz w:val="20"/>
          <w:szCs w:val="20"/>
          <w:color w:val="auto"/>
        </w:rPr>
      </w:pPr>
      <w:r>
        <w:rPr>
          <w:rFonts w:ascii="Arial" w:cs="Arial" w:eastAsia="Arial" w:hAnsi="Arial"/>
          <w:sz w:val="14"/>
          <w:szCs w:val="14"/>
          <w:b w:val="1"/>
          <w:bCs w:val="1"/>
          <w:color w:val="auto"/>
        </w:rPr>
        <w:t>President, Chief Executive Officer and Trustee</w:t>
      </w:r>
    </w:p>
    <w:p>
      <w:pPr>
        <w:spacing w:after="0" w:line="18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and in the capacity and on the dates indicated. Each person whose signature appears below hereby constitutes and appoints each of Donald C. Wood and Dawn M. Becker as his or her attorney-in-fact and agent, with full power of substitution and resubstitution for him or her in any and all capacities, to sign any or all amendments to this Report and to file same, with exhibits thereto and other documents in connection therewith, granting unto such attorney-in-fact and agent full power and authority to do and perform each and every act and thing requisite and necessary in connection with such matters and hereby ratifying and confirming all that such attorney-in-fact and agent or his or her substitutes may do or cause to be done by virtue hereof.</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920" w:type="dxa"/>
            <w:vAlign w:val="bottom"/>
          </w:tcPr>
          <w:p>
            <w:pPr>
              <w:spacing w:after="0"/>
              <w:rPr>
                <w:sz w:val="14"/>
                <w:szCs w:val="14"/>
                <w:color w:val="auto"/>
              </w:rPr>
            </w:pPr>
          </w:p>
        </w:tc>
        <w:tc>
          <w:tcPr>
            <w:tcW w:w="4360" w:type="dxa"/>
            <w:vAlign w:val="bottom"/>
            <w:gridSpan w:val="3"/>
          </w:tcPr>
          <w:p>
            <w:pPr>
              <w:ind w:left="2320"/>
              <w:spacing w:after="0"/>
              <w:rPr>
                <w:sz w:val="20"/>
                <w:szCs w:val="20"/>
                <w:color w:val="auto"/>
              </w:rPr>
            </w:pPr>
            <w:r>
              <w:rPr>
                <w:rFonts w:ascii="Arial" w:cs="Arial" w:eastAsia="Arial" w:hAnsi="Arial"/>
                <w:sz w:val="14"/>
                <w:szCs w:val="14"/>
                <w:b w:val="1"/>
                <w:bCs w:val="1"/>
                <w:color w:val="auto"/>
              </w:rPr>
              <w:t>Title</w:t>
            </w:r>
          </w:p>
        </w:tc>
        <w:tc>
          <w:tcPr>
            <w:tcW w:w="1440" w:type="dxa"/>
            <w:vAlign w:val="bottom"/>
          </w:tcPr>
          <w:p>
            <w:pPr>
              <w:spacing w:after="0"/>
              <w:rPr>
                <w:sz w:val="14"/>
                <w:szCs w:val="14"/>
                <w:color w:val="auto"/>
              </w:rPr>
            </w:pPr>
          </w:p>
        </w:tc>
        <w:tc>
          <w:tcPr>
            <w:tcW w:w="8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720" w:type="dxa"/>
            <w:vAlign w:val="bottom"/>
            <w:gridSpan w:val="2"/>
          </w:tcPr>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40" w:type="dxa"/>
            <w:vAlign w:val="bottom"/>
            <w:gridSpan w:val="3"/>
          </w:tcPr>
          <w:p>
            <w:pPr>
              <w:jc w:val="center"/>
              <w:ind w:right="136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ONALD</w:t>
            </w:r>
            <w:r>
              <w:rPr>
                <w:rFonts w:ascii="Arial" w:cs="Arial" w:eastAsia="Arial" w:hAnsi="Arial"/>
                <w:sz w:val="18"/>
                <w:szCs w:val="18"/>
                <w:color w:val="auto"/>
                <w:w w:val="99"/>
              </w:rPr>
              <w:t xml:space="preserve"> C. W</w:t>
            </w:r>
            <w:r>
              <w:rPr>
                <w:rFonts w:ascii="Arial" w:cs="Arial" w:eastAsia="Arial" w:hAnsi="Arial"/>
                <w:sz w:val="14"/>
                <w:szCs w:val="14"/>
                <w:color w:val="auto"/>
                <w:w w:val="99"/>
              </w:rPr>
              <w:t>OOD</w:t>
            </w:r>
          </w:p>
        </w:tc>
        <w:tc>
          <w:tcPr>
            <w:tcW w:w="4360" w:type="dxa"/>
            <w:vAlign w:val="bottom"/>
            <w:gridSpan w:val="3"/>
          </w:tcPr>
          <w:p>
            <w:pPr>
              <w:ind w:left="480"/>
              <w:spacing w:after="0"/>
              <w:rPr>
                <w:sz w:val="20"/>
                <w:szCs w:val="20"/>
                <w:color w:val="auto"/>
              </w:rPr>
            </w:pPr>
            <w:r>
              <w:rPr>
                <w:rFonts w:ascii="Arial" w:cs="Arial" w:eastAsia="Arial" w:hAnsi="Arial"/>
                <w:sz w:val="18"/>
                <w:szCs w:val="18"/>
                <w:color w:val="auto"/>
              </w:rPr>
              <w:t>President, Chief Executive Officer and</w:t>
            </w:r>
          </w:p>
        </w:tc>
        <w:tc>
          <w:tcPr>
            <w:tcW w:w="2240" w:type="dxa"/>
            <w:vAlign w:val="bottom"/>
            <w:gridSpan w:val="3"/>
          </w:tcPr>
          <w:p>
            <w:pPr>
              <w:jc w:val="center"/>
              <w:ind w:left="830"/>
              <w:spacing w:after="0"/>
              <w:rPr>
                <w:sz w:val="20"/>
                <w:szCs w:val="20"/>
                <w:color w:val="auto"/>
              </w:rPr>
            </w:pPr>
            <w:r>
              <w:rPr>
                <w:rFonts w:ascii="Arial" w:cs="Arial" w:eastAsia="Arial" w:hAnsi="Arial"/>
                <w:sz w:val="18"/>
                <w:szCs w:val="18"/>
                <w:color w:val="auto"/>
                <w:w w:val="89"/>
              </w:rPr>
              <w:t>February 13, 2018</w:t>
            </w:r>
          </w:p>
        </w:tc>
        <w:tc>
          <w:tcPr>
            <w:tcW w:w="0" w:type="dxa"/>
            <w:vAlign w:val="bottom"/>
          </w:tcPr>
          <w:p>
            <w:pPr>
              <w:spacing w:after="0"/>
              <w:rPr>
                <w:sz w:val="1"/>
                <w:szCs w:val="1"/>
                <w:color w:val="auto"/>
              </w:rPr>
            </w:pPr>
          </w:p>
        </w:tc>
      </w:tr>
      <w:tr>
        <w:trPr>
          <w:trHeight w:val="27"/>
        </w:trPr>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360" w:type="dxa"/>
            <w:vAlign w:val="bottom"/>
            <w:gridSpan w:val="3"/>
            <w:vMerge w:val="restart"/>
          </w:tcPr>
          <w:p>
            <w:pPr>
              <w:ind w:left="720"/>
              <w:spacing w:after="0"/>
              <w:rPr>
                <w:sz w:val="20"/>
                <w:szCs w:val="20"/>
                <w:color w:val="auto"/>
              </w:rPr>
            </w:pPr>
            <w:r>
              <w:rPr>
                <w:rFonts w:ascii="Arial" w:cs="Arial" w:eastAsia="Arial" w:hAnsi="Arial"/>
                <w:sz w:val="18"/>
                <w:szCs w:val="18"/>
                <w:color w:val="auto"/>
              </w:rPr>
              <w:t>Trustee (Principal Executive Officer)</w:t>
            </w: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420" w:type="dxa"/>
            <w:vAlign w:val="bottom"/>
          </w:tcPr>
          <w:p>
            <w:pPr>
              <w:spacing w:after="0"/>
              <w:rPr>
                <w:sz w:val="19"/>
                <w:szCs w:val="19"/>
                <w:color w:val="auto"/>
              </w:rPr>
            </w:pPr>
          </w:p>
        </w:tc>
        <w:tc>
          <w:tcPr>
            <w:tcW w:w="3040" w:type="dxa"/>
            <w:vAlign w:val="bottom"/>
            <w:gridSpan w:val="4"/>
          </w:tcPr>
          <w:p>
            <w:pPr>
              <w:jc w:val="center"/>
              <w:ind w:right="1420"/>
              <w:spacing w:after="0"/>
              <w:rPr>
                <w:sz w:val="20"/>
                <w:szCs w:val="20"/>
                <w:color w:val="auto"/>
              </w:rPr>
            </w:pPr>
            <w:r>
              <w:rPr>
                <w:rFonts w:ascii="Arial" w:cs="Arial" w:eastAsia="Arial" w:hAnsi="Arial"/>
                <w:sz w:val="14"/>
                <w:szCs w:val="14"/>
                <w:b w:val="1"/>
                <w:bCs w:val="1"/>
                <w:color w:val="auto"/>
                <w:w w:val="94"/>
              </w:rPr>
              <w:t>Donald C. Wood</w:t>
            </w:r>
          </w:p>
        </w:tc>
        <w:tc>
          <w:tcPr>
            <w:tcW w:w="4360" w:type="dxa"/>
            <w:vAlign w:val="bottom"/>
            <w:gridSpan w:val="3"/>
            <w:vMerge w:val="continue"/>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3"/>
        </w:trPr>
        <w:tc>
          <w:tcPr>
            <w:tcW w:w="1420" w:type="dxa"/>
            <w:vAlign w:val="bottom"/>
          </w:tcPr>
          <w:p>
            <w:pPr>
              <w:ind w:left="12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040" w:type="dxa"/>
            <w:vAlign w:val="bottom"/>
            <w:gridSpan w:val="4"/>
          </w:tcPr>
          <w:p>
            <w:pPr>
              <w:jc w:val="center"/>
              <w:ind w:right="106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ANIEL</w:t>
            </w:r>
            <w:r>
              <w:rPr>
                <w:rFonts w:ascii="Arial" w:cs="Arial" w:eastAsia="Arial" w:hAnsi="Arial"/>
                <w:sz w:val="18"/>
                <w:szCs w:val="18"/>
                <w:color w:val="auto"/>
              </w:rPr>
              <w:t xml:space="preserve"> G</w:t>
            </w:r>
            <w:r>
              <w:rPr>
                <w:rFonts w:ascii="Arial" w:cs="Arial" w:eastAsia="Arial" w:hAnsi="Arial"/>
                <w:sz w:val="14"/>
                <w:szCs w:val="14"/>
                <w:color w:val="auto"/>
              </w:rPr>
              <w:t>UGLIELMONE</w:t>
            </w:r>
          </w:p>
        </w:tc>
        <w:tc>
          <w:tcPr>
            <w:tcW w:w="4360" w:type="dxa"/>
            <w:vAlign w:val="bottom"/>
            <w:gridSpan w:val="3"/>
          </w:tcPr>
          <w:p>
            <w:pPr>
              <w:ind w:left="480"/>
              <w:spacing w:after="0"/>
              <w:rPr>
                <w:sz w:val="20"/>
                <w:szCs w:val="20"/>
                <w:color w:val="auto"/>
              </w:rPr>
            </w:pPr>
            <w:r>
              <w:rPr>
                <w:rFonts w:ascii="Arial" w:cs="Arial" w:eastAsia="Arial" w:hAnsi="Arial"/>
                <w:sz w:val="18"/>
                <w:szCs w:val="18"/>
                <w:color w:val="auto"/>
              </w:rPr>
              <w:t>Executive Vice President-Chief Financial</w:t>
            </w:r>
          </w:p>
        </w:tc>
        <w:tc>
          <w:tcPr>
            <w:tcW w:w="2240" w:type="dxa"/>
            <w:vAlign w:val="bottom"/>
            <w:gridSpan w:val="3"/>
          </w:tcPr>
          <w:p>
            <w:pPr>
              <w:jc w:val="center"/>
              <w:ind w:left="830"/>
              <w:spacing w:after="0"/>
              <w:rPr>
                <w:sz w:val="20"/>
                <w:szCs w:val="20"/>
                <w:color w:val="auto"/>
              </w:rPr>
            </w:pPr>
            <w:r>
              <w:rPr>
                <w:rFonts w:ascii="Arial" w:cs="Arial" w:eastAsia="Arial" w:hAnsi="Arial"/>
                <w:sz w:val="18"/>
                <w:szCs w:val="18"/>
                <w:color w:val="auto"/>
                <w:w w:val="89"/>
              </w:rPr>
              <w:t>February 13, 2018</w:t>
            </w:r>
          </w:p>
        </w:tc>
        <w:tc>
          <w:tcPr>
            <w:tcW w:w="0" w:type="dxa"/>
            <w:vAlign w:val="bottom"/>
          </w:tcPr>
          <w:p>
            <w:pPr>
              <w:spacing w:after="0"/>
              <w:rPr>
                <w:sz w:val="1"/>
                <w:szCs w:val="1"/>
                <w:color w:val="auto"/>
              </w:rPr>
            </w:pPr>
          </w:p>
        </w:tc>
      </w:tr>
      <w:tr>
        <w:trPr>
          <w:trHeight w:val="27"/>
        </w:trPr>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360" w:type="dxa"/>
            <w:vAlign w:val="bottom"/>
            <w:gridSpan w:val="3"/>
            <w:vMerge w:val="restart"/>
          </w:tcPr>
          <w:p>
            <w:pPr>
              <w:ind w:left="720"/>
              <w:spacing w:after="0"/>
              <w:rPr>
                <w:sz w:val="20"/>
                <w:szCs w:val="20"/>
                <w:color w:val="auto"/>
              </w:rPr>
            </w:pPr>
            <w:r>
              <w:rPr>
                <w:rFonts w:ascii="Arial" w:cs="Arial" w:eastAsia="Arial" w:hAnsi="Arial"/>
                <w:sz w:val="18"/>
                <w:szCs w:val="18"/>
                <w:color w:val="auto"/>
              </w:rPr>
              <w:t>Officer and Treasurer (Principal</w:t>
            </w: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420" w:type="dxa"/>
            <w:vAlign w:val="bottom"/>
          </w:tcPr>
          <w:p>
            <w:pPr>
              <w:spacing w:after="0"/>
              <w:rPr>
                <w:sz w:val="19"/>
                <w:szCs w:val="19"/>
                <w:color w:val="auto"/>
              </w:rPr>
            </w:pPr>
          </w:p>
        </w:tc>
        <w:tc>
          <w:tcPr>
            <w:tcW w:w="3040" w:type="dxa"/>
            <w:vAlign w:val="bottom"/>
            <w:gridSpan w:val="4"/>
          </w:tcPr>
          <w:p>
            <w:pPr>
              <w:jc w:val="center"/>
              <w:ind w:right="1420"/>
              <w:spacing w:after="0"/>
              <w:rPr>
                <w:sz w:val="20"/>
                <w:szCs w:val="20"/>
                <w:color w:val="auto"/>
              </w:rPr>
            </w:pPr>
            <w:r>
              <w:rPr>
                <w:rFonts w:ascii="Arial" w:cs="Arial" w:eastAsia="Arial" w:hAnsi="Arial"/>
                <w:sz w:val="14"/>
                <w:szCs w:val="14"/>
                <w:b w:val="1"/>
                <w:bCs w:val="1"/>
                <w:color w:val="auto"/>
                <w:w w:val="93"/>
              </w:rPr>
              <w:t>Daniel Guglielmone</w:t>
            </w:r>
          </w:p>
        </w:tc>
        <w:tc>
          <w:tcPr>
            <w:tcW w:w="4360" w:type="dxa"/>
            <w:vAlign w:val="bottom"/>
            <w:gridSpan w:val="3"/>
            <w:vMerge w:val="continue"/>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4360" w:type="dxa"/>
            <w:vAlign w:val="bottom"/>
            <w:gridSpan w:val="3"/>
          </w:tcPr>
          <w:p>
            <w:pPr>
              <w:ind w:left="720"/>
              <w:spacing w:after="0"/>
              <w:rPr>
                <w:sz w:val="20"/>
                <w:szCs w:val="20"/>
                <w:color w:val="auto"/>
              </w:rPr>
            </w:pPr>
            <w:r>
              <w:rPr>
                <w:rFonts w:ascii="Arial" w:cs="Arial" w:eastAsia="Arial" w:hAnsi="Arial"/>
                <w:sz w:val="18"/>
                <w:szCs w:val="18"/>
                <w:color w:val="auto"/>
              </w:rPr>
              <w:t>Financial and Accounting Officer)</w:t>
            </w:r>
          </w:p>
        </w:tc>
        <w:tc>
          <w:tcPr>
            <w:tcW w:w="1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3"/>
        </w:trPr>
        <w:tc>
          <w:tcPr>
            <w:tcW w:w="1420" w:type="dxa"/>
            <w:vAlign w:val="bottom"/>
          </w:tcPr>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40" w:type="dxa"/>
            <w:vAlign w:val="bottom"/>
            <w:gridSpan w:val="4"/>
          </w:tcPr>
          <w:p>
            <w:pPr>
              <w:jc w:val="center"/>
              <w:ind w:right="1060"/>
              <w:spacing w:after="0"/>
              <w:rPr>
                <w:sz w:val="20"/>
                <w:szCs w:val="20"/>
                <w:color w:val="auto"/>
              </w:rPr>
            </w:pPr>
            <w:r>
              <w:rPr>
                <w:rFonts w:ascii="Arial" w:cs="Arial" w:eastAsia="Arial" w:hAnsi="Arial"/>
                <w:sz w:val="18"/>
                <w:szCs w:val="18"/>
                <w:color w:val="auto"/>
                <w:w w:val="96"/>
              </w:rPr>
              <w:t>J</w:t>
            </w:r>
            <w:r>
              <w:rPr>
                <w:rFonts w:ascii="Arial" w:cs="Arial" w:eastAsia="Arial" w:hAnsi="Arial"/>
                <w:sz w:val="14"/>
                <w:szCs w:val="14"/>
                <w:color w:val="auto"/>
                <w:w w:val="96"/>
              </w:rPr>
              <w:t>OSEPH</w:t>
            </w:r>
            <w:r>
              <w:rPr>
                <w:rFonts w:ascii="Arial" w:cs="Arial" w:eastAsia="Arial" w:hAnsi="Arial"/>
                <w:sz w:val="18"/>
                <w:szCs w:val="18"/>
                <w:color w:val="auto"/>
                <w:w w:val="96"/>
              </w:rPr>
              <w:t xml:space="preserve"> S. V</w:t>
            </w:r>
            <w:r>
              <w:rPr>
                <w:rFonts w:ascii="Arial" w:cs="Arial" w:eastAsia="Arial" w:hAnsi="Arial"/>
                <w:sz w:val="14"/>
                <w:szCs w:val="14"/>
                <w:color w:val="auto"/>
                <w:w w:val="96"/>
              </w:rPr>
              <w:t>ASSALLUZZO</w:t>
            </w:r>
          </w:p>
        </w:tc>
        <w:tc>
          <w:tcPr>
            <w:tcW w:w="4360" w:type="dxa"/>
            <w:vAlign w:val="bottom"/>
            <w:gridSpan w:val="3"/>
          </w:tcPr>
          <w:p>
            <w:pPr>
              <w:ind w:left="480"/>
              <w:spacing w:after="0"/>
              <w:rPr>
                <w:sz w:val="20"/>
                <w:szCs w:val="20"/>
                <w:color w:val="auto"/>
              </w:rPr>
            </w:pPr>
            <w:r>
              <w:rPr>
                <w:rFonts w:ascii="Arial" w:cs="Arial" w:eastAsia="Arial" w:hAnsi="Arial"/>
                <w:sz w:val="18"/>
                <w:szCs w:val="18"/>
                <w:color w:val="auto"/>
              </w:rPr>
              <w:t>Non-Executive Chairman</w:t>
            </w:r>
          </w:p>
        </w:tc>
        <w:tc>
          <w:tcPr>
            <w:tcW w:w="2240" w:type="dxa"/>
            <w:vAlign w:val="bottom"/>
            <w:gridSpan w:val="3"/>
          </w:tcPr>
          <w:p>
            <w:pPr>
              <w:jc w:val="center"/>
              <w:ind w:left="830"/>
              <w:spacing w:after="0"/>
              <w:rPr>
                <w:sz w:val="20"/>
                <w:szCs w:val="20"/>
                <w:color w:val="auto"/>
              </w:rPr>
            </w:pPr>
            <w:r>
              <w:rPr>
                <w:rFonts w:ascii="Arial" w:cs="Arial" w:eastAsia="Arial" w:hAnsi="Arial"/>
                <w:sz w:val="18"/>
                <w:szCs w:val="18"/>
                <w:color w:val="auto"/>
                <w:w w:val="89"/>
              </w:rPr>
              <w:t>February 13, 2018</w:t>
            </w:r>
          </w:p>
        </w:tc>
        <w:tc>
          <w:tcPr>
            <w:tcW w:w="0" w:type="dxa"/>
            <w:vAlign w:val="bottom"/>
          </w:tcPr>
          <w:p>
            <w:pPr>
              <w:spacing w:after="0"/>
              <w:rPr>
                <w:sz w:val="1"/>
                <w:szCs w:val="1"/>
                <w:color w:val="auto"/>
              </w:rPr>
            </w:pPr>
          </w:p>
        </w:tc>
      </w:tr>
      <w:tr>
        <w:trPr>
          <w:trHeight w:val="27"/>
        </w:trPr>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20" w:type="dxa"/>
            <w:vAlign w:val="bottom"/>
          </w:tcPr>
          <w:p>
            <w:pPr>
              <w:spacing w:after="0"/>
              <w:rPr>
                <w:sz w:val="15"/>
                <w:szCs w:val="15"/>
                <w:color w:val="auto"/>
              </w:rPr>
            </w:pPr>
          </w:p>
        </w:tc>
        <w:tc>
          <w:tcPr>
            <w:tcW w:w="3040" w:type="dxa"/>
            <w:vAlign w:val="bottom"/>
            <w:gridSpan w:val="4"/>
          </w:tcPr>
          <w:p>
            <w:pPr>
              <w:jc w:val="center"/>
              <w:ind w:right="1400"/>
              <w:spacing w:after="0"/>
              <w:rPr>
                <w:sz w:val="20"/>
                <w:szCs w:val="20"/>
                <w:color w:val="auto"/>
              </w:rPr>
            </w:pPr>
            <w:r>
              <w:rPr>
                <w:rFonts w:ascii="Arial" w:cs="Arial" w:eastAsia="Arial" w:hAnsi="Arial"/>
                <w:sz w:val="14"/>
                <w:szCs w:val="14"/>
                <w:b w:val="1"/>
                <w:bCs w:val="1"/>
                <w:color w:val="auto"/>
                <w:w w:val="88"/>
              </w:rPr>
              <w:t>Joseph S. Vassalluzzo</w:t>
            </w:r>
          </w:p>
        </w:tc>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2"/>
        </w:trPr>
        <w:tc>
          <w:tcPr>
            <w:tcW w:w="142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740" w:type="dxa"/>
            <w:vAlign w:val="bottom"/>
            <w:gridSpan w:val="3"/>
          </w:tcPr>
          <w:p>
            <w:pPr>
              <w:jc w:val="center"/>
              <w:ind w:right="1360"/>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ON</w:t>
            </w:r>
            <w:r>
              <w:rPr>
                <w:rFonts w:ascii="Arial" w:cs="Arial" w:eastAsia="Arial" w:hAnsi="Arial"/>
                <w:sz w:val="18"/>
                <w:szCs w:val="18"/>
                <w:color w:val="auto"/>
                <w:w w:val="95"/>
              </w:rPr>
              <w:t xml:space="preserve"> E. B</w:t>
            </w:r>
            <w:r>
              <w:rPr>
                <w:rFonts w:ascii="Arial" w:cs="Arial" w:eastAsia="Arial" w:hAnsi="Arial"/>
                <w:sz w:val="14"/>
                <w:szCs w:val="14"/>
                <w:color w:val="auto"/>
                <w:w w:val="95"/>
              </w:rPr>
              <w:t>ORTZ</w:t>
            </w:r>
          </w:p>
        </w:tc>
        <w:tc>
          <w:tcPr>
            <w:tcW w:w="4360" w:type="dxa"/>
            <w:vAlign w:val="bottom"/>
            <w:gridSpan w:val="3"/>
          </w:tcPr>
          <w:p>
            <w:pPr>
              <w:ind w:left="480"/>
              <w:spacing w:after="0"/>
              <w:rPr>
                <w:sz w:val="20"/>
                <w:szCs w:val="20"/>
                <w:color w:val="auto"/>
              </w:rPr>
            </w:pPr>
            <w:r>
              <w:rPr>
                <w:rFonts w:ascii="Arial" w:cs="Arial" w:eastAsia="Arial" w:hAnsi="Arial"/>
                <w:sz w:val="18"/>
                <w:szCs w:val="18"/>
                <w:color w:val="auto"/>
              </w:rPr>
              <w:t>Trustee</w:t>
            </w:r>
          </w:p>
        </w:tc>
        <w:tc>
          <w:tcPr>
            <w:tcW w:w="2240" w:type="dxa"/>
            <w:vAlign w:val="bottom"/>
            <w:gridSpan w:val="3"/>
          </w:tcPr>
          <w:p>
            <w:pPr>
              <w:jc w:val="center"/>
              <w:ind w:left="830"/>
              <w:spacing w:after="0"/>
              <w:rPr>
                <w:sz w:val="20"/>
                <w:szCs w:val="20"/>
                <w:color w:val="auto"/>
              </w:rPr>
            </w:pPr>
            <w:r>
              <w:rPr>
                <w:rFonts w:ascii="Arial" w:cs="Arial" w:eastAsia="Arial" w:hAnsi="Arial"/>
                <w:sz w:val="18"/>
                <w:szCs w:val="18"/>
                <w:color w:val="auto"/>
                <w:w w:val="89"/>
              </w:rPr>
              <w:t>February 13, 2018</w:t>
            </w:r>
          </w:p>
        </w:tc>
        <w:tc>
          <w:tcPr>
            <w:tcW w:w="0" w:type="dxa"/>
            <w:vAlign w:val="bottom"/>
          </w:tcPr>
          <w:p>
            <w:pPr>
              <w:spacing w:after="0"/>
              <w:rPr>
                <w:sz w:val="1"/>
                <w:szCs w:val="1"/>
                <w:color w:val="auto"/>
              </w:rPr>
            </w:pPr>
          </w:p>
        </w:tc>
      </w:tr>
      <w:tr>
        <w:trPr>
          <w:trHeight w:val="27"/>
        </w:trPr>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4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5"/>
              </w:rPr>
              <w:t>Jon E. Bortz</w:t>
            </w: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8"/>
        </w:trPr>
        <w:tc>
          <w:tcPr>
            <w:tcW w:w="1720" w:type="dxa"/>
            <w:vAlign w:val="bottom"/>
            <w:gridSpan w:val="2"/>
          </w:tcPr>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40" w:type="dxa"/>
            <w:vAlign w:val="bottom"/>
            <w:gridSpan w:val="3"/>
          </w:tcPr>
          <w:p>
            <w:pPr>
              <w:jc w:val="center"/>
              <w:ind w:right="1360"/>
              <w:spacing w:after="0"/>
              <w:rPr>
                <w:sz w:val="20"/>
                <w:szCs w:val="20"/>
                <w:color w:val="auto"/>
              </w:rPr>
            </w:pPr>
            <w:r>
              <w:rPr>
                <w:rFonts w:ascii="Arial" w:cs="Arial" w:eastAsia="Arial" w:hAnsi="Arial"/>
                <w:sz w:val="18"/>
                <w:szCs w:val="18"/>
                <w:color w:val="auto"/>
                <w:w w:val="97"/>
              </w:rPr>
              <w:t>D</w:t>
            </w:r>
            <w:r>
              <w:rPr>
                <w:rFonts w:ascii="Arial" w:cs="Arial" w:eastAsia="Arial" w:hAnsi="Arial"/>
                <w:sz w:val="14"/>
                <w:szCs w:val="14"/>
                <w:color w:val="auto"/>
                <w:w w:val="97"/>
              </w:rPr>
              <w:t>AVID</w:t>
            </w:r>
            <w:r>
              <w:rPr>
                <w:rFonts w:ascii="Arial" w:cs="Arial" w:eastAsia="Arial" w:hAnsi="Arial"/>
                <w:sz w:val="18"/>
                <w:szCs w:val="18"/>
                <w:color w:val="auto"/>
                <w:w w:val="97"/>
              </w:rPr>
              <w:t xml:space="preserve"> W. F</w:t>
            </w:r>
            <w:r>
              <w:rPr>
                <w:rFonts w:ascii="Arial" w:cs="Arial" w:eastAsia="Arial" w:hAnsi="Arial"/>
                <w:sz w:val="14"/>
                <w:szCs w:val="14"/>
                <w:color w:val="auto"/>
                <w:w w:val="97"/>
              </w:rPr>
              <w:t>AEDER</w:t>
            </w:r>
          </w:p>
        </w:tc>
        <w:tc>
          <w:tcPr>
            <w:tcW w:w="4360" w:type="dxa"/>
            <w:vAlign w:val="bottom"/>
            <w:gridSpan w:val="3"/>
          </w:tcPr>
          <w:p>
            <w:pPr>
              <w:ind w:left="480"/>
              <w:spacing w:after="0"/>
              <w:rPr>
                <w:sz w:val="20"/>
                <w:szCs w:val="20"/>
                <w:color w:val="auto"/>
              </w:rPr>
            </w:pPr>
            <w:r>
              <w:rPr>
                <w:rFonts w:ascii="Arial" w:cs="Arial" w:eastAsia="Arial" w:hAnsi="Arial"/>
                <w:sz w:val="18"/>
                <w:szCs w:val="18"/>
                <w:color w:val="auto"/>
              </w:rPr>
              <w:t>Trustee</w:t>
            </w:r>
          </w:p>
        </w:tc>
        <w:tc>
          <w:tcPr>
            <w:tcW w:w="2240" w:type="dxa"/>
            <w:vAlign w:val="bottom"/>
            <w:gridSpan w:val="3"/>
          </w:tcPr>
          <w:p>
            <w:pPr>
              <w:jc w:val="center"/>
              <w:ind w:left="830"/>
              <w:spacing w:after="0"/>
              <w:rPr>
                <w:sz w:val="20"/>
                <w:szCs w:val="20"/>
                <w:color w:val="auto"/>
              </w:rPr>
            </w:pPr>
            <w:r>
              <w:rPr>
                <w:rFonts w:ascii="Arial" w:cs="Arial" w:eastAsia="Arial" w:hAnsi="Arial"/>
                <w:sz w:val="18"/>
                <w:szCs w:val="18"/>
                <w:color w:val="auto"/>
                <w:w w:val="89"/>
              </w:rPr>
              <w:t>February 13, 2018</w:t>
            </w:r>
          </w:p>
        </w:tc>
        <w:tc>
          <w:tcPr>
            <w:tcW w:w="0" w:type="dxa"/>
            <w:vAlign w:val="bottom"/>
          </w:tcPr>
          <w:p>
            <w:pPr>
              <w:spacing w:after="0"/>
              <w:rPr>
                <w:sz w:val="1"/>
                <w:szCs w:val="1"/>
                <w:color w:val="auto"/>
              </w:rPr>
            </w:pPr>
          </w:p>
        </w:tc>
      </w:tr>
      <w:tr>
        <w:trPr>
          <w:trHeight w:val="27"/>
        </w:trPr>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20" w:type="dxa"/>
            <w:vAlign w:val="bottom"/>
          </w:tcPr>
          <w:p>
            <w:pPr>
              <w:spacing w:after="0"/>
              <w:rPr>
                <w:sz w:val="15"/>
                <w:szCs w:val="15"/>
                <w:color w:val="auto"/>
              </w:rPr>
            </w:pPr>
          </w:p>
        </w:tc>
        <w:tc>
          <w:tcPr>
            <w:tcW w:w="3040" w:type="dxa"/>
            <w:vAlign w:val="bottom"/>
            <w:gridSpan w:val="4"/>
          </w:tcPr>
          <w:p>
            <w:pPr>
              <w:jc w:val="center"/>
              <w:ind w:right="1400"/>
              <w:spacing w:after="0"/>
              <w:rPr>
                <w:sz w:val="20"/>
                <w:szCs w:val="20"/>
                <w:color w:val="auto"/>
              </w:rPr>
            </w:pPr>
            <w:r>
              <w:rPr>
                <w:rFonts w:ascii="Arial" w:cs="Arial" w:eastAsia="Arial" w:hAnsi="Arial"/>
                <w:sz w:val="14"/>
                <w:szCs w:val="14"/>
                <w:b w:val="1"/>
                <w:bCs w:val="1"/>
                <w:color w:val="auto"/>
                <w:w w:val="95"/>
              </w:rPr>
              <w:t>David W. Faeder</w:t>
            </w:r>
          </w:p>
        </w:tc>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3"/>
        </w:trPr>
        <w:tc>
          <w:tcPr>
            <w:tcW w:w="4460" w:type="dxa"/>
            <w:vAlign w:val="bottom"/>
            <w:gridSpan w:val="5"/>
          </w:tcPr>
          <w:p>
            <w:pPr>
              <w:jc w:val="center"/>
              <w:spacing w:after="0"/>
              <w:rPr>
                <w:sz w:val="20"/>
                <w:szCs w:val="20"/>
                <w:color w:val="auto"/>
              </w:rPr>
            </w:pPr>
            <w:r>
              <w:rPr>
                <w:rFonts w:ascii="Arial" w:cs="Arial" w:eastAsia="Arial" w:hAnsi="Arial"/>
                <w:sz w:val="14"/>
                <w:szCs w:val="14"/>
                <w:color w:val="auto"/>
              </w:rPr>
              <w:t xml:space="preserve">/S/  </w:t>
            </w:r>
            <w:r>
              <w:rPr>
                <w:rFonts w:ascii="Arial" w:cs="Arial" w:eastAsia="Arial" w:hAnsi="Arial"/>
                <w:sz w:val="17"/>
                <w:szCs w:val="17"/>
                <w:color w:val="auto"/>
              </w:rPr>
              <w:t>E</w:t>
            </w:r>
            <w:r>
              <w:rPr>
                <w:rFonts w:ascii="Arial" w:cs="Arial" w:eastAsia="Arial" w:hAnsi="Arial"/>
                <w:sz w:val="14"/>
                <w:szCs w:val="14"/>
                <w:color w:val="auto"/>
              </w:rPr>
              <w:t xml:space="preserve">LIZABETH </w:t>
            </w:r>
            <w:r>
              <w:rPr>
                <w:rFonts w:ascii="Arial" w:cs="Arial" w:eastAsia="Arial" w:hAnsi="Arial"/>
                <w:sz w:val="17"/>
                <w:szCs w:val="17"/>
                <w:color w:val="auto"/>
              </w:rPr>
              <w:t>I. H</w:t>
            </w:r>
            <w:r>
              <w:rPr>
                <w:rFonts w:ascii="Arial" w:cs="Arial" w:eastAsia="Arial" w:hAnsi="Arial"/>
                <w:sz w:val="14"/>
                <w:szCs w:val="14"/>
                <w:color w:val="auto"/>
              </w:rPr>
              <w:t>OLLAND</w:t>
            </w:r>
          </w:p>
        </w:tc>
        <w:tc>
          <w:tcPr>
            <w:tcW w:w="4360" w:type="dxa"/>
            <w:vAlign w:val="bottom"/>
            <w:gridSpan w:val="3"/>
          </w:tcPr>
          <w:p>
            <w:pPr>
              <w:ind w:left="480"/>
              <w:spacing w:after="0"/>
              <w:rPr>
                <w:sz w:val="20"/>
                <w:szCs w:val="20"/>
                <w:color w:val="auto"/>
              </w:rPr>
            </w:pPr>
            <w:r>
              <w:rPr>
                <w:rFonts w:ascii="Arial" w:cs="Arial" w:eastAsia="Arial" w:hAnsi="Arial"/>
                <w:sz w:val="18"/>
                <w:szCs w:val="18"/>
                <w:color w:val="auto"/>
              </w:rPr>
              <w:t>Trustee</w:t>
            </w:r>
          </w:p>
        </w:tc>
        <w:tc>
          <w:tcPr>
            <w:tcW w:w="2240" w:type="dxa"/>
            <w:vAlign w:val="bottom"/>
            <w:gridSpan w:val="3"/>
          </w:tcPr>
          <w:p>
            <w:pPr>
              <w:jc w:val="center"/>
              <w:ind w:left="830"/>
              <w:spacing w:after="0"/>
              <w:rPr>
                <w:sz w:val="20"/>
                <w:szCs w:val="20"/>
                <w:color w:val="auto"/>
              </w:rPr>
            </w:pPr>
            <w:r>
              <w:rPr>
                <w:rFonts w:ascii="Arial" w:cs="Arial" w:eastAsia="Arial" w:hAnsi="Arial"/>
                <w:sz w:val="18"/>
                <w:szCs w:val="18"/>
                <w:color w:val="auto"/>
                <w:w w:val="89"/>
              </w:rPr>
              <w:t>February 13, 2018</w:t>
            </w:r>
          </w:p>
        </w:tc>
        <w:tc>
          <w:tcPr>
            <w:tcW w:w="0" w:type="dxa"/>
            <w:vAlign w:val="bottom"/>
          </w:tcPr>
          <w:p>
            <w:pPr>
              <w:spacing w:after="0"/>
              <w:rPr>
                <w:sz w:val="1"/>
                <w:szCs w:val="1"/>
                <w:color w:val="auto"/>
              </w:rPr>
            </w:pPr>
          </w:p>
        </w:tc>
      </w:tr>
      <w:tr>
        <w:trPr>
          <w:trHeight w:val="27"/>
        </w:trPr>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20" w:type="dxa"/>
            <w:vAlign w:val="bottom"/>
          </w:tcPr>
          <w:p>
            <w:pPr>
              <w:spacing w:after="0"/>
              <w:rPr>
                <w:sz w:val="15"/>
                <w:szCs w:val="15"/>
                <w:color w:val="auto"/>
              </w:rPr>
            </w:pPr>
          </w:p>
        </w:tc>
        <w:tc>
          <w:tcPr>
            <w:tcW w:w="3040" w:type="dxa"/>
            <w:vAlign w:val="bottom"/>
            <w:gridSpan w:val="4"/>
          </w:tcPr>
          <w:p>
            <w:pPr>
              <w:jc w:val="center"/>
              <w:ind w:right="1400"/>
              <w:spacing w:after="0"/>
              <w:rPr>
                <w:sz w:val="20"/>
                <w:szCs w:val="20"/>
                <w:color w:val="auto"/>
              </w:rPr>
            </w:pPr>
            <w:r>
              <w:rPr>
                <w:rFonts w:ascii="Arial" w:cs="Arial" w:eastAsia="Arial" w:hAnsi="Arial"/>
                <w:sz w:val="14"/>
                <w:szCs w:val="14"/>
                <w:b w:val="1"/>
                <w:bCs w:val="1"/>
                <w:color w:val="auto"/>
                <w:w w:val="96"/>
              </w:rPr>
              <w:t>Elizabeth I. Holland</w:t>
            </w:r>
          </w:p>
        </w:tc>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2"/>
        </w:trPr>
        <w:tc>
          <w:tcPr>
            <w:tcW w:w="142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40" w:type="dxa"/>
            <w:vAlign w:val="bottom"/>
            <w:gridSpan w:val="3"/>
          </w:tcPr>
          <w:p>
            <w:pPr>
              <w:jc w:val="center"/>
              <w:ind w:right="1360"/>
              <w:spacing w:after="0"/>
              <w:rPr>
                <w:sz w:val="20"/>
                <w:szCs w:val="20"/>
                <w:color w:val="auto"/>
              </w:rPr>
            </w:pPr>
            <w:r>
              <w:rPr>
                <w:rFonts w:ascii="Arial" w:cs="Arial" w:eastAsia="Arial" w:hAnsi="Arial"/>
                <w:sz w:val="18"/>
                <w:szCs w:val="18"/>
                <w:color w:val="auto"/>
                <w:w w:val="95"/>
              </w:rPr>
              <w:t>G</w:t>
            </w:r>
            <w:r>
              <w:rPr>
                <w:rFonts w:ascii="Arial" w:cs="Arial" w:eastAsia="Arial" w:hAnsi="Arial"/>
                <w:sz w:val="14"/>
                <w:szCs w:val="14"/>
                <w:color w:val="auto"/>
                <w:w w:val="95"/>
              </w:rPr>
              <w:t>AIL</w:t>
            </w:r>
            <w:r>
              <w:rPr>
                <w:rFonts w:ascii="Arial" w:cs="Arial" w:eastAsia="Arial" w:hAnsi="Arial"/>
                <w:sz w:val="18"/>
                <w:szCs w:val="18"/>
                <w:color w:val="auto"/>
                <w:w w:val="95"/>
              </w:rPr>
              <w:t xml:space="preserve"> P. S</w:t>
            </w:r>
            <w:r>
              <w:rPr>
                <w:rFonts w:ascii="Arial" w:cs="Arial" w:eastAsia="Arial" w:hAnsi="Arial"/>
                <w:sz w:val="14"/>
                <w:szCs w:val="14"/>
                <w:color w:val="auto"/>
                <w:w w:val="95"/>
              </w:rPr>
              <w:t>TEINEL</w:t>
            </w:r>
          </w:p>
        </w:tc>
        <w:tc>
          <w:tcPr>
            <w:tcW w:w="4360" w:type="dxa"/>
            <w:vAlign w:val="bottom"/>
            <w:gridSpan w:val="3"/>
          </w:tcPr>
          <w:p>
            <w:pPr>
              <w:ind w:left="480"/>
              <w:spacing w:after="0"/>
              <w:rPr>
                <w:sz w:val="20"/>
                <w:szCs w:val="20"/>
                <w:color w:val="auto"/>
              </w:rPr>
            </w:pPr>
            <w:r>
              <w:rPr>
                <w:rFonts w:ascii="Arial" w:cs="Arial" w:eastAsia="Arial" w:hAnsi="Arial"/>
                <w:sz w:val="18"/>
                <w:szCs w:val="18"/>
                <w:color w:val="auto"/>
              </w:rPr>
              <w:t>Trustee</w:t>
            </w:r>
          </w:p>
        </w:tc>
        <w:tc>
          <w:tcPr>
            <w:tcW w:w="2240" w:type="dxa"/>
            <w:vAlign w:val="bottom"/>
            <w:gridSpan w:val="3"/>
          </w:tcPr>
          <w:p>
            <w:pPr>
              <w:jc w:val="center"/>
              <w:ind w:left="830"/>
              <w:spacing w:after="0"/>
              <w:rPr>
                <w:sz w:val="20"/>
                <w:szCs w:val="20"/>
                <w:color w:val="auto"/>
              </w:rPr>
            </w:pPr>
            <w:r>
              <w:rPr>
                <w:rFonts w:ascii="Arial" w:cs="Arial" w:eastAsia="Arial" w:hAnsi="Arial"/>
                <w:sz w:val="18"/>
                <w:szCs w:val="18"/>
                <w:color w:val="auto"/>
                <w:w w:val="89"/>
              </w:rPr>
              <w:t>February 13, 2018</w:t>
            </w:r>
          </w:p>
        </w:tc>
        <w:tc>
          <w:tcPr>
            <w:tcW w:w="0" w:type="dxa"/>
            <w:vAlign w:val="bottom"/>
          </w:tcPr>
          <w:p>
            <w:pPr>
              <w:spacing w:after="0"/>
              <w:rPr>
                <w:sz w:val="1"/>
                <w:szCs w:val="1"/>
                <w:color w:val="auto"/>
              </w:rPr>
            </w:pPr>
          </w:p>
        </w:tc>
      </w:tr>
      <w:tr>
        <w:trPr>
          <w:trHeight w:val="27"/>
        </w:trPr>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4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2"/>
              </w:rPr>
              <w:t>Gail P. Steinel</w:t>
            </w:r>
          </w:p>
        </w:tc>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2"/>
        </w:trPr>
        <w:tc>
          <w:tcPr>
            <w:tcW w:w="1420" w:type="dxa"/>
            <w:vAlign w:val="bottom"/>
          </w:tcPr>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40" w:type="dxa"/>
            <w:vAlign w:val="bottom"/>
            <w:gridSpan w:val="4"/>
          </w:tcPr>
          <w:p>
            <w:pPr>
              <w:jc w:val="center"/>
              <w:ind w:right="1060"/>
              <w:spacing w:after="0"/>
              <w:rPr>
                <w:sz w:val="20"/>
                <w:szCs w:val="20"/>
                <w:color w:val="auto"/>
              </w:rPr>
            </w:pPr>
            <w:r>
              <w:rPr>
                <w:rFonts w:ascii="Arial" w:cs="Arial" w:eastAsia="Arial" w:hAnsi="Arial"/>
                <w:sz w:val="18"/>
                <w:szCs w:val="18"/>
                <w:color w:val="auto"/>
                <w:w w:val="99"/>
              </w:rPr>
              <w:t>W</w:t>
            </w:r>
            <w:r>
              <w:rPr>
                <w:rFonts w:ascii="Arial" w:cs="Arial" w:eastAsia="Arial" w:hAnsi="Arial"/>
                <w:sz w:val="14"/>
                <w:szCs w:val="14"/>
                <w:color w:val="auto"/>
                <w:w w:val="99"/>
              </w:rPr>
              <w:t>ARREN</w:t>
            </w:r>
            <w:r>
              <w:rPr>
                <w:rFonts w:ascii="Arial" w:cs="Arial" w:eastAsia="Arial" w:hAnsi="Arial"/>
                <w:sz w:val="18"/>
                <w:szCs w:val="18"/>
                <w:color w:val="auto"/>
                <w:w w:val="99"/>
              </w:rPr>
              <w:t xml:space="preserve"> M. T</w:t>
            </w:r>
            <w:r>
              <w:rPr>
                <w:rFonts w:ascii="Arial" w:cs="Arial" w:eastAsia="Arial" w:hAnsi="Arial"/>
                <w:sz w:val="14"/>
                <w:szCs w:val="14"/>
                <w:color w:val="auto"/>
                <w:w w:val="99"/>
              </w:rPr>
              <w:t>HOMPSON</w:t>
            </w:r>
          </w:p>
        </w:tc>
        <w:tc>
          <w:tcPr>
            <w:tcW w:w="4360" w:type="dxa"/>
            <w:vAlign w:val="bottom"/>
            <w:gridSpan w:val="3"/>
          </w:tcPr>
          <w:p>
            <w:pPr>
              <w:ind w:left="480"/>
              <w:spacing w:after="0"/>
              <w:rPr>
                <w:sz w:val="20"/>
                <w:szCs w:val="20"/>
                <w:color w:val="auto"/>
              </w:rPr>
            </w:pPr>
            <w:r>
              <w:rPr>
                <w:rFonts w:ascii="Arial" w:cs="Arial" w:eastAsia="Arial" w:hAnsi="Arial"/>
                <w:sz w:val="18"/>
                <w:szCs w:val="18"/>
                <w:color w:val="auto"/>
              </w:rPr>
              <w:t>Trustee</w:t>
            </w:r>
          </w:p>
        </w:tc>
        <w:tc>
          <w:tcPr>
            <w:tcW w:w="2240" w:type="dxa"/>
            <w:vAlign w:val="bottom"/>
            <w:gridSpan w:val="3"/>
          </w:tcPr>
          <w:p>
            <w:pPr>
              <w:jc w:val="center"/>
              <w:ind w:left="830"/>
              <w:spacing w:after="0"/>
              <w:rPr>
                <w:sz w:val="20"/>
                <w:szCs w:val="20"/>
                <w:color w:val="auto"/>
              </w:rPr>
            </w:pPr>
            <w:r>
              <w:rPr>
                <w:rFonts w:ascii="Arial" w:cs="Arial" w:eastAsia="Arial" w:hAnsi="Arial"/>
                <w:sz w:val="18"/>
                <w:szCs w:val="18"/>
                <w:color w:val="auto"/>
                <w:w w:val="89"/>
              </w:rPr>
              <w:t>February 13, 2018</w:t>
            </w:r>
          </w:p>
        </w:tc>
        <w:tc>
          <w:tcPr>
            <w:tcW w:w="0" w:type="dxa"/>
            <w:vAlign w:val="bottom"/>
          </w:tcPr>
          <w:p>
            <w:pPr>
              <w:spacing w:after="0"/>
              <w:rPr>
                <w:sz w:val="1"/>
                <w:szCs w:val="1"/>
                <w:color w:val="auto"/>
              </w:rPr>
            </w:pPr>
          </w:p>
        </w:tc>
      </w:tr>
      <w:tr>
        <w:trPr>
          <w:trHeight w:val="27"/>
        </w:trPr>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20" w:type="dxa"/>
            <w:vAlign w:val="bottom"/>
          </w:tcPr>
          <w:p>
            <w:pPr>
              <w:spacing w:after="0"/>
              <w:rPr>
                <w:sz w:val="15"/>
                <w:szCs w:val="15"/>
                <w:color w:val="auto"/>
              </w:rPr>
            </w:pPr>
          </w:p>
        </w:tc>
        <w:tc>
          <w:tcPr>
            <w:tcW w:w="3040" w:type="dxa"/>
            <w:vAlign w:val="bottom"/>
            <w:gridSpan w:val="4"/>
          </w:tcPr>
          <w:p>
            <w:pPr>
              <w:jc w:val="center"/>
              <w:ind w:right="1420"/>
              <w:spacing w:after="0"/>
              <w:rPr>
                <w:sz w:val="20"/>
                <w:szCs w:val="20"/>
                <w:color w:val="auto"/>
              </w:rPr>
            </w:pPr>
            <w:r>
              <w:rPr>
                <w:rFonts w:ascii="Arial" w:cs="Arial" w:eastAsia="Arial" w:hAnsi="Arial"/>
                <w:sz w:val="14"/>
                <w:szCs w:val="14"/>
                <w:b w:val="1"/>
                <w:bCs w:val="1"/>
                <w:color w:val="auto"/>
                <w:w w:val="96"/>
              </w:rPr>
              <w:t>Warren M. Thompson</w:t>
            </w:r>
          </w:p>
        </w:tc>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6"/>
        </w:trPr>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20" w:type="dxa"/>
            <w:vAlign w:val="bottom"/>
          </w:tcPr>
          <w:p>
            <w:pPr>
              <w:ind w:left="1160"/>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6" w:right="29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8 and Item 15(a)(1) and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 and Schedules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Consolidated Financial Statements</w:t>
            </w:r>
          </w:p>
        </w:tc>
        <w:tc>
          <w:tcPr>
            <w:tcW w:w="1480" w:type="dxa"/>
            <w:vAlign w:val="bottom"/>
            <w:tcBorders>
              <w:bottom w:val="single" w:sz="8" w:color="auto"/>
            </w:tcBorders>
            <w:gridSpan w:val="4"/>
            <w:shd w:val="clear" w:color="auto" w:fill="CCEEFF"/>
          </w:tcPr>
          <w:p>
            <w:pPr>
              <w:ind w:left="40"/>
              <w:spacing w:after="0"/>
              <w:rPr>
                <w:sz w:val="20"/>
                <w:szCs w:val="20"/>
                <w:color w:val="auto"/>
              </w:rPr>
            </w:pPr>
            <w:r>
              <w:rPr>
                <w:rFonts w:ascii="Arial" w:cs="Arial" w:eastAsia="Arial" w:hAnsi="Arial"/>
                <w:sz w:val="18"/>
                <w:szCs w:val="18"/>
                <w:color w:val="auto"/>
              </w:rPr>
              <w:t>Page No.</w:t>
            </w:r>
          </w:p>
        </w:tc>
      </w:tr>
      <w:tr>
        <w:trPr>
          <w:trHeight w:val="196"/>
        </w:trPr>
        <w:tc>
          <w:tcPr>
            <w:tcW w:w="9940" w:type="dxa"/>
            <w:vAlign w:val="bottom"/>
          </w:tcPr>
          <w:p>
            <w:pPr>
              <w:ind w:left="40"/>
              <w:spacing w:after="0" w:line="196" w:lineRule="exact"/>
              <w:rPr>
                <w:sz w:val="20"/>
                <w:szCs w:val="20"/>
                <w:color w:val="auto"/>
              </w:rPr>
            </w:pPr>
            <w:r>
              <w:rPr>
                <w:rFonts w:ascii="Arial" w:cs="Arial" w:eastAsia="Arial" w:hAnsi="Arial"/>
                <w:sz w:val="18"/>
                <w:szCs w:val="18"/>
                <w:color w:val="auto"/>
              </w:rPr>
              <w:t>Report of Independent Registered Public Accounting Firm</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2"/>
          </w:tcPr>
          <w:p>
            <w:pPr>
              <w:jc w:val="right"/>
              <w:ind w:right="20"/>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F-2</w:t>
              </w:r>
            </w:hyperlink>
          </w:p>
        </w:tc>
      </w:tr>
      <w:tr>
        <w:trPr>
          <w:trHeight w:val="47"/>
        </w:trPr>
        <w:tc>
          <w:tcPr>
            <w:tcW w:w="99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9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Report of Independent Registered Public Accounting Firm</w:t>
            </w: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F-3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2"/>
        </w:trPr>
        <w:tc>
          <w:tcPr>
            <w:tcW w:w="9940" w:type="dxa"/>
            <w:vAlign w:val="bottom"/>
          </w:tcPr>
          <w:p>
            <w:pPr>
              <w:ind w:left="40"/>
              <w:spacing w:after="0" w:line="202" w:lineRule="exact"/>
              <w:rPr>
                <w:sz w:val="20"/>
                <w:szCs w:val="20"/>
                <w:color w:val="auto"/>
              </w:rPr>
            </w:pPr>
            <w:r>
              <w:rPr>
                <w:rFonts w:ascii="Arial" w:cs="Arial" w:eastAsia="Arial" w:hAnsi="Arial"/>
                <w:sz w:val="18"/>
                <w:szCs w:val="18"/>
                <w:color w:val="auto"/>
              </w:rPr>
              <w:t>Consolidated Balance Sheets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2"/>
          </w:tcPr>
          <w:p>
            <w:pPr>
              <w:jc w:val="right"/>
              <w:ind w:right="20"/>
              <w:spacing w:after="0" w:line="202"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F-4</w:t>
              </w:r>
            </w:hyperlink>
          </w:p>
        </w:tc>
      </w:tr>
      <w:tr>
        <w:trPr>
          <w:trHeight w:val="47"/>
        </w:trPr>
        <w:tc>
          <w:tcPr>
            <w:tcW w:w="99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9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Comprehensive Income</w:t>
            </w: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88"/>
              </w:rPr>
            </w:pPr>
            <w:hyperlink w:anchor="page63">
              <w:r>
                <w:rPr>
                  <w:rFonts w:ascii="Arial" w:cs="Arial" w:eastAsia="Arial" w:hAnsi="Arial"/>
                  <w:sz w:val="18"/>
                  <w:szCs w:val="18"/>
                  <w:color w:val="0000EE"/>
                  <w:w w:val="88"/>
                </w:rPr>
                <w:t>F-5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2"/>
        </w:trPr>
        <w:tc>
          <w:tcPr>
            <w:tcW w:w="994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 of Shareholders’ Equity</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2"/>
          </w:tcPr>
          <w:p>
            <w:pPr>
              <w:jc w:val="right"/>
              <w:ind w:right="20"/>
              <w:spacing w:after="0" w:line="202"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F-6</w:t>
              </w:r>
            </w:hyperlink>
          </w:p>
        </w:tc>
      </w:tr>
      <w:tr>
        <w:trPr>
          <w:trHeight w:val="47"/>
        </w:trPr>
        <w:tc>
          <w:tcPr>
            <w:tcW w:w="99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9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Cash Flows</w:t>
            </w: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88"/>
              </w:rPr>
            </w:pPr>
            <w:hyperlink w:anchor="page65">
              <w:r>
                <w:rPr>
                  <w:rFonts w:ascii="Arial" w:cs="Arial" w:eastAsia="Arial" w:hAnsi="Arial"/>
                  <w:sz w:val="18"/>
                  <w:szCs w:val="18"/>
                  <w:color w:val="0000EE"/>
                  <w:w w:val="88"/>
                </w:rPr>
                <w:t>F-7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2"/>
        </w:trPr>
        <w:tc>
          <w:tcPr>
            <w:tcW w:w="9940" w:type="dxa"/>
            <w:vAlign w:val="bottom"/>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2"/>
          </w:tcPr>
          <w:p>
            <w:pPr>
              <w:jc w:val="right"/>
              <w:ind w:right="20"/>
              <w:spacing w:after="0" w:line="202" w:lineRule="exact"/>
              <w:rPr>
                <w:rFonts w:ascii="Arial" w:cs="Arial" w:eastAsia="Arial" w:hAnsi="Arial"/>
                <w:sz w:val="18"/>
                <w:szCs w:val="18"/>
                <w:color w:val="0000EE"/>
                <w:w w:val="88"/>
              </w:rPr>
            </w:pPr>
            <w:hyperlink w:anchor="page66">
              <w:r>
                <w:rPr>
                  <w:rFonts w:ascii="Arial" w:cs="Arial" w:eastAsia="Arial" w:hAnsi="Arial"/>
                  <w:sz w:val="18"/>
                  <w:szCs w:val="18"/>
                  <w:color w:val="0000EE"/>
                  <w:w w:val="88"/>
                </w:rPr>
                <w:t>F-8</w:t>
              </w:r>
            </w:hyperlink>
          </w:p>
        </w:tc>
      </w:tr>
      <w:tr>
        <w:trPr>
          <w:trHeight w:val="47"/>
        </w:trPr>
        <w:tc>
          <w:tcPr>
            <w:tcW w:w="99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99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i w:val="1"/>
                <w:iCs w:val="1"/>
                <w:color w:val="auto"/>
              </w:rPr>
              <w:t>Financial Statement Schedules</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9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Schedule III—Summary of Real Estate and Accumulated Depreciation</w:t>
            </w: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86"/>
              </w:rPr>
            </w:pPr>
            <w:hyperlink w:anchor="page89">
              <w:r>
                <w:rPr>
                  <w:rFonts w:ascii="Arial" w:cs="Arial" w:eastAsia="Arial" w:hAnsi="Arial"/>
                  <w:sz w:val="18"/>
                  <w:szCs w:val="18"/>
                  <w:color w:val="0000EE"/>
                  <w:w w:val="86"/>
                </w:rPr>
                <w:t>F-31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2"/>
        </w:trPr>
        <w:tc>
          <w:tcPr>
            <w:tcW w:w="9940" w:type="dxa"/>
            <w:vAlign w:val="bottom"/>
          </w:tcPr>
          <w:p>
            <w:pPr>
              <w:ind w:left="40"/>
              <w:spacing w:after="0" w:line="202" w:lineRule="exact"/>
              <w:rPr>
                <w:sz w:val="20"/>
                <w:szCs w:val="20"/>
                <w:color w:val="auto"/>
              </w:rPr>
            </w:pPr>
            <w:r>
              <w:rPr>
                <w:rFonts w:ascii="Arial" w:cs="Arial" w:eastAsia="Arial" w:hAnsi="Arial"/>
                <w:sz w:val="18"/>
                <w:szCs w:val="18"/>
                <w:color w:val="auto"/>
              </w:rPr>
              <w:t>Schedule IV—Mortgage Loans on Real Estate</w:t>
            </w:r>
          </w:p>
        </w:tc>
        <w:tc>
          <w:tcPr>
            <w:tcW w:w="1120" w:type="dxa"/>
            <w:vAlign w:val="bottom"/>
          </w:tcPr>
          <w:p>
            <w:pPr>
              <w:spacing w:after="0"/>
              <w:rPr>
                <w:sz w:val="17"/>
                <w:szCs w:val="17"/>
                <w:color w:val="auto"/>
              </w:rPr>
            </w:pPr>
          </w:p>
        </w:tc>
        <w:tc>
          <w:tcPr>
            <w:tcW w:w="340" w:type="dxa"/>
            <w:vAlign w:val="bottom"/>
            <w:tcBorders>
              <w:bottom w:val="single" w:sz="8" w:color="0000EE"/>
            </w:tcBorders>
            <w:gridSpan w:val="2"/>
          </w:tcPr>
          <w:p>
            <w:pPr>
              <w:jc w:val="right"/>
              <w:spacing w:after="0" w:line="202" w:lineRule="exact"/>
              <w:rPr>
                <w:rFonts w:ascii="Arial" w:cs="Arial" w:eastAsia="Arial" w:hAnsi="Arial"/>
                <w:sz w:val="18"/>
                <w:szCs w:val="18"/>
                <w:color w:val="0000EE"/>
                <w:w w:val="86"/>
              </w:rPr>
            </w:pPr>
            <w:hyperlink w:anchor="page97">
              <w:r>
                <w:rPr>
                  <w:rFonts w:ascii="Arial" w:cs="Arial" w:eastAsia="Arial" w:hAnsi="Arial"/>
                  <w:sz w:val="18"/>
                  <w:szCs w:val="18"/>
                  <w:color w:val="0000EE"/>
                  <w:w w:val="86"/>
                </w:rPr>
                <w:t>F-39</w:t>
              </w:r>
            </w:hyperlink>
          </w:p>
        </w:tc>
        <w:tc>
          <w:tcPr>
            <w:tcW w:w="20" w:type="dxa"/>
            <w:vAlign w:val="bottom"/>
          </w:tcPr>
          <w:p>
            <w:pPr>
              <w:spacing w:after="0"/>
              <w:rPr>
                <w:sz w:val="17"/>
                <w:szCs w:val="17"/>
                <w:color w:val="auto"/>
              </w:rPr>
            </w:pPr>
          </w:p>
        </w:tc>
      </w:tr>
    </w:tbl>
    <w:p>
      <w:pPr>
        <w:spacing w:after="0" w:line="201"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All other schedules have been omitted either because the information is not applicable, not material, or is disclosed in our consolidated financial statements and related notes.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126" w:right="23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Trustees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We have audited the internal control over financial reporting of Federal Realty Investment Trust (a Maryland real estate investment trust) and Subsidiaries (collectively, the "Trust") as of December 31, 2017,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In our opinion, the Trust maintained, in all material respects, effective internal control over financial reporting as of December 31, 2017,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Trust as of and for the year ended December 31, 2017, and our report dated February 13, 2018 expressed an unqualified opinion on those financial statements.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Trust’s management is responsible for maintaining effective internal control over financial reporting and for its assessment of the effectiveness of internal control over financial reporting, included in the accompanying Management's Evaluation of Disclosure Controls and Procedures. Our responsibility is to express an opinion on the Trust’s internal control over financial reporting based on our audit. We are a public accounting firm registered with the PCAOB and are required to be independent with respect to the Trust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9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2018</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126" w:right="23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Trustees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9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audited the accompanying consolidated balance sheets of Federal Realty Investment Trust (a Maryland real estate investment trust) and Subsidiaries (collectively, the "Trust") as of December 31, 2017 and 2016, and the related consolidated statements of comprehensive income, changes in shareholders’ equity, and cash flows for each of the three years in the period ended December 31, 2017, and the related notes and schedules (collectively referred to as the “financial statements”). In our opinion, the financial statements present fairly, in all material respects, the financial position of the Trust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Trust’s internal control over financial reporting as of December 31, 2017,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and our report dated February 13, 2018 expressed an unqualified opinion on those financial statements.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94"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These financial statements are the responsibility of the Trust’s management. Our responsibility is to express an opinion on the Trust’s financial statements based on our audits. We are a public accounting firm registered with the PCAOB and are required to be independent with respect to the Trust in accordance with the U.S. federal securities laws and the applicable rules and regulations of the Securities and Exchange Commission and the PCAOB.</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Trust’s auditor since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2018</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126" w:right="23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center"/>
              <w:ind w:right="71"/>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3"/>
        </w:trPr>
        <w:tc>
          <w:tcPr>
            <w:tcW w:w="88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40" w:type="dxa"/>
            <w:vAlign w:val="bottom"/>
            <w:gridSpan w:val="4"/>
          </w:tcPr>
          <w:p>
            <w:pPr>
              <w:jc w:val="center"/>
              <w:ind w:right="51"/>
              <w:spacing w:after="0" w:line="152" w:lineRule="exact"/>
              <w:rPr>
                <w:sz w:val="20"/>
                <w:szCs w:val="20"/>
                <w:color w:val="auto"/>
              </w:rPr>
            </w:pPr>
            <w:r>
              <w:rPr>
                <w:rFonts w:ascii="Arial" w:cs="Arial" w:eastAsia="Arial" w:hAnsi="Arial"/>
                <w:sz w:val="14"/>
                <w:szCs w:val="14"/>
                <w:b w:val="1"/>
                <w:bCs w:val="1"/>
                <w:color w:val="auto"/>
                <w:w w:val="90"/>
              </w:rPr>
              <w:t>(In thousands, except share and per</w:t>
            </w:r>
          </w:p>
        </w:tc>
        <w:tc>
          <w:tcPr>
            <w:tcW w:w="0" w:type="dxa"/>
            <w:vAlign w:val="bottom"/>
          </w:tcPr>
          <w:p>
            <w:pPr>
              <w:spacing w:after="0"/>
              <w:rPr>
                <w:sz w:val="1"/>
                <w:szCs w:val="1"/>
                <w:color w:val="auto"/>
              </w:rPr>
            </w:pPr>
          </w:p>
        </w:tc>
      </w:tr>
      <w:tr>
        <w:trPr>
          <w:trHeight w:val="186"/>
        </w:trPr>
        <w:tc>
          <w:tcPr>
            <w:tcW w:w="8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3"/>
          </w:tcPr>
          <w:p>
            <w:pPr>
              <w:jc w:val="center"/>
              <w:ind w:left="672"/>
              <w:spacing w:after="0"/>
              <w:rPr>
                <w:sz w:val="20"/>
                <w:szCs w:val="20"/>
                <w:color w:val="auto"/>
              </w:rPr>
            </w:pPr>
            <w:r>
              <w:rPr>
                <w:rFonts w:ascii="Arial" w:cs="Arial" w:eastAsia="Arial" w:hAnsi="Arial"/>
                <w:sz w:val="14"/>
                <w:szCs w:val="14"/>
                <w:b w:val="1"/>
                <w:bCs w:val="1"/>
                <w:color w:val="auto"/>
                <w:w w:val="90"/>
              </w:rPr>
              <w:t>share data)</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8800" w:type="dxa"/>
            <w:vAlign w:val="bottom"/>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00"/>
              <w:spacing w:after="0"/>
              <w:rPr>
                <w:sz w:val="20"/>
                <w:szCs w:val="20"/>
                <w:color w:val="auto"/>
              </w:rPr>
            </w:pPr>
            <w:r>
              <w:rPr>
                <w:rFonts w:ascii="Arial" w:cs="Arial" w:eastAsia="Arial" w:hAnsi="Arial"/>
                <w:sz w:val="18"/>
                <w:szCs w:val="18"/>
                <w:color w:val="auto"/>
                <w:w w:val="98"/>
              </w:rPr>
              <w:t>Operating (including $1,639,486 and $1,211,605 of consolidated variable interest entities, respectively)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6,950,188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6,125,957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Construction-in-progress (including $43,393 and $15,313 of consolidated variable interest entities,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684,873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599,260</w:t>
            </w:r>
          </w:p>
        </w:tc>
        <w:tc>
          <w:tcPr>
            <w:tcW w:w="0" w:type="dxa"/>
            <w:vAlign w:val="bottom"/>
          </w:tcPr>
          <w:p>
            <w:pPr>
              <w:spacing w:after="0"/>
              <w:rPr>
                <w:sz w:val="1"/>
                <w:szCs w:val="1"/>
                <w:color w:val="auto"/>
              </w:rPr>
            </w:pPr>
          </w:p>
        </w:tc>
      </w:tr>
      <w:tr>
        <w:trPr>
          <w:trHeight w:val="243"/>
        </w:trPr>
        <w:tc>
          <w:tcPr>
            <w:tcW w:w="8800" w:type="dxa"/>
            <w:vAlign w:val="bottom"/>
          </w:tcPr>
          <w:p>
            <w:pPr>
              <w:ind w:left="700"/>
              <w:spacing w:after="0"/>
              <w:rPr>
                <w:sz w:val="20"/>
                <w:szCs w:val="20"/>
                <w:color w:val="auto"/>
              </w:rPr>
            </w:pPr>
            <w:r>
              <w:rPr>
                <w:rFonts w:ascii="Arial" w:cs="Arial" w:eastAsia="Arial" w:hAnsi="Arial"/>
                <w:sz w:val="18"/>
                <w:szCs w:val="18"/>
                <w:color w:val="auto"/>
              </w:rPr>
              <w:t>Assets held for sale</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33,856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7,635,061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6,759,073</w:t>
            </w:r>
          </w:p>
        </w:tc>
        <w:tc>
          <w:tcPr>
            <w:tcW w:w="0" w:type="dxa"/>
            <w:vAlign w:val="bottom"/>
          </w:tcPr>
          <w:p>
            <w:pPr>
              <w:spacing w:after="0"/>
              <w:rPr>
                <w:sz w:val="1"/>
                <w:szCs w:val="1"/>
                <w:color w:val="auto"/>
              </w:rPr>
            </w:pPr>
          </w:p>
        </w:tc>
      </w:tr>
      <w:tr>
        <w:trPr>
          <w:trHeight w:val="228"/>
        </w:trPr>
        <w:tc>
          <w:tcPr>
            <w:tcW w:w="8800" w:type="dxa"/>
            <w:vAlign w:val="bottom"/>
          </w:tcPr>
          <w:p>
            <w:pPr>
              <w:ind w:left="700"/>
              <w:spacing w:after="0"/>
              <w:rPr>
                <w:sz w:val="20"/>
                <w:szCs w:val="20"/>
                <w:color w:val="auto"/>
              </w:rPr>
            </w:pPr>
            <w:r>
              <w:rPr>
                <w:rFonts w:ascii="Arial" w:cs="Arial" w:eastAsia="Arial" w:hAnsi="Arial"/>
                <w:sz w:val="18"/>
                <w:szCs w:val="18"/>
                <w:color w:val="auto"/>
                <w:w w:val="94"/>
              </w:rPr>
              <w:t>Less accumulated depreciation and amortization (including $247,410 and $209,239 of consolidated variable</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700"/>
              <w:spacing w:after="0"/>
              <w:rPr>
                <w:sz w:val="20"/>
                <w:szCs w:val="20"/>
                <w:color w:val="auto"/>
              </w:rPr>
            </w:pPr>
            <w:r>
              <w:rPr>
                <w:rFonts w:ascii="Arial" w:cs="Arial" w:eastAsia="Arial" w:hAnsi="Arial"/>
                <w:sz w:val="18"/>
                <w:szCs w:val="18"/>
                <w:color w:val="auto"/>
              </w:rPr>
              <w:t>interest entities, respectively)</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(1,876,544)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(1,729,234)</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real estate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5,758,517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5,029,839</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15,188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23,368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and notes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209,877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116,749</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Mortgage notes receivable, net</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30,429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29,904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14,864</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237,803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208,555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6,275,755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5,423,279</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00"/>
              <w:spacing w:after="0"/>
              <w:rPr>
                <w:sz w:val="20"/>
                <w:szCs w:val="20"/>
                <w:color w:val="auto"/>
              </w:rPr>
            </w:pPr>
            <w:r>
              <w:rPr>
                <w:rFonts w:ascii="Arial" w:cs="Arial" w:eastAsia="Arial" w:hAnsi="Arial"/>
                <w:sz w:val="18"/>
                <w:szCs w:val="18"/>
                <w:color w:val="auto"/>
                <w:w w:val="93"/>
              </w:rPr>
              <w:t>Mortgages payable (including $460,372 and $439,120 of consolidated variable interest entities, respectively)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491,505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471,117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Capital lease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71,556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71,590</w:t>
            </w:r>
          </w:p>
        </w:tc>
        <w:tc>
          <w:tcPr>
            <w:tcW w:w="0" w:type="dxa"/>
            <w:vAlign w:val="bottom"/>
          </w:tcPr>
          <w:p>
            <w:pPr>
              <w:spacing w:after="0"/>
              <w:rPr>
                <w:sz w:val="1"/>
                <w:szCs w:val="1"/>
                <w:color w:val="auto"/>
              </w:rPr>
            </w:pPr>
          </w:p>
        </w:tc>
      </w:tr>
      <w:tr>
        <w:trPr>
          <w:trHeight w:val="243"/>
        </w:trPr>
        <w:tc>
          <w:tcPr>
            <w:tcW w:w="8800" w:type="dxa"/>
            <w:vAlign w:val="bottom"/>
          </w:tcPr>
          <w:p>
            <w:pPr>
              <w:ind w:left="700"/>
              <w:spacing w:after="0"/>
              <w:rPr>
                <w:sz w:val="20"/>
                <w:szCs w:val="20"/>
                <w:color w:val="auto"/>
              </w:rPr>
            </w:pPr>
            <w:r>
              <w:rPr>
                <w:rFonts w:ascii="Arial" w:cs="Arial" w:eastAsia="Arial" w:hAnsi="Arial"/>
                <w:sz w:val="18"/>
                <w:szCs w:val="18"/>
                <w:color w:val="auto"/>
              </w:rPr>
              <w:t>Notes payable</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320,265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279,151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Senior notes and debentures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2,401,440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1,976,594</w:t>
            </w:r>
          </w:p>
        </w:tc>
        <w:tc>
          <w:tcPr>
            <w:tcW w:w="0" w:type="dxa"/>
            <w:vAlign w:val="bottom"/>
          </w:tcPr>
          <w:p>
            <w:pPr>
              <w:spacing w:after="0"/>
              <w:rPr>
                <w:sz w:val="1"/>
                <w:szCs w:val="1"/>
                <w:color w:val="auto"/>
              </w:rPr>
            </w:pPr>
          </w:p>
        </w:tc>
      </w:tr>
      <w:tr>
        <w:trPr>
          <w:trHeight w:val="243"/>
        </w:trPr>
        <w:tc>
          <w:tcPr>
            <w:tcW w:w="8800" w:type="dxa"/>
            <w:vAlign w:val="bottom"/>
          </w:tcPr>
          <w:p>
            <w:pPr>
              <w:ind w:left="70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196,332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201,756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Dividends payable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75,931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71,440</w:t>
            </w:r>
          </w:p>
        </w:tc>
        <w:tc>
          <w:tcPr>
            <w:tcW w:w="0" w:type="dxa"/>
            <w:vAlign w:val="bottom"/>
          </w:tcPr>
          <w:p>
            <w:pPr>
              <w:spacing w:after="0"/>
              <w:rPr>
                <w:sz w:val="1"/>
                <w:szCs w:val="1"/>
                <w:color w:val="auto"/>
              </w:rPr>
            </w:pPr>
          </w:p>
        </w:tc>
      </w:tr>
      <w:tr>
        <w:trPr>
          <w:trHeight w:val="243"/>
        </w:trPr>
        <w:tc>
          <w:tcPr>
            <w:tcW w:w="8800" w:type="dxa"/>
            <w:vAlign w:val="bottom"/>
          </w:tcPr>
          <w:p>
            <w:pPr>
              <w:ind w:left="700"/>
              <w:spacing w:after="0"/>
              <w:rPr>
                <w:sz w:val="20"/>
                <w:szCs w:val="20"/>
                <w:color w:val="auto"/>
              </w:rPr>
            </w:pPr>
            <w:r>
              <w:rPr>
                <w:rFonts w:ascii="Arial" w:cs="Arial" w:eastAsia="Arial" w:hAnsi="Arial"/>
                <w:sz w:val="18"/>
                <w:szCs w:val="18"/>
                <w:color w:val="auto"/>
              </w:rPr>
              <w:t>Security deposits payable</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16,667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16,285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liabilities and deferred credits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169,388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115,817</w:t>
            </w:r>
          </w:p>
        </w:tc>
        <w:tc>
          <w:tcPr>
            <w:tcW w:w="0" w:type="dxa"/>
            <w:vAlign w:val="bottom"/>
          </w:tcPr>
          <w:p>
            <w:pPr>
              <w:spacing w:after="0"/>
              <w:rPr>
                <w:sz w:val="1"/>
                <w:szCs w:val="1"/>
                <w:color w:val="auto"/>
              </w:rPr>
            </w:pPr>
          </w:p>
        </w:tc>
      </w:tr>
      <w:tr>
        <w:trPr>
          <w:trHeight w:val="236"/>
        </w:trPr>
        <w:tc>
          <w:tcPr>
            <w:tcW w:w="880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3,743,084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3,203,750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 (Note 7)</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Redeemable noncontrolling interests</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141,157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143,694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00"/>
              <w:spacing w:after="0"/>
              <w:rPr>
                <w:sz w:val="20"/>
                <w:szCs w:val="20"/>
                <w:color w:val="auto"/>
              </w:rPr>
            </w:pPr>
            <w:r>
              <w:rPr>
                <w:rFonts w:ascii="Arial" w:cs="Arial" w:eastAsia="Arial" w:hAnsi="Arial"/>
                <w:sz w:val="18"/>
                <w:szCs w:val="18"/>
                <w:color w:val="auto"/>
              </w:rPr>
              <w:t>Preferred shares, authorized 15,000,000 shares, $.01 par:</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8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0"/>
              </w:rPr>
              <w:t>5.0% Series C Cumulative Redeemable Preferred Shares, (stated at liquidation preference $25,000 per share),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6,000 and 0 shares issued and outstanding,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8800" w:type="dxa"/>
            <w:vAlign w:val="bottom"/>
          </w:tcPr>
          <w:p>
            <w:pPr>
              <w:ind w:left="820"/>
              <w:spacing w:after="0"/>
              <w:rPr>
                <w:sz w:val="20"/>
                <w:szCs w:val="20"/>
                <w:color w:val="auto"/>
              </w:rPr>
            </w:pPr>
            <w:r>
              <w:rPr>
                <w:rFonts w:ascii="Arial" w:cs="Arial" w:eastAsia="Arial" w:hAnsi="Arial"/>
                <w:sz w:val="18"/>
                <w:szCs w:val="18"/>
                <w:color w:val="auto"/>
                <w:w w:val="93"/>
              </w:rPr>
              <w:t>5.417% Series 1 Cumulative Convertible Preferred Shares, (stated at liquidation preference $25 per share),</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820"/>
              <w:spacing w:after="0"/>
              <w:rPr>
                <w:sz w:val="20"/>
                <w:szCs w:val="20"/>
                <w:color w:val="auto"/>
              </w:rPr>
            </w:pPr>
            <w:r>
              <w:rPr>
                <w:rFonts w:ascii="Arial" w:cs="Arial" w:eastAsia="Arial" w:hAnsi="Arial"/>
                <w:sz w:val="18"/>
                <w:szCs w:val="18"/>
                <w:color w:val="auto"/>
              </w:rPr>
              <w:t>399,896 shares issued and outstanding</w:t>
            </w:r>
          </w:p>
        </w:tc>
        <w:tc>
          <w:tcPr>
            <w:tcW w:w="18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9,997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80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3"/>
              </w:rPr>
              <w:t>Common shares of beneficial interest, $.01 par, 100,000,000 shares authorized, 73,090,877 and 71,995,897</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shares issued and outstanding,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43"/>
        </w:trPr>
        <w:tc>
          <w:tcPr>
            <w:tcW w:w="8800" w:type="dxa"/>
            <w:vAlign w:val="bottom"/>
          </w:tcPr>
          <w:p>
            <w:pPr>
              <w:ind w:left="70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2,855,321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2,718,325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Accumulated dividends in excess of 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(749,367)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(749,734)</w:t>
            </w:r>
          </w:p>
        </w:tc>
        <w:tc>
          <w:tcPr>
            <w:tcW w:w="0" w:type="dxa"/>
            <w:vAlign w:val="bottom"/>
          </w:tcPr>
          <w:p>
            <w:pPr>
              <w:spacing w:after="0"/>
              <w:rPr>
                <w:sz w:val="1"/>
                <w:szCs w:val="1"/>
                <w:color w:val="auto"/>
              </w:rPr>
            </w:pPr>
          </w:p>
        </w:tc>
      </w:tr>
      <w:tr>
        <w:trPr>
          <w:trHeight w:val="243"/>
        </w:trPr>
        <w:tc>
          <w:tcPr>
            <w:tcW w:w="8800" w:type="dxa"/>
            <w:vAlign w:val="bottom"/>
          </w:tcPr>
          <w:p>
            <w:pPr>
              <w:ind w:left="70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2,266,706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1,976,733</w:t>
            </w:r>
          </w:p>
        </w:tc>
        <w:tc>
          <w:tcPr>
            <w:tcW w:w="0" w:type="dxa"/>
            <w:vAlign w:val="bottom"/>
          </w:tcPr>
          <w:p>
            <w:pPr>
              <w:spacing w:after="0"/>
              <w:rPr>
                <w:sz w:val="1"/>
                <w:szCs w:val="1"/>
                <w:color w:val="auto"/>
              </w:rPr>
            </w:pPr>
          </w:p>
        </w:tc>
      </w:tr>
      <w:tr>
        <w:trPr>
          <w:trHeight w:val="243"/>
        </w:trPr>
        <w:tc>
          <w:tcPr>
            <w:tcW w:w="8800" w:type="dxa"/>
            <w:vAlign w:val="bottom"/>
          </w:tcPr>
          <w:p>
            <w:pPr>
              <w:ind w:left="70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124,808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99,102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2,391,514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2,075,835</w:t>
            </w:r>
          </w:p>
        </w:tc>
        <w:tc>
          <w:tcPr>
            <w:tcW w:w="0" w:type="dxa"/>
            <w:vAlign w:val="bottom"/>
          </w:tcPr>
          <w:p>
            <w:pPr>
              <w:spacing w:after="0"/>
              <w:rPr>
                <w:sz w:val="1"/>
                <w:szCs w:val="1"/>
                <w:color w:val="auto"/>
              </w:rPr>
            </w:pPr>
          </w:p>
        </w:tc>
      </w:tr>
      <w:tr>
        <w:trPr>
          <w:trHeight w:val="236"/>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6,275,755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5,423,279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126" w:right="23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center"/>
              <w:ind w:left="432"/>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4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190"/>
        </w:trPr>
        <w:tc>
          <w:tcPr>
            <w:tcW w:w="7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6"/>
          </w:tcPr>
          <w:p>
            <w:pPr>
              <w:jc w:val="center"/>
              <w:ind w:left="432"/>
              <w:spacing w:after="0"/>
              <w:rPr>
                <w:sz w:val="20"/>
                <w:szCs w:val="20"/>
                <w:color w:val="auto"/>
              </w:rPr>
            </w:pPr>
            <w:r>
              <w:rPr>
                <w:rFonts w:ascii="Arial" w:cs="Arial" w:eastAsia="Arial" w:hAnsi="Arial"/>
                <w:sz w:val="14"/>
                <w:szCs w:val="14"/>
                <w:b w:val="1"/>
                <w:bCs w:val="1"/>
                <w:color w:val="auto"/>
                <w:w w:val="91"/>
              </w:rPr>
              <w:t>(In thousands, except per share data)</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420" w:type="dxa"/>
            <w:vAlign w:val="bottom"/>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841,461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786,583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727,812</w:t>
            </w:r>
          </w:p>
        </w:tc>
        <w:tc>
          <w:tcPr>
            <w:tcW w:w="0" w:type="dxa"/>
            <w:vAlign w:val="bottom"/>
          </w:tcPr>
          <w:p>
            <w:pPr>
              <w:spacing w:after="0"/>
              <w:rPr>
                <w:sz w:val="1"/>
                <w:szCs w:val="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12,825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11,015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11,810</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3,062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4,390</w:t>
            </w:r>
          </w:p>
        </w:tc>
        <w:tc>
          <w:tcPr>
            <w:tcW w:w="0" w:type="dxa"/>
            <w:vAlign w:val="bottom"/>
          </w:tcPr>
          <w:p>
            <w:pPr>
              <w:spacing w:after="0"/>
              <w:rPr>
                <w:sz w:val="1"/>
                <w:szCs w:val="1"/>
                <w:color w:val="auto"/>
              </w:rPr>
            </w:pPr>
          </w:p>
        </w:tc>
      </w:tr>
      <w:tr>
        <w:trPr>
          <w:trHeight w:val="236"/>
        </w:trPr>
        <w:tc>
          <w:tcPr>
            <w:tcW w:w="7420" w:type="dxa"/>
            <w:vAlign w:val="bottom"/>
          </w:tcPr>
          <w:p>
            <w:pPr>
              <w:ind w:left="70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857,348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801,591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744,012</w:t>
            </w:r>
          </w:p>
        </w:tc>
        <w:tc>
          <w:tcPr>
            <w:tcW w:w="0" w:type="dxa"/>
            <w:vAlign w:val="bottom"/>
          </w:tcPr>
          <w:p>
            <w:pPr>
              <w:spacing w:after="0"/>
              <w:rPr>
                <w:sz w:val="1"/>
                <w:szCs w:val="1"/>
                <w:color w:val="auto"/>
              </w:rPr>
            </w:pPr>
          </w:p>
        </w:tc>
      </w:tr>
      <w:tr>
        <w:trPr>
          <w:trHeight w:val="27"/>
        </w:trPr>
        <w:tc>
          <w:tcPr>
            <w:tcW w:w="7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Rental expenses</w:t>
            </w:r>
          </w:p>
        </w:tc>
        <w:tc>
          <w:tcPr>
            <w:tcW w:w="3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164,890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158,326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147,593</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taxes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107,839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95,286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85,824</w:t>
            </w:r>
          </w:p>
        </w:tc>
        <w:tc>
          <w:tcPr>
            <w:tcW w:w="0" w:type="dxa"/>
            <w:vAlign w:val="bottom"/>
          </w:tcPr>
          <w:p>
            <w:pPr>
              <w:spacing w:after="0"/>
              <w:rPr>
                <w:sz w:val="1"/>
                <w:szCs w:val="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36,281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33,399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35,645</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216,050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193,585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174,796</w:t>
            </w:r>
          </w:p>
        </w:tc>
        <w:tc>
          <w:tcPr>
            <w:tcW w:w="0" w:type="dxa"/>
            <w:vAlign w:val="bottom"/>
          </w:tcPr>
          <w:p>
            <w:pPr>
              <w:spacing w:after="0"/>
              <w:rPr>
                <w:sz w:val="1"/>
                <w:szCs w:val="1"/>
                <w:color w:val="auto"/>
              </w:rPr>
            </w:pPr>
          </w:p>
        </w:tc>
      </w:tr>
      <w:tr>
        <w:trPr>
          <w:trHeight w:val="236"/>
        </w:trPr>
        <w:tc>
          <w:tcPr>
            <w:tcW w:w="742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525,060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480,596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443,858</w:t>
            </w:r>
          </w:p>
        </w:tc>
        <w:tc>
          <w:tcPr>
            <w:tcW w:w="0" w:type="dxa"/>
            <w:vAlign w:val="bottom"/>
          </w:tcPr>
          <w:p>
            <w:pPr>
              <w:spacing w:after="0"/>
              <w:rPr>
                <w:sz w:val="1"/>
                <w:szCs w:val="1"/>
                <w:color w:val="auto"/>
              </w:rPr>
            </w:pPr>
          </w:p>
        </w:tc>
      </w:tr>
      <w:tr>
        <w:trPr>
          <w:trHeight w:val="27"/>
        </w:trPr>
        <w:tc>
          <w:tcPr>
            <w:tcW w:w="7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332,288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320,995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300,154</w:t>
            </w:r>
          </w:p>
        </w:tc>
        <w:tc>
          <w:tcPr>
            <w:tcW w:w="0" w:type="dxa"/>
            <w:vAlign w:val="bottom"/>
          </w:tcPr>
          <w:p>
            <w:pPr>
              <w:spacing w:after="0"/>
              <w:rPr>
                <w:sz w:val="1"/>
                <w:szCs w:val="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Other interest income</w:t>
            </w:r>
          </w:p>
        </w:tc>
        <w:tc>
          <w:tcPr>
            <w:tcW w:w="3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(92,553)</w:t>
            </w:r>
          </w:p>
        </w:tc>
        <w:tc>
          <w:tcPr>
            <w:tcW w:w="0" w:type="dxa"/>
            <w:vAlign w:val="bottom"/>
          </w:tcPr>
          <w:p>
            <w:pPr>
              <w:spacing w:after="0"/>
              <w:rPr>
                <w:sz w:val="1"/>
                <w:szCs w:val="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(19,072)</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income from real estate partnerships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36"/>
        </w:trPr>
        <w:tc>
          <w:tcPr>
            <w:tcW w:w="742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219,948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226,425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190,094</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77,922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32,458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28,330</w:t>
            </w:r>
          </w:p>
        </w:tc>
        <w:tc>
          <w:tcPr>
            <w:tcW w:w="0" w:type="dxa"/>
            <w:vAlign w:val="bottom"/>
          </w:tcPr>
          <w:p>
            <w:pPr>
              <w:spacing w:after="0"/>
              <w:rPr>
                <w:sz w:val="1"/>
                <w:szCs w:val="1"/>
                <w:color w:val="auto"/>
              </w:rPr>
            </w:pPr>
          </w:p>
        </w:tc>
      </w:tr>
      <w:tr>
        <w:trPr>
          <w:trHeight w:val="236"/>
        </w:trPr>
        <w:tc>
          <w:tcPr>
            <w:tcW w:w="74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297,870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258,883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218,424</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(8,205)</w:t>
            </w:r>
          </w:p>
        </w:tc>
        <w:tc>
          <w:tcPr>
            <w:tcW w:w="0" w:type="dxa"/>
            <w:vAlign w:val="bottom"/>
          </w:tcPr>
          <w:p>
            <w:pPr>
              <w:spacing w:after="0"/>
              <w:rPr>
                <w:sz w:val="1"/>
                <w:szCs w:val="1"/>
                <w:color w:val="auto"/>
              </w:rPr>
            </w:pPr>
          </w:p>
        </w:tc>
      </w:tr>
      <w:tr>
        <w:trPr>
          <w:trHeight w:val="236"/>
        </w:trPr>
        <w:tc>
          <w:tcPr>
            <w:tcW w:w="742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289,914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249,910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210,219</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on preferred shares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36"/>
        </w:trPr>
        <w:tc>
          <w:tcPr>
            <w:tcW w:w="742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287,456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249,369</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209,678</w:t>
            </w:r>
          </w:p>
        </w:tc>
        <w:tc>
          <w:tcPr>
            <w:tcW w:w="0" w:type="dxa"/>
            <w:vAlign w:val="bottom"/>
          </w:tcPr>
          <w:p>
            <w:pPr>
              <w:spacing w:after="0"/>
              <w:rPr>
                <w:sz w:val="1"/>
                <w:szCs w:val="1"/>
                <w:color w:val="auto"/>
              </w:rPr>
            </w:pPr>
          </w:p>
        </w:tc>
      </w:tr>
      <w:tr>
        <w:trPr>
          <w:trHeight w:val="67"/>
        </w:trPr>
        <w:tc>
          <w:tcPr>
            <w:tcW w:w="74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BASIC</w:t>
            </w: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Net income available for common shareholders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67"/>
        </w:trPr>
        <w:tc>
          <w:tcPr>
            <w:tcW w:w="74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74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Weighted average number of common shares, basic</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72,117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70,877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68,797</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available for common shareholders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Weighted average number of common shares, 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72,233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71,049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68,981</w:t>
            </w:r>
          </w:p>
        </w:tc>
        <w:tc>
          <w:tcPr>
            <w:tcW w:w="0" w:type="dxa"/>
            <w:vAlign w:val="bottom"/>
          </w:tcPr>
          <w:p>
            <w:pPr>
              <w:spacing w:after="0"/>
              <w:rPr>
                <w:sz w:val="1"/>
                <w:szCs w:val="1"/>
                <w:color w:val="auto"/>
              </w:rPr>
            </w:pPr>
          </w:p>
        </w:tc>
      </w:tr>
      <w:tr>
        <w:trPr>
          <w:trHeight w:val="67"/>
        </w:trPr>
        <w:tc>
          <w:tcPr>
            <w:tcW w:w="74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74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297,870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258,883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218,424</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 - change in value of interest rate swaps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36"/>
        </w:trPr>
        <w:tc>
          <w:tcPr>
            <w:tcW w:w="74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300,469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260,416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217,829</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(8,205)</w:t>
            </w:r>
          </w:p>
        </w:tc>
        <w:tc>
          <w:tcPr>
            <w:tcW w:w="0" w:type="dxa"/>
            <w:vAlign w:val="bottom"/>
          </w:tcPr>
          <w:p>
            <w:pPr>
              <w:spacing w:after="0"/>
              <w:rPr>
                <w:sz w:val="1"/>
                <w:szCs w:val="1"/>
                <w:color w:val="auto"/>
              </w:rPr>
            </w:pPr>
          </w:p>
        </w:tc>
      </w:tr>
      <w:tr>
        <w:trPr>
          <w:trHeight w:val="236"/>
        </w:trPr>
        <w:tc>
          <w:tcPr>
            <w:tcW w:w="7420" w:type="dxa"/>
            <w:vAlign w:val="bottom"/>
          </w:tcPr>
          <w:p>
            <w:pPr>
              <w:ind w:left="40"/>
              <w:spacing w:after="0"/>
              <w:rPr>
                <w:sz w:val="20"/>
                <w:szCs w:val="20"/>
                <w:color w:val="auto"/>
              </w:rPr>
            </w:pPr>
            <w:r>
              <w:rPr>
                <w:rFonts w:ascii="Arial" w:cs="Arial" w:eastAsia="Arial" w:hAnsi="Arial"/>
                <w:sz w:val="18"/>
                <w:szCs w:val="18"/>
                <w:color w:val="auto"/>
              </w:rPr>
              <w:t>COMPREHENSIVE INCOME ATTRIBUTABLE TO THE TRUST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292,513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251,443</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209,624</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6" w:right="239"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8"/>
          </w:tcPr>
          <w:p>
            <w:pPr>
              <w:ind w:left="460"/>
              <w:spacing w:after="0"/>
              <w:rPr>
                <w:sz w:val="20"/>
                <w:szCs w:val="20"/>
                <w:color w:val="auto"/>
              </w:rPr>
            </w:pPr>
            <w:r>
              <w:rPr>
                <w:rFonts w:ascii="Arial" w:cs="Arial" w:eastAsia="Arial" w:hAnsi="Arial"/>
                <w:sz w:val="14"/>
                <w:szCs w:val="14"/>
                <w:b w:val="1"/>
                <w:bCs w:val="1"/>
                <w:color w:val="auto"/>
                <w:w w:val="96"/>
              </w:rPr>
              <w:t>Shareholders’ Equity of the Trust</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60" w:type="dxa"/>
            <w:vAlign w:val="bottom"/>
          </w:tcPr>
          <w:p>
            <w:pPr>
              <w:spacing w:after="0"/>
              <w:rPr>
                <w:sz w:val="13"/>
                <w:szCs w:val="13"/>
                <w:color w:val="auto"/>
              </w:rPr>
            </w:pPr>
          </w:p>
        </w:tc>
        <w:tc>
          <w:tcPr>
            <w:tcW w:w="1400" w:type="dxa"/>
            <w:vAlign w:val="bottom"/>
            <w:gridSpan w:val="4"/>
            <w:vMerge w:val="restart"/>
          </w:tcPr>
          <w:p>
            <w:pPr>
              <w:jc w:val="right"/>
              <w:ind w:right="108"/>
              <w:spacing w:after="0"/>
              <w:rPr>
                <w:sz w:val="20"/>
                <w:szCs w:val="20"/>
                <w:color w:val="auto"/>
              </w:rPr>
            </w:pPr>
            <w:r>
              <w:rPr>
                <w:rFonts w:ascii="Arial" w:cs="Arial" w:eastAsia="Arial" w:hAnsi="Arial"/>
                <w:sz w:val="14"/>
                <w:szCs w:val="14"/>
                <w:b w:val="1"/>
                <w:bCs w:val="1"/>
                <w:color w:val="auto"/>
              </w:rPr>
              <w:t>Preferred Shares</w:t>
            </w:r>
          </w:p>
        </w:tc>
        <w:tc>
          <w:tcPr>
            <w:tcW w:w="100" w:type="dxa"/>
            <w:vAlign w:val="bottom"/>
            <w:vMerge w:val="restart"/>
          </w:tcPr>
          <w:p>
            <w:pPr>
              <w:spacing w:after="0"/>
              <w:rPr>
                <w:sz w:val="13"/>
                <w:szCs w:val="13"/>
                <w:color w:val="auto"/>
              </w:rPr>
            </w:pPr>
          </w:p>
        </w:tc>
        <w:tc>
          <w:tcPr>
            <w:tcW w:w="1440" w:type="dxa"/>
            <w:vAlign w:val="bottom"/>
            <w:gridSpan w:val="4"/>
            <w:vMerge w:val="restart"/>
          </w:tcPr>
          <w:p>
            <w:pPr>
              <w:jc w:val="right"/>
              <w:ind w:right="128"/>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vMerge w:val="restart"/>
          </w:tcPr>
          <w:p>
            <w:pPr>
              <w:spacing w:after="0"/>
              <w:rPr>
                <w:sz w:val="13"/>
                <w:szCs w:val="13"/>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00" w:type="dxa"/>
            <w:vAlign w:val="bottom"/>
            <w:gridSpan w:val="3"/>
          </w:tcPr>
          <w:p>
            <w:pPr>
              <w:ind w:left="40"/>
              <w:spacing w:after="0" w:line="152"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3"/>
                <w:szCs w:val="13"/>
                <w:color w:val="auto"/>
              </w:rPr>
            </w:pPr>
          </w:p>
        </w:tc>
        <w:tc>
          <w:tcPr>
            <w:tcW w:w="1020" w:type="dxa"/>
            <w:vAlign w:val="bottom"/>
            <w:gridSpan w:val="2"/>
          </w:tcPr>
          <w:p>
            <w:pPr>
              <w:jc w:val="center"/>
              <w:ind w:right="200"/>
              <w:spacing w:after="0" w:line="152"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3360" w:type="dxa"/>
            <w:vAlign w:val="bottom"/>
          </w:tcPr>
          <w:p>
            <w:pPr>
              <w:spacing w:after="0"/>
              <w:rPr>
                <w:sz w:val="13"/>
                <w:szCs w:val="13"/>
                <w:color w:val="auto"/>
              </w:rPr>
            </w:pPr>
          </w:p>
        </w:tc>
        <w:tc>
          <w:tcPr>
            <w:tcW w:w="140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44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000" w:type="dxa"/>
            <w:vAlign w:val="bottom"/>
            <w:gridSpan w:val="3"/>
          </w:tcPr>
          <w:p>
            <w:pPr>
              <w:ind w:left="60"/>
              <w:spacing w:after="0" w:line="157" w:lineRule="exact"/>
              <w:rPr>
                <w:sz w:val="20"/>
                <w:szCs w:val="20"/>
                <w:color w:val="auto"/>
              </w:rPr>
            </w:pPr>
            <w:r>
              <w:rPr>
                <w:rFonts w:ascii="Arial" w:cs="Arial" w:eastAsia="Arial" w:hAnsi="Arial"/>
                <w:sz w:val="14"/>
                <w:szCs w:val="14"/>
                <w:b w:val="1"/>
                <w:bCs w:val="1"/>
                <w:color w:val="auto"/>
              </w:rPr>
              <w:t>Dividends in</w:t>
            </w:r>
          </w:p>
        </w:tc>
        <w:tc>
          <w:tcPr>
            <w:tcW w:w="100" w:type="dxa"/>
            <w:vAlign w:val="bottom"/>
          </w:tcPr>
          <w:p>
            <w:pPr>
              <w:spacing w:after="0"/>
              <w:rPr>
                <w:sz w:val="13"/>
                <w:szCs w:val="13"/>
                <w:color w:val="auto"/>
              </w:rPr>
            </w:pPr>
          </w:p>
        </w:tc>
        <w:tc>
          <w:tcPr>
            <w:tcW w:w="102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360" w:type="dxa"/>
            <w:vAlign w:val="bottom"/>
          </w:tcPr>
          <w:p>
            <w:pPr>
              <w:spacing w:after="0"/>
              <w:rPr>
                <w:sz w:val="10"/>
                <w:szCs w:val="10"/>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Excess of Net</w:t>
            </w:r>
          </w:p>
        </w:tc>
        <w:tc>
          <w:tcPr>
            <w:tcW w:w="11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Comprehensive</w:t>
            </w: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Noncontrolling</w:t>
            </w:r>
          </w:p>
        </w:tc>
        <w:tc>
          <w:tcPr>
            <w:tcW w:w="9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800" w:type="dxa"/>
            <w:vAlign w:val="bottom"/>
            <w:tcBorders>
              <w:bottom w:val="single" w:sz="8" w:color="auto"/>
            </w:tcBorders>
            <w:gridSpan w:val="3"/>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660" w:type="dxa"/>
            <w:vAlign w:val="bottom"/>
            <w:tcBorders>
              <w:bottom w:val="single" w:sz="8" w:color="auto"/>
            </w:tcBorders>
            <w:gridSpan w:val="3"/>
            <w:vMerge w:val="continue"/>
          </w:tcPr>
          <w:p>
            <w:pPr>
              <w:spacing w:after="0"/>
              <w:rPr>
                <w:sz w:val="16"/>
                <w:szCs w:val="16"/>
                <w:color w:val="auto"/>
              </w:rPr>
            </w:pPr>
          </w:p>
        </w:tc>
        <w:tc>
          <w:tcPr>
            <w:tcW w:w="9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11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Income/(Loss)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0"/>
        </w:trPr>
        <w:tc>
          <w:tcPr>
            <w:tcW w:w="3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5"/>
          </w:tcPr>
          <w:p>
            <w:pPr>
              <w:ind w:left="100"/>
              <w:spacing w:after="0"/>
              <w:rPr>
                <w:sz w:val="20"/>
                <w:szCs w:val="20"/>
                <w:color w:val="auto"/>
              </w:rPr>
            </w:pPr>
            <w:r>
              <w:rPr>
                <w:rFonts w:ascii="Arial" w:cs="Arial" w:eastAsia="Arial" w:hAnsi="Arial"/>
                <w:sz w:val="13"/>
                <w:szCs w:val="13"/>
                <w:b w:val="1"/>
                <w:bCs w:val="1"/>
                <w:color w:val="auto"/>
                <w:w w:val="86"/>
              </w:rPr>
              <w:t>(In thousands, except share data)</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2014</w:t>
            </w:r>
          </w:p>
        </w:tc>
        <w:tc>
          <w:tcPr>
            <w:tcW w:w="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4"/>
              </w:rPr>
              <w:t>399,896</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9,997</w:t>
            </w: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4"/>
              </w:rPr>
              <w:t>68,605,783</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687</w:t>
            </w: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89"/>
              </w:rPr>
              <w:t>$ 2,281,223</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(683,991)</w:t>
            </w: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(3,515)</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88,155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9"/>
              </w:rPr>
              <w:t>1,692,556</w:t>
            </w:r>
          </w:p>
        </w:tc>
        <w:tc>
          <w:tcPr>
            <w:tcW w:w="0" w:type="dxa"/>
            <w:vAlign w:val="bottom"/>
          </w:tcPr>
          <w:p>
            <w:pPr>
              <w:spacing w:after="0"/>
              <w:rPr>
                <w:sz w:val="1"/>
                <w:szCs w:val="1"/>
                <w:color w:val="auto"/>
              </w:rPr>
            </w:pPr>
          </w:p>
        </w:tc>
      </w:tr>
      <w:tr>
        <w:trPr>
          <w:trHeight w:val="79"/>
        </w:trPr>
        <w:tc>
          <w:tcPr>
            <w:tcW w:w="336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360" w:type="dxa"/>
            <w:vAlign w:val="bottom"/>
          </w:tcPr>
          <w:p>
            <w:pPr>
              <w:ind w:left="40"/>
              <w:spacing w:after="0" w:line="157" w:lineRule="exact"/>
              <w:rPr>
                <w:sz w:val="20"/>
                <w:szCs w:val="20"/>
                <w:color w:val="auto"/>
              </w:rPr>
            </w:pPr>
            <w:r>
              <w:rPr>
                <w:rFonts w:ascii="Arial" w:cs="Arial" w:eastAsia="Arial" w:hAnsi="Arial"/>
                <w:sz w:val="14"/>
                <w:szCs w:val="14"/>
                <w:color w:val="auto"/>
                <w:w w:val="94"/>
              </w:rPr>
              <w:t>Net income, excluding $3,423 attributable to redeemable</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360" w:type="dxa"/>
            <w:vAlign w:val="bottom"/>
          </w:tcPr>
          <w:p>
            <w:pPr>
              <w:ind w:left="40"/>
              <w:spacing w:after="0"/>
              <w:rPr>
                <w:sz w:val="20"/>
                <w:szCs w:val="20"/>
                <w:color w:val="auto"/>
              </w:rPr>
            </w:pPr>
            <w:r>
              <w:rPr>
                <w:rFonts w:ascii="Arial" w:cs="Arial" w:eastAsia="Arial" w:hAnsi="Arial"/>
                <w:sz w:val="14"/>
                <w:szCs w:val="14"/>
                <w:color w:val="auto"/>
              </w:rPr>
              <w:t>noncontrolling interests</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210,219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4,782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215,001</w:t>
            </w:r>
          </w:p>
        </w:tc>
        <w:tc>
          <w:tcPr>
            <w:tcW w:w="0" w:type="dxa"/>
            <w:vAlign w:val="bottom"/>
          </w:tcPr>
          <w:p>
            <w:pPr>
              <w:spacing w:after="0"/>
              <w:rPr>
                <w:sz w:val="1"/>
                <w:szCs w:val="1"/>
                <w:color w:val="auto"/>
              </w:rPr>
            </w:pPr>
          </w:p>
        </w:tc>
      </w:tr>
      <w:tr>
        <w:trPr>
          <w:trHeight w:val="163"/>
        </w:trPr>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Other comprehensive loss - change in value of interest</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rate swaps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190"/>
        </w:trPr>
        <w:tc>
          <w:tcPr>
            <w:tcW w:w="3360" w:type="dxa"/>
            <w:vAlign w:val="bottom"/>
          </w:tcPr>
          <w:p>
            <w:pPr>
              <w:ind w:left="40"/>
              <w:spacing w:after="0"/>
              <w:rPr>
                <w:sz w:val="20"/>
                <w:szCs w:val="20"/>
                <w:color w:val="auto"/>
              </w:rPr>
            </w:pPr>
            <w:r>
              <w:rPr>
                <w:rFonts w:ascii="Arial" w:cs="Arial" w:eastAsia="Arial" w:hAnsi="Arial"/>
                <w:sz w:val="14"/>
                <w:szCs w:val="14"/>
                <w:color w:val="auto"/>
              </w:rPr>
              <w:t>Dividends declared to common shareholders</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(250,388)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(250,388)</w:t>
            </w:r>
          </w:p>
        </w:tc>
        <w:tc>
          <w:tcPr>
            <w:tcW w:w="0" w:type="dxa"/>
            <w:vAlign w:val="bottom"/>
          </w:tcPr>
          <w:p>
            <w:pPr>
              <w:spacing w:after="0"/>
              <w:rPr>
                <w:sz w:val="1"/>
                <w:szCs w:val="1"/>
                <w:color w:val="auto"/>
              </w:rPr>
            </w:pPr>
          </w:p>
        </w:tc>
      </w:tr>
      <w:tr>
        <w:trPr>
          <w:trHeight w:val="73"/>
        </w:trPr>
        <w:tc>
          <w:tcPr>
            <w:tcW w:w="33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to preferred shareholders</w:t>
            </w:r>
          </w:p>
        </w:tc>
        <w:tc>
          <w:tcPr>
            <w:tcW w:w="7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79"/>
        </w:trPr>
        <w:tc>
          <w:tcPr>
            <w:tcW w:w="336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0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360" w:type="dxa"/>
            <w:vAlign w:val="bottom"/>
          </w:tcPr>
          <w:p>
            <w:pPr>
              <w:ind w:left="40"/>
              <w:spacing w:after="0"/>
              <w:rPr>
                <w:sz w:val="20"/>
                <w:szCs w:val="20"/>
                <w:color w:val="auto"/>
              </w:rPr>
            </w:pPr>
            <w:r>
              <w:rPr>
                <w:rFonts w:ascii="Arial" w:cs="Arial" w:eastAsia="Arial" w:hAnsi="Arial"/>
                <w:sz w:val="14"/>
                <w:szCs w:val="14"/>
                <w:color w:val="auto"/>
              </w:rPr>
              <w:t>Distributions declared to noncontrolling interests</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(5,269)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(5,269)</w:t>
            </w:r>
          </w:p>
        </w:tc>
        <w:tc>
          <w:tcPr>
            <w:tcW w:w="0" w:type="dxa"/>
            <w:vAlign w:val="bottom"/>
          </w:tcPr>
          <w:p>
            <w:pPr>
              <w:spacing w:after="0"/>
              <w:rPr>
                <w:sz w:val="1"/>
                <w:szCs w:val="1"/>
                <w:color w:val="auto"/>
              </w:rPr>
            </w:pPr>
          </w:p>
        </w:tc>
      </w:tr>
      <w:tr>
        <w:trPr>
          <w:trHeight w:val="73"/>
        </w:trPr>
        <w:tc>
          <w:tcPr>
            <w:tcW w:w="33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shares issued</w:t>
            </w:r>
          </w:p>
        </w:tc>
        <w:tc>
          <w:tcPr>
            <w:tcW w:w="7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813,548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108,537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108,545</w:t>
            </w:r>
          </w:p>
        </w:tc>
        <w:tc>
          <w:tcPr>
            <w:tcW w:w="0" w:type="dxa"/>
            <w:vAlign w:val="bottom"/>
          </w:tcPr>
          <w:p>
            <w:pPr>
              <w:spacing w:after="0"/>
              <w:rPr>
                <w:sz w:val="1"/>
                <w:szCs w:val="1"/>
                <w:color w:val="auto"/>
              </w:rPr>
            </w:pPr>
          </w:p>
        </w:tc>
      </w:tr>
      <w:tr>
        <w:trPr>
          <w:trHeight w:val="79"/>
        </w:trPr>
        <w:tc>
          <w:tcPr>
            <w:tcW w:w="336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360" w:type="dxa"/>
            <w:vAlign w:val="bottom"/>
          </w:tcPr>
          <w:p>
            <w:pPr>
              <w:ind w:left="40"/>
              <w:spacing w:after="0"/>
              <w:rPr>
                <w:sz w:val="20"/>
                <w:szCs w:val="20"/>
                <w:color w:val="auto"/>
              </w:rPr>
            </w:pPr>
            <w:r>
              <w:rPr>
                <w:rFonts w:ascii="Arial" w:cs="Arial" w:eastAsia="Arial" w:hAnsi="Arial"/>
                <w:sz w:val="14"/>
                <w:szCs w:val="14"/>
                <w:color w:val="auto"/>
              </w:rPr>
              <w:t>Exercise of stock options</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29,940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1,991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1,991</w:t>
            </w:r>
          </w:p>
        </w:tc>
        <w:tc>
          <w:tcPr>
            <w:tcW w:w="0" w:type="dxa"/>
            <w:vAlign w:val="bottom"/>
          </w:tcPr>
          <w:p>
            <w:pPr>
              <w:spacing w:after="0"/>
              <w:rPr>
                <w:sz w:val="1"/>
                <w:szCs w:val="1"/>
                <w:color w:val="auto"/>
              </w:rPr>
            </w:pPr>
          </w:p>
        </w:tc>
      </w:tr>
      <w:tr>
        <w:trPr>
          <w:trHeight w:val="73"/>
        </w:trPr>
        <w:tc>
          <w:tcPr>
            <w:tcW w:w="33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under dividend reinvestment plan</w:t>
            </w:r>
          </w:p>
        </w:tc>
        <w:tc>
          <w:tcPr>
            <w:tcW w:w="7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16,524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2,296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2,296</w:t>
            </w:r>
          </w:p>
        </w:tc>
        <w:tc>
          <w:tcPr>
            <w:tcW w:w="0" w:type="dxa"/>
            <w:vAlign w:val="bottom"/>
          </w:tcPr>
          <w:p>
            <w:pPr>
              <w:spacing w:after="0"/>
              <w:rPr>
                <w:sz w:val="1"/>
                <w:szCs w:val="1"/>
                <w:color w:val="auto"/>
              </w:rPr>
            </w:pPr>
          </w:p>
        </w:tc>
      </w:tr>
      <w:tr>
        <w:trPr>
          <w:trHeight w:val="79"/>
        </w:trPr>
        <w:tc>
          <w:tcPr>
            <w:tcW w:w="336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0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360" w:type="dxa"/>
            <w:vAlign w:val="bottom"/>
          </w:tcPr>
          <w:p>
            <w:pPr>
              <w:ind w:left="40"/>
              <w:spacing w:after="0"/>
              <w:rPr>
                <w:sz w:val="20"/>
                <w:szCs w:val="20"/>
                <w:color w:val="auto"/>
              </w:rPr>
            </w:pPr>
            <w:r>
              <w:rPr>
                <w:rFonts w:ascii="Arial" w:cs="Arial" w:eastAsia="Arial" w:hAnsi="Arial"/>
                <w:sz w:val="14"/>
                <w:szCs w:val="14"/>
                <w:color w:val="auto"/>
                <w:w w:val="97"/>
              </w:rPr>
              <w:t>Share-based compensation expense, net of forfeitures</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52,213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12,073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12,074</w:t>
            </w:r>
          </w:p>
        </w:tc>
        <w:tc>
          <w:tcPr>
            <w:tcW w:w="0" w:type="dxa"/>
            <w:vAlign w:val="bottom"/>
          </w:tcPr>
          <w:p>
            <w:pPr>
              <w:spacing w:after="0"/>
              <w:rPr>
                <w:sz w:val="1"/>
                <w:szCs w:val="1"/>
                <w:color w:val="auto"/>
              </w:rPr>
            </w:pPr>
          </w:p>
        </w:tc>
      </w:tr>
      <w:tr>
        <w:trPr>
          <w:trHeight w:val="73"/>
        </w:trPr>
        <w:tc>
          <w:tcPr>
            <w:tcW w:w="33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withheld for employee taxes</w:t>
            </w:r>
          </w:p>
        </w:tc>
        <w:tc>
          <w:tcPr>
            <w:tcW w:w="7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(64,227)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(9,211)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(9,211)</w:t>
            </w:r>
          </w:p>
        </w:tc>
        <w:tc>
          <w:tcPr>
            <w:tcW w:w="0" w:type="dxa"/>
            <w:vAlign w:val="bottom"/>
          </w:tcPr>
          <w:p>
            <w:pPr>
              <w:spacing w:after="0"/>
              <w:rPr>
                <w:sz w:val="1"/>
                <w:szCs w:val="1"/>
                <w:color w:val="auto"/>
              </w:rPr>
            </w:pPr>
          </w:p>
        </w:tc>
      </w:tr>
      <w:tr>
        <w:trPr>
          <w:trHeight w:val="79"/>
        </w:trPr>
        <w:tc>
          <w:tcPr>
            <w:tcW w:w="336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360" w:type="dxa"/>
            <w:vAlign w:val="bottom"/>
          </w:tcPr>
          <w:p>
            <w:pPr>
              <w:ind w:left="40"/>
              <w:spacing w:after="0"/>
              <w:rPr>
                <w:sz w:val="20"/>
                <w:szCs w:val="20"/>
                <w:color w:val="auto"/>
              </w:rPr>
            </w:pPr>
            <w:r>
              <w:rPr>
                <w:rFonts w:ascii="Arial" w:cs="Arial" w:eastAsia="Arial" w:hAnsi="Arial"/>
                <w:sz w:val="14"/>
                <w:szCs w:val="14"/>
                <w:color w:val="auto"/>
              </w:rPr>
              <w:t>Redemption of OP units</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39,611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4,072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(4,223)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73"/>
        </w:trPr>
        <w:tc>
          <w:tcPr>
            <w:tcW w:w="33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Contributions from noncontrolling interests</w:t>
            </w:r>
          </w:p>
        </w:tc>
        <w:tc>
          <w:tcPr>
            <w:tcW w:w="7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34,737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34,737</w:t>
            </w:r>
          </w:p>
        </w:tc>
        <w:tc>
          <w:tcPr>
            <w:tcW w:w="0" w:type="dxa"/>
            <w:vAlign w:val="bottom"/>
          </w:tcPr>
          <w:p>
            <w:pPr>
              <w:spacing w:after="0"/>
              <w:rPr>
                <w:sz w:val="1"/>
                <w:szCs w:val="1"/>
                <w:color w:val="auto"/>
              </w:rPr>
            </w:pPr>
          </w:p>
        </w:tc>
      </w:tr>
      <w:tr>
        <w:trPr>
          <w:trHeight w:val="79"/>
        </w:trPr>
        <w:tc>
          <w:tcPr>
            <w:tcW w:w="336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0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360" w:type="dxa"/>
            <w:vAlign w:val="bottom"/>
          </w:tcPr>
          <w:p>
            <w:pPr>
              <w:ind w:left="40"/>
              <w:spacing w:after="0"/>
              <w:rPr>
                <w:sz w:val="20"/>
                <w:szCs w:val="20"/>
                <w:color w:val="auto"/>
              </w:rPr>
            </w:pPr>
            <w:r>
              <w:rPr>
                <w:rFonts w:ascii="Arial" w:cs="Arial" w:eastAsia="Arial" w:hAnsi="Arial"/>
                <w:sz w:val="14"/>
                <w:szCs w:val="14"/>
                <w:color w:val="auto"/>
              </w:rPr>
              <w:t>Adjustment to redeemable noncontrolling interests</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(19,114)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(19,114)</w:t>
            </w:r>
          </w:p>
        </w:tc>
        <w:tc>
          <w:tcPr>
            <w:tcW w:w="0" w:type="dxa"/>
            <w:vAlign w:val="bottom"/>
          </w:tcPr>
          <w:p>
            <w:pPr>
              <w:spacing w:after="0"/>
              <w:rPr>
                <w:sz w:val="1"/>
                <w:szCs w:val="1"/>
                <w:color w:val="auto"/>
              </w:rPr>
            </w:pPr>
          </w:p>
        </w:tc>
      </w:tr>
      <w:tr>
        <w:trPr>
          <w:trHeight w:val="73"/>
        </w:trPr>
        <w:tc>
          <w:tcPr>
            <w:tcW w:w="33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3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DECEMBER 31, 2015</w:t>
            </w:r>
          </w:p>
        </w:tc>
        <w:tc>
          <w:tcPr>
            <w:tcW w:w="6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4"/>
              </w:rPr>
              <w:t>399,896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9,997</w:t>
            </w: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4"/>
              </w:rPr>
              <w:t>69,493,392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696</w:t>
            </w:r>
          </w:p>
        </w:tc>
        <w:tc>
          <w:tcPr>
            <w:tcW w:w="1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2,381,867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(724,701)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(4,110)</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118,182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9"/>
              </w:rPr>
              <w:t>1,781,931</w:t>
            </w:r>
          </w:p>
        </w:tc>
        <w:tc>
          <w:tcPr>
            <w:tcW w:w="0" w:type="dxa"/>
            <w:vAlign w:val="bottom"/>
          </w:tcPr>
          <w:p>
            <w:pPr>
              <w:spacing w:after="0"/>
              <w:rPr>
                <w:sz w:val="1"/>
                <w:szCs w:val="1"/>
                <w:color w:val="auto"/>
              </w:rPr>
            </w:pPr>
          </w:p>
        </w:tc>
      </w:tr>
      <w:tr>
        <w:trPr>
          <w:trHeight w:val="79"/>
        </w:trPr>
        <w:tc>
          <w:tcPr>
            <w:tcW w:w="336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360" w:type="dxa"/>
            <w:vAlign w:val="bottom"/>
          </w:tcPr>
          <w:p>
            <w:pPr>
              <w:ind w:left="40"/>
              <w:spacing w:after="0" w:line="157" w:lineRule="exact"/>
              <w:rPr>
                <w:sz w:val="20"/>
                <w:szCs w:val="20"/>
                <w:color w:val="auto"/>
              </w:rPr>
            </w:pPr>
            <w:r>
              <w:rPr>
                <w:rFonts w:ascii="Arial" w:cs="Arial" w:eastAsia="Arial" w:hAnsi="Arial"/>
                <w:sz w:val="14"/>
                <w:szCs w:val="14"/>
                <w:color w:val="auto"/>
                <w:w w:val="94"/>
              </w:rPr>
              <w:t>Net income, excluding $2,713 attributable to redeemable</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360" w:type="dxa"/>
            <w:vAlign w:val="bottom"/>
          </w:tcPr>
          <w:p>
            <w:pPr>
              <w:ind w:left="40"/>
              <w:spacing w:after="0"/>
              <w:rPr>
                <w:sz w:val="20"/>
                <w:szCs w:val="20"/>
                <w:color w:val="auto"/>
              </w:rPr>
            </w:pPr>
            <w:r>
              <w:rPr>
                <w:rFonts w:ascii="Arial" w:cs="Arial" w:eastAsia="Arial" w:hAnsi="Arial"/>
                <w:sz w:val="14"/>
                <w:szCs w:val="14"/>
                <w:color w:val="auto"/>
              </w:rPr>
              <w:t>noncontrolling interests</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249,910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6,260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256,170</w:t>
            </w:r>
          </w:p>
        </w:tc>
        <w:tc>
          <w:tcPr>
            <w:tcW w:w="0" w:type="dxa"/>
            <w:vAlign w:val="bottom"/>
          </w:tcPr>
          <w:p>
            <w:pPr>
              <w:spacing w:after="0"/>
              <w:rPr>
                <w:sz w:val="1"/>
                <w:szCs w:val="1"/>
                <w:color w:val="auto"/>
              </w:rPr>
            </w:pPr>
          </w:p>
        </w:tc>
      </w:tr>
      <w:tr>
        <w:trPr>
          <w:trHeight w:val="163"/>
        </w:trPr>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 change in value of</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swaps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1,533</w:t>
            </w:r>
          </w:p>
        </w:tc>
        <w:tc>
          <w:tcPr>
            <w:tcW w:w="0" w:type="dxa"/>
            <w:vAlign w:val="bottom"/>
          </w:tcPr>
          <w:p>
            <w:pPr>
              <w:spacing w:after="0"/>
              <w:rPr>
                <w:sz w:val="1"/>
                <w:szCs w:val="1"/>
                <w:color w:val="auto"/>
              </w:rPr>
            </w:pPr>
          </w:p>
        </w:tc>
      </w:tr>
      <w:tr>
        <w:trPr>
          <w:trHeight w:val="190"/>
        </w:trPr>
        <w:tc>
          <w:tcPr>
            <w:tcW w:w="3360" w:type="dxa"/>
            <w:vAlign w:val="bottom"/>
          </w:tcPr>
          <w:p>
            <w:pPr>
              <w:ind w:left="40"/>
              <w:spacing w:after="0"/>
              <w:rPr>
                <w:sz w:val="20"/>
                <w:szCs w:val="20"/>
                <w:color w:val="auto"/>
              </w:rPr>
            </w:pPr>
            <w:r>
              <w:rPr>
                <w:rFonts w:ascii="Arial" w:cs="Arial" w:eastAsia="Arial" w:hAnsi="Arial"/>
                <w:sz w:val="14"/>
                <w:szCs w:val="14"/>
                <w:color w:val="auto"/>
              </w:rPr>
              <w:t>Dividends declared to common shareholders</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(274,402)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(274,402)</w:t>
            </w:r>
          </w:p>
        </w:tc>
        <w:tc>
          <w:tcPr>
            <w:tcW w:w="0" w:type="dxa"/>
            <w:vAlign w:val="bottom"/>
          </w:tcPr>
          <w:p>
            <w:pPr>
              <w:spacing w:after="0"/>
              <w:rPr>
                <w:sz w:val="1"/>
                <w:szCs w:val="1"/>
                <w:color w:val="auto"/>
              </w:rPr>
            </w:pPr>
          </w:p>
        </w:tc>
      </w:tr>
      <w:tr>
        <w:trPr>
          <w:trHeight w:val="73"/>
        </w:trPr>
        <w:tc>
          <w:tcPr>
            <w:tcW w:w="33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to preferred shareholders</w:t>
            </w:r>
          </w:p>
        </w:tc>
        <w:tc>
          <w:tcPr>
            <w:tcW w:w="7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79"/>
        </w:trPr>
        <w:tc>
          <w:tcPr>
            <w:tcW w:w="336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0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360" w:type="dxa"/>
            <w:vAlign w:val="bottom"/>
          </w:tcPr>
          <w:p>
            <w:pPr>
              <w:ind w:left="40"/>
              <w:spacing w:after="0"/>
              <w:rPr>
                <w:sz w:val="20"/>
                <w:szCs w:val="20"/>
                <w:color w:val="auto"/>
              </w:rPr>
            </w:pPr>
            <w:r>
              <w:rPr>
                <w:rFonts w:ascii="Arial" w:cs="Arial" w:eastAsia="Arial" w:hAnsi="Arial"/>
                <w:sz w:val="14"/>
                <w:szCs w:val="14"/>
                <w:color w:val="auto"/>
              </w:rPr>
              <w:t>Distributions declared to noncontrolling interests</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(7,546)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(7,546)</w:t>
            </w:r>
          </w:p>
        </w:tc>
        <w:tc>
          <w:tcPr>
            <w:tcW w:w="0" w:type="dxa"/>
            <w:vAlign w:val="bottom"/>
          </w:tcPr>
          <w:p>
            <w:pPr>
              <w:spacing w:after="0"/>
              <w:rPr>
                <w:sz w:val="1"/>
                <w:szCs w:val="1"/>
                <w:color w:val="auto"/>
              </w:rPr>
            </w:pPr>
          </w:p>
        </w:tc>
      </w:tr>
      <w:tr>
        <w:trPr>
          <w:trHeight w:val="73"/>
        </w:trPr>
        <w:tc>
          <w:tcPr>
            <w:tcW w:w="33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shares issued</w:t>
            </w:r>
          </w:p>
        </w:tc>
        <w:tc>
          <w:tcPr>
            <w:tcW w:w="7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2,156,671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324,170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324,191</w:t>
            </w:r>
          </w:p>
        </w:tc>
        <w:tc>
          <w:tcPr>
            <w:tcW w:w="0" w:type="dxa"/>
            <w:vAlign w:val="bottom"/>
          </w:tcPr>
          <w:p>
            <w:pPr>
              <w:spacing w:after="0"/>
              <w:rPr>
                <w:sz w:val="1"/>
                <w:szCs w:val="1"/>
                <w:color w:val="auto"/>
              </w:rPr>
            </w:pPr>
          </w:p>
        </w:tc>
      </w:tr>
      <w:tr>
        <w:trPr>
          <w:trHeight w:val="79"/>
        </w:trPr>
        <w:tc>
          <w:tcPr>
            <w:tcW w:w="336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360" w:type="dxa"/>
            <w:vAlign w:val="bottom"/>
          </w:tcPr>
          <w:p>
            <w:pPr>
              <w:ind w:left="40"/>
              <w:spacing w:after="0"/>
              <w:rPr>
                <w:sz w:val="20"/>
                <w:szCs w:val="20"/>
                <w:color w:val="auto"/>
              </w:rPr>
            </w:pPr>
            <w:r>
              <w:rPr>
                <w:rFonts w:ascii="Arial" w:cs="Arial" w:eastAsia="Arial" w:hAnsi="Arial"/>
                <w:sz w:val="14"/>
                <w:szCs w:val="14"/>
                <w:color w:val="auto"/>
              </w:rPr>
              <w:t>Exercise of stock options</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55,365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4,541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4,542</w:t>
            </w:r>
          </w:p>
        </w:tc>
        <w:tc>
          <w:tcPr>
            <w:tcW w:w="0" w:type="dxa"/>
            <w:vAlign w:val="bottom"/>
          </w:tcPr>
          <w:p>
            <w:pPr>
              <w:spacing w:after="0"/>
              <w:rPr>
                <w:sz w:val="1"/>
                <w:szCs w:val="1"/>
                <w:color w:val="auto"/>
              </w:rPr>
            </w:pPr>
          </w:p>
        </w:tc>
      </w:tr>
      <w:tr>
        <w:trPr>
          <w:trHeight w:val="73"/>
        </w:trPr>
        <w:tc>
          <w:tcPr>
            <w:tcW w:w="33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under dividend reinvestment plan</w:t>
            </w:r>
          </w:p>
        </w:tc>
        <w:tc>
          <w:tcPr>
            <w:tcW w:w="7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15,619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2,387</w:t>
            </w:r>
          </w:p>
        </w:tc>
        <w:tc>
          <w:tcPr>
            <w:tcW w:w="0" w:type="dxa"/>
            <w:vAlign w:val="bottom"/>
          </w:tcPr>
          <w:p>
            <w:pPr>
              <w:spacing w:after="0"/>
              <w:rPr>
                <w:sz w:val="1"/>
                <w:szCs w:val="1"/>
                <w:color w:val="auto"/>
              </w:rPr>
            </w:pPr>
          </w:p>
        </w:tc>
      </w:tr>
      <w:tr>
        <w:trPr>
          <w:trHeight w:val="79"/>
        </w:trPr>
        <w:tc>
          <w:tcPr>
            <w:tcW w:w="336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0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360" w:type="dxa"/>
            <w:vAlign w:val="bottom"/>
          </w:tcPr>
          <w:p>
            <w:pPr>
              <w:ind w:left="40"/>
              <w:spacing w:after="0"/>
              <w:rPr>
                <w:sz w:val="20"/>
                <w:szCs w:val="20"/>
                <w:color w:val="auto"/>
              </w:rPr>
            </w:pPr>
            <w:r>
              <w:rPr>
                <w:rFonts w:ascii="Arial" w:cs="Arial" w:eastAsia="Arial" w:hAnsi="Arial"/>
                <w:sz w:val="14"/>
                <w:szCs w:val="14"/>
                <w:color w:val="auto"/>
                <w:w w:val="97"/>
              </w:rPr>
              <w:t>Share-based compensation expense, net of forfeitures</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134,913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11,225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11,227</w:t>
            </w:r>
          </w:p>
        </w:tc>
        <w:tc>
          <w:tcPr>
            <w:tcW w:w="0" w:type="dxa"/>
            <w:vAlign w:val="bottom"/>
          </w:tcPr>
          <w:p>
            <w:pPr>
              <w:spacing w:after="0"/>
              <w:rPr>
                <w:sz w:val="1"/>
                <w:szCs w:val="1"/>
                <w:color w:val="auto"/>
              </w:rPr>
            </w:pPr>
          </w:p>
        </w:tc>
      </w:tr>
      <w:tr>
        <w:trPr>
          <w:trHeight w:val="73"/>
        </w:trPr>
        <w:tc>
          <w:tcPr>
            <w:tcW w:w="33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withheld for employee taxes</w:t>
            </w:r>
          </w:p>
        </w:tc>
        <w:tc>
          <w:tcPr>
            <w:tcW w:w="7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(30,671)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(4,451)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(4,451)</w:t>
            </w:r>
          </w:p>
        </w:tc>
        <w:tc>
          <w:tcPr>
            <w:tcW w:w="0" w:type="dxa"/>
            <w:vAlign w:val="bottom"/>
          </w:tcPr>
          <w:p>
            <w:pPr>
              <w:spacing w:after="0"/>
              <w:rPr>
                <w:sz w:val="1"/>
                <w:szCs w:val="1"/>
                <w:color w:val="auto"/>
              </w:rPr>
            </w:pPr>
          </w:p>
        </w:tc>
      </w:tr>
      <w:tr>
        <w:trPr>
          <w:trHeight w:val="79"/>
        </w:trPr>
        <w:tc>
          <w:tcPr>
            <w:tcW w:w="336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0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360" w:type="dxa"/>
            <w:vAlign w:val="bottom"/>
          </w:tcPr>
          <w:p>
            <w:pPr>
              <w:ind w:left="40"/>
              <w:spacing w:after="0"/>
              <w:rPr>
                <w:sz w:val="20"/>
                <w:szCs w:val="20"/>
                <w:color w:val="auto"/>
              </w:rPr>
            </w:pPr>
            <w:r>
              <w:rPr>
                <w:rFonts w:ascii="Arial" w:cs="Arial" w:eastAsia="Arial" w:hAnsi="Arial"/>
                <w:sz w:val="14"/>
                <w:szCs w:val="14"/>
                <w:color w:val="auto"/>
              </w:rPr>
              <w:t>Conversion and redemption of OP units</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170,608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18,677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(18,679)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33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Contributions from noncontrolling interests</w:t>
            </w:r>
          </w:p>
        </w:tc>
        <w:tc>
          <w:tcPr>
            <w:tcW w:w="7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885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885</w:t>
            </w:r>
          </w:p>
        </w:tc>
        <w:tc>
          <w:tcPr>
            <w:tcW w:w="0" w:type="dxa"/>
            <w:vAlign w:val="bottom"/>
          </w:tcPr>
          <w:p>
            <w:pPr>
              <w:spacing w:after="0"/>
              <w:rPr>
                <w:sz w:val="1"/>
                <w:szCs w:val="1"/>
                <w:color w:val="auto"/>
              </w:rPr>
            </w:pPr>
          </w:p>
        </w:tc>
      </w:tr>
      <w:tr>
        <w:trPr>
          <w:trHeight w:val="79"/>
        </w:trPr>
        <w:tc>
          <w:tcPr>
            <w:tcW w:w="336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0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360" w:type="dxa"/>
            <w:vAlign w:val="bottom"/>
          </w:tcPr>
          <w:p>
            <w:pPr>
              <w:ind w:left="40"/>
              <w:spacing w:after="0"/>
              <w:rPr>
                <w:sz w:val="20"/>
                <w:szCs w:val="20"/>
                <w:color w:val="auto"/>
              </w:rPr>
            </w:pPr>
            <w:r>
              <w:rPr>
                <w:rFonts w:ascii="Arial" w:cs="Arial" w:eastAsia="Arial" w:hAnsi="Arial"/>
                <w:sz w:val="14"/>
                <w:szCs w:val="14"/>
                <w:color w:val="auto"/>
              </w:rPr>
              <w:t>Adjustment to redeemable noncontrolling interests</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(20,091)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(20,091)</w:t>
            </w:r>
          </w:p>
        </w:tc>
        <w:tc>
          <w:tcPr>
            <w:tcW w:w="0" w:type="dxa"/>
            <w:vAlign w:val="bottom"/>
          </w:tcPr>
          <w:p>
            <w:pPr>
              <w:spacing w:after="0"/>
              <w:rPr>
                <w:sz w:val="1"/>
                <w:szCs w:val="1"/>
                <w:color w:val="auto"/>
              </w:rPr>
            </w:pPr>
          </w:p>
        </w:tc>
      </w:tr>
      <w:tr>
        <w:trPr>
          <w:trHeight w:val="73"/>
        </w:trPr>
        <w:tc>
          <w:tcPr>
            <w:tcW w:w="33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3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DECEMBER 31, 2016</w:t>
            </w:r>
          </w:p>
        </w:tc>
        <w:tc>
          <w:tcPr>
            <w:tcW w:w="6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4"/>
              </w:rPr>
              <w:t>399,896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9,997</w:t>
            </w: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4"/>
              </w:rPr>
              <w:t>71,995,897</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722</w:t>
            </w:r>
          </w:p>
        </w:tc>
        <w:tc>
          <w:tcPr>
            <w:tcW w:w="1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89"/>
              </w:rPr>
              <w:t>$ 2,718,325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(749,734)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(2,577)</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99,102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9"/>
              </w:rPr>
              <w:t>2,075,835</w:t>
            </w:r>
          </w:p>
        </w:tc>
        <w:tc>
          <w:tcPr>
            <w:tcW w:w="0" w:type="dxa"/>
            <w:vAlign w:val="bottom"/>
          </w:tcPr>
          <w:p>
            <w:pPr>
              <w:spacing w:after="0"/>
              <w:rPr>
                <w:sz w:val="1"/>
                <w:szCs w:val="1"/>
                <w:color w:val="auto"/>
              </w:rPr>
            </w:pPr>
          </w:p>
        </w:tc>
      </w:tr>
      <w:tr>
        <w:trPr>
          <w:trHeight w:val="79"/>
        </w:trPr>
        <w:tc>
          <w:tcPr>
            <w:tcW w:w="336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360" w:type="dxa"/>
            <w:vAlign w:val="bottom"/>
          </w:tcPr>
          <w:p>
            <w:pPr>
              <w:ind w:left="40"/>
              <w:spacing w:after="0" w:line="157" w:lineRule="exact"/>
              <w:rPr>
                <w:sz w:val="20"/>
                <w:szCs w:val="20"/>
                <w:color w:val="auto"/>
              </w:rPr>
            </w:pPr>
            <w:r>
              <w:rPr>
                <w:rFonts w:ascii="Arial" w:cs="Arial" w:eastAsia="Arial" w:hAnsi="Arial"/>
                <w:sz w:val="14"/>
                <w:szCs w:val="14"/>
                <w:color w:val="auto"/>
                <w:w w:val="96"/>
              </w:rPr>
              <w:t>January 1, 2017 adoption of new accounting standard -</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3360" w:type="dxa"/>
            <w:vAlign w:val="bottom"/>
          </w:tcPr>
          <w:p>
            <w:pPr>
              <w:ind w:left="40"/>
              <w:spacing w:after="0"/>
              <w:rPr>
                <w:sz w:val="20"/>
                <w:szCs w:val="20"/>
                <w:color w:val="auto"/>
              </w:rPr>
            </w:pPr>
            <w:r>
              <w:rPr>
                <w:rFonts w:ascii="Arial" w:cs="Arial" w:eastAsia="Arial" w:hAnsi="Arial"/>
                <w:sz w:val="14"/>
                <w:szCs w:val="14"/>
                <w:color w:val="auto"/>
              </w:rPr>
              <w:t>See Note 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Net income, excluding $3,874 attributable to redeemable</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289,914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4,082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293,996</w:t>
            </w:r>
          </w:p>
        </w:tc>
        <w:tc>
          <w:tcPr>
            <w:tcW w:w="0" w:type="dxa"/>
            <w:vAlign w:val="bottom"/>
          </w:tcPr>
          <w:p>
            <w:pPr>
              <w:spacing w:after="0"/>
              <w:rPr>
                <w:sz w:val="1"/>
                <w:szCs w:val="1"/>
                <w:color w:val="auto"/>
              </w:rPr>
            </w:pPr>
          </w:p>
        </w:tc>
      </w:tr>
      <w:tr>
        <w:trPr>
          <w:trHeight w:val="157"/>
        </w:trPr>
        <w:tc>
          <w:tcPr>
            <w:tcW w:w="3360" w:type="dxa"/>
            <w:vAlign w:val="bottom"/>
          </w:tcPr>
          <w:p>
            <w:pPr>
              <w:ind w:left="40"/>
              <w:spacing w:after="0" w:line="157" w:lineRule="exact"/>
              <w:rPr>
                <w:sz w:val="20"/>
                <w:szCs w:val="20"/>
                <w:color w:val="auto"/>
              </w:rPr>
            </w:pPr>
            <w:r>
              <w:rPr>
                <w:rFonts w:ascii="Arial" w:cs="Arial" w:eastAsia="Arial" w:hAnsi="Arial"/>
                <w:sz w:val="14"/>
                <w:szCs w:val="14"/>
                <w:color w:val="auto"/>
              </w:rPr>
              <w:t>Other comprehensive income - change in value of</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360" w:type="dxa"/>
            <w:vAlign w:val="bottom"/>
          </w:tcPr>
          <w:p>
            <w:pPr>
              <w:ind w:left="40"/>
              <w:spacing w:after="0"/>
              <w:rPr>
                <w:sz w:val="20"/>
                <w:szCs w:val="20"/>
                <w:color w:val="auto"/>
              </w:rPr>
            </w:pPr>
            <w:r>
              <w:rPr>
                <w:rFonts w:ascii="Arial" w:cs="Arial" w:eastAsia="Arial" w:hAnsi="Arial"/>
                <w:sz w:val="14"/>
                <w:szCs w:val="14"/>
                <w:color w:val="auto"/>
              </w:rPr>
              <w:t>interest rate swaps</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2,599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2,599</w:t>
            </w:r>
          </w:p>
        </w:tc>
        <w:tc>
          <w:tcPr>
            <w:tcW w:w="0" w:type="dxa"/>
            <w:vAlign w:val="bottom"/>
          </w:tcPr>
          <w:p>
            <w:pPr>
              <w:spacing w:after="0"/>
              <w:rPr>
                <w:sz w:val="1"/>
                <w:szCs w:val="1"/>
                <w:color w:val="auto"/>
              </w:rPr>
            </w:pPr>
          </w:p>
        </w:tc>
      </w:tr>
      <w:tr>
        <w:trPr>
          <w:trHeight w:val="196"/>
        </w:trPr>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to common shareholders</w:t>
            </w:r>
          </w:p>
        </w:tc>
        <w:tc>
          <w:tcPr>
            <w:tcW w:w="7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(287,006)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(287,006)</w:t>
            </w:r>
          </w:p>
        </w:tc>
        <w:tc>
          <w:tcPr>
            <w:tcW w:w="0" w:type="dxa"/>
            <w:vAlign w:val="bottom"/>
          </w:tcPr>
          <w:p>
            <w:pPr>
              <w:spacing w:after="0"/>
              <w:rPr>
                <w:sz w:val="1"/>
                <w:szCs w:val="1"/>
                <w:color w:val="auto"/>
              </w:rPr>
            </w:pPr>
          </w:p>
        </w:tc>
      </w:tr>
      <w:tr>
        <w:trPr>
          <w:trHeight w:val="79"/>
        </w:trPr>
        <w:tc>
          <w:tcPr>
            <w:tcW w:w="336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0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360" w:type="dxa"/>
            <w:vAlign w:val="bottom"/>
          </w:tcPr>
          <w:p>
            <w:pPr>
              <w:ind w:left="40"/>
              <w:spacing w:after="0"/>
              <w:rPr>
                <w:sz w:val="20"/>
                <w:szCs w:val="20"/>
                <w:color w:val="auto"/>
              </w:rPr>
            </w:pPr>
            <w:r>
              <w:rPr>
                <w:rFonts w:ascii="Arial" w:cs="Arial" w:eastAsia="Arial" w:hAnsi="Arial"/>
                <w:sz w:val="14"/>
                <w:szCs w:val="14"/>
                <w:color w:val="auto"/>
              </w:rPr>
              <w:t>Dividends declared to preferred shareholders</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(2,458)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(2,458)</w:t>
            </w:r>
          </w:p>
        </w:tc>
        <w:tc>
          <w:tcPr>
            <w:tcW w:w="0" w:type="dxa"/>
            <w:vAlign w:val="bottom"/>
          </w:tcPr>
          <w:p>
            <w:pPr>
              <w:spacing w:after="0"/>
              <w:rPr>
                <w:sz w:val="1"/>
                <w:szCs w:val="1"/>
                <w:color w:val="auto"/>
              </w:rPr>
            </w:pPr>
          </w:p>
        </w:tc>
      </w:tr>
      <w:tr>
        <w:trPr>
          <w:trHeight w:val="73"/>
        </w:trPr>
        <w:tc>
          <w:tcPr>
            <w:tcW w:w="33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declared to noncontrolling interests</w:t>
            </w:r>
          </w:p>
        </w:tc>
        <w:tc>
          <w:tcPr>
            <w:tcW w:w="7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(5,560)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(5,560)</w:t>
            </w:r>
          </w:p>
        </w:tc>
        <w:tc>
          <w:tcPr>
            <w:tcW w:w="0" w:type="dxa"/>
            <w:vAlign w:val="bottom"/>
          </w:tcPr>
          <w:p>
            <w:pPr>
              <w:spacing w:after="0"/>
              <w:rPr>
                <w:sz w:val="1"/>
                <w:szCs w:val="1"/>
                <w:color w:val="auto"/>
              </w:rPr>
            </w:pPr>
          </w:p>
        </w:tc>
      </w:tr>
      <w:tr>
        <w:trPr>
          <w:trHeight w:val="79"/>
        </w:trPr>
        <w:tc>
          <w:tcPr>
            <w:tcW w:w="336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0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360" w:type="dxa"/>
            <w:vAlign w:val="bottom"/>
          </w:tcPr>
          <w:p>
            <w:pPr>
              <w:ind w:left="40"/>
              <w:spacing w:after="0"/>
              <w:rPr>
                <w:sz w:val="20"/>
                <w:szCs w:val="20"/>
                <w:color w:val="auto"/>
              </w:rPr>
            </w:pPr>
            <w:r>
              <w:rPr>
                <w:rFonts w:ascii="Arial" w:cs="Arial" w:eastAsia="Arial" w:hAnsi="Arial"/>
                <w:sz w:val="14"/>
                <w:szCs w:val="14"/>
                <w:color w:val="auto"/>
              </w:rPr>
              <w:t>Common shares issued, net</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826,592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restart"/>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108,240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108,248</w:t>
            </w:r>
          </w:p>
        </w:tc>
        <w:tc>
          <w:tcPr>
            <w:tcW w:w="0" w:type="dxa"/>
            <w:vAlign w:val="bottom"/>
          </w:tcPr>
          <w:p>
            <w:pPr>
              <w:spacing w:after="0"/>
              <w:rPr>
                <w:sz w:val="1"/>
                <w:szCs w:val="1"/>
                <w:color w:val="auto"/>
              </w:rPr>
            </w:pPr>
          </w:p>
        </w:tc>
      </w:tr>
      <w:tr>
        <w:trPr>
          <w:trHeight w:val="73"/>
        </w:trPr>
        <w:tc>
          <w:tcPr>
            <w:tcW w:w="33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Preferred shares issued, net</w:t>
            </w:r>
          </w:p>
        </w:tc>
        <w:tc>
          <w:tcPr>
            <w:tcW w:w="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86"/>
              </w:rPr>
              <w:t>150,000</w:t>
            </w:r>
          </w:p>
        </w:tc>
        <w:tc>
          <w:tcPr>
            <w:tcW w:w="1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(5,035)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144,965</w:t>
            </w:r>
          </w:p>
        </w:tc>
        <w:tc>
          <w:tcPr>
            <w:tcW w:w="0" w:type="dxa"/>
            <w:vAlign w:val="bottom"/>
          </w:tcPr>
          <w:p>
            <w:pPr>
              <w:spacing w:after="0"/>
              <w:rPr>
                <w:sz w:val="1"/>
                <w:szCs w:val="1"/>
                <w:color w:val="auto"/>
              </w:rPr>
            </w:pPr>
          </w:p>
        </w:tc>
      </w:tr>
      <w:tr>
        <w:trPr>
          <w:trHeight w:val="79"/>
        </w:trPr>
        <w:tc>
          <w:tcPr>
            <w:tcW w:w="336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0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360" w:type="dxa"/>
            <w:vAlign w:val="bottom"/>
          </w:tcPr>
          <w:p>
            <w:pPr>
              <w:ind w:left="40"/>
              <w:spacing w:after="0"/>
              <w:rPr>
                <w:sz w:val="20"/>
                <w:szCs w:val="20"/>
                <w:color w:val="auto"/>
              </w:rPr>
            </w:pPr>
            <w:r>
              <w:rPr>
                <w:rFonts w:ascii="Arial" w:cs="Arial" w:eastAsia="Arial" w:hAnsi="Arial"/>
                <w:sz w:val="14"/>
                <w:szCs w:val="14"/>
                <w:color w:val="auto"/>
              </w:rPr>
              <w:t>Exercise of stock options</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152,634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9,977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9,979</w:t>
            </w:r>
          </w:p>
        </w:tc>
        <w:tc>
          <w:tcPr>
            <w:tcW w:w="0" w:type="dxa"/>
            <w:vAlign w:val="bottom"/>
          </w:tcPr>
          <w:p>
            <w:pPr>
              <w:spacing w:after="0"/>
              <w:rPr>
                <w:sz w:val="1"/>
                <w:szCs w:val="1"/>
                <w:color w:val="auto"/>
              </w:rPr>
            </w:pPr>
          </w:p>
        </w:tc>
      </w:tr>
      <w:tr>
        <w:trPr>
          <w:trHeight w:val="73"/>
        </w:trPr>
        <w:tc>
          <w:tcPr>
            <w:tcW w:w="33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under dividend reinvestment plan</w:t>
            </w:r>
          </w:p>
        </w:tc>
        <w:tc>
          <w:tcPr>
            <w:tcW w:w="7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17,911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2,373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2,373</w:t>
            </w:r>
          </w:p>
        </w:tc>
        <w:tc>
          <w:tcPr>
            <w:tcW w:w="0" w:type="dxa"/>
            <w:vAlign w:val="bottom"/>
          </w:tcPr>
          <w:p>
            <w:pPr>
              <w:spacing w:after="0"/>
              <w:rPr>
                <w:sz w:val="1"/>
                <w:szCs w:val="1"/>
                <w:color w:val="auto"/>
              </w:rPr>
            </w:pPr>
          </w:p>
        </w:tc>
      </w:tr>
      <w:tr>
        <w:trPr>
          <w:trHeight w:val="79"/>
        </w:trPr>
        <w:tc>
          <w:tcPr>
            <w:tcW w:w="336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0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360" w:type="dxa"/>
            <w:vAlign w:val="bottom"/>
          </w:tcPr>
          <w:p>
            <w:pPr>
              <w:ind w:left="40"/>
              <w:spacing w:after="0"/>
              <w:rPr>
                <w:sz w:val="20"/>
                <w:szCs w:val="20"/>
                <w:color w:val="auto"/>
              </w:rPr>
            </w:pPr>
            <w:r>
              <w:rPr>
                <w:rFonts w:ascii="Arial" w:cs="Arial" w:eastAsia="Arial" w:hAnsi="Arial"/>
                <w:sz w:val="14"/>
                <w:szCs w:val="14"/>
                <w:color w:val="auto"/>
                <w:w w:val="97"/>
              </w:rPr>
              <w:t>Share-based compensation expense, net of forfeitures</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107,522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12,370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12,371</w:t>
            </w:r>
          </w:p>
        </w:tc>
        <w:tc>
          <w:tcPr>
            <w:tcW w:w="0" w:type="dxa"/>
            <w:vAlign w:val="bottom"/>
          </w:tcPr>
          <w:p>
            <w:pPr>
              <w:spacing w:after="0"/>
              <w:rPr>
                <w:sz w:val="1"/>
                <w:szCs w:val="1"/>
                <w:color w:val="auto"/>
              </w:rPr>
            </w:pPr>
          </w:p>
        </w:tc>
      </w:tr>
      <w:tr>
        <w:trPr>
          <w:trHeight w:val="73"/>
        </w:trPr>
        <w:tc>
          <w:tcPr>
            <w:tcW w:w="33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withheld for employee taxes</w:t>
            </w:r>
          </w:p>
        </w:tc>
        <w:tc>
          <w:tcPr>
            <w:tcW w:w="7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(29,709)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(4,229)</w:t>
            </w:r>
          </w:p>
        </w:tc>
        <w:tc>
          <w:tcPr>
            <w:tcW w:w="0" w:type="dxa"/>
            <w:vAlign w:val="bottom"/>
          </w:tcPr>
          <w:p>
            <w:pPr>
              <w:spacing w:after="0"/>
              <w:rPr>
                <w:sz w:val="1"/>
                <w:szCs w:val="1"/>
                <w:color w:val="auto"/>
              </w:rPr>
            </w:pPr>
          </w:p>
        </w:tc>
      </w:tr>
      <w:tr>
        <w:trPr>
          <w:trHeight w:val="79"/>
        </w:trPr>
        <w:tc>
          <w:tcPr>
            <w:tcW w:w="336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0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360" w:type="dxa"/>
            <w:vAlign w:val="bottom"/>
          </w:tcPr>
          <w:p>
            <w:pPr>
              <w:ind w:left="40"/>
              <w:spacing w:after="0"/>
              <w:rPr>
                <w:sz w:val="20"/>
                <w:szCs w:val="20"/>
                <w:color w:val="auto"/>
              </w:rPr>
            </w:pPr>
            <w:r>
              <w:rPr>
                <w:rFonts w:ascii="Arial" w:cs="Arial" w:eastAsia="Arial" w:hAnsi="Arial"/>
                <w:sz w:val="14"/>
                <w:szCs w:val="14"/>
                <w:color w:val="auto"/>
              </w:rPr>
              <w:t>Conversion and redemption of OP units</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20,030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2,569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(2,569)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33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Contributions from noncontrolling interests</w:t>
            </w:r>
          </w:p>
        </w:tc>
        <w:tc>
          <w:tcPr>
            <w:tcW w:w="7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35,331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35,331</w:t>
            </w:r>
          </w:p>
        </w:tc>
        <w:tc>
          <w:tcPr>
            <w:tcW w:w="0" w:type="dxa"/>
            <w:vAlign w:val="bottom"/>
          </w:tcPr>
          <w:p>
            <w:pPr>
              <w:spacing w:after="0"/>
              <w:rPr>
                <w:sz w:val="1"/>
                <w:szCs w:val="1"/>
                <w:color w:val="auto"/>
              </w:rPr>
            </w:pPr>
          </w:p>
        </w:tc>
      </w:tr>
      <w:tr>
        <w:trPr>
          <w:trHeight w:val="79"/>
        </w:trPr>
        <w:tc>
          <w:tcPr>
            <w:tcW w:w="336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0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360" w:type="dxa"/>
            <w:vAlign w:val="bottom"/>
          </w:tcPr>
          <w:p>
            <w:pPr>
              <w:ind w:left="40"/>
              <w:spacing w:after="0"/>
              <w:rPr>
                <w:sz w:val="20"/>
                <w:szCs w:val="20"/>
                <w:color w:val="auto"/>
              </w:rPr>
            </w:pPr>
            <w:r>
              <w:rPr>
                <w:rFonts w:ascii="Arial" w:cs="Arial" w:eastAsia="Arial" w:hAnsi="Arial"/>
                <w:sz w:val="14"/>
                <w:szCs w:val="14"/>
                <w:color w:val="auto"/>
              </w:rPr>
              <w:t>Purchase of noncontrolling interests</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(5,578)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(5,536)</w:t>
            </w:r>
          </w:p>
        </w:tc>
        <w:tc>
          <w:tcPr>
            <w:tcW w:w="0" w:type="dxa"/>
            <w:vAlign w:val="bottom"/>
          </w:tcPr>
          <w:p>
            <w:pPr>
              <w:spacing w:after="0"/>
              <w:rPr>
                <w:sz w:val="1"/>
                <w:szCs w:val="1"/>
                <w:color w:val="auto"/>
              </w:rPr>
            </w:pPr>
          </w:p>
        </w:tc>
      </w:tr>
      <w:tr>
        <w:trPr>
          <w:trHeight w:val="73"/>
        </w:trPr>
        <w:tc>
          <w:tcPr>
            <w:tcW w:w="33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 to redeemable noncontrolling interests</w:t>
            </w:r>
          </w:p>
        </w:tc>
        <w:tc>
          <w:tcPr>
            <w:tcW w:w="7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10,606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10,606</w:t>
            </w:r>
          </w:p>
        </w:tc>
        <w:tc>
          <w:tcPr>
            <w:tcW w:w="0" w:type="dxa"/>
            <w:vAlign w:val="bottom"/>
          </w:tcPr>
          <w:p>
            <w:pPr>
              <w:spacing w:after="0"/>
              <w:rPr>
                <w:sz w:val="1"/>
                <w:szCs w:val="1"/>
                <w:color w:val="auto"/>
              </w:rPr>
            </w:pPr>
          </w:p>
        </w:tc>
      </w:tr>
      <w:tr>
        <w:trPr>
          <w:trHeight w:val="73"/>
        </w:trPr>
        <w:tc>
          <w:tcPr>
            <w:tcW w:w="3360" w:type="dxa"/>
            <w:vAlign w:val="bottom"/>
            <w:shd w:val="clear" w:color="auto" w:fill="CCEEFF"/>
          </w:tcPr>
          <w:p>
            <w:pPr>
              <w:spacing w:after="0"/>
              <w:rPr>
                <w:sz w:val="6"/>
                <w:szCs w:val="6"/>
                <w:color w:val="auto"/>
              </w:rPr>
            </w:pPr>
          </w:p>
        </w:tc>
        <w:tc>
          <w:tcPr>
            <w:tcW w:w="700" w:type="dxa"/>
            <w:vAlign w:val="bottom"/>
            <w:tcBorders>
              <w:bottom w:val="single" w:sz="8" w:color="auto"/>
            </w:tcBorders>
            <w:gridSpan w:val="2"/>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gridSpan w:val="2"/>
            <w:vMerge w:val="continue"/>
            <w:shd w:val="clear" w:color="auto" w:fill="CCEEFF"/>
          </w:tcPr>
          <w:p>
            <w:pPr>
              <w:spacing w:after="0"/>
              <w:rPr>
                <w:sz w:val="6"/>
                <w:szCs w:val="6"/>
                <w:color w:val="auto"/>
              </w:rPr>
            </w:pPr>
          </w:p>
        </w:tc>
        <w:tc>
          <w:tcPr>
            <w:tcW w:w="900" w:type="dxa"/>
            <w:vAlign w:val="bottom"/>
            <w:tcBorders>
              <w:bottom w:val="single" w:sz="8" w:color="auto"/>
            </w:tcBorders>
            <w:gridSpan w:val="2"/>
            <w:vMerge w:val="continue"/>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500" w:type="dxa"/>
            <w:vAlign w:val="bottom"/>
            <w:tcBorders>
              <w:bottom w:val="single" w:sz="8" w:color="auto"/>
            </w:tcBorders>
            <w:gridSpan w:val="2"/>
            <w:vMerge w:val="continue"/>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gridSpan w:val="2"/>
            <w:vMerge w:val="continue"/>
            <w:shd w:val="clear" w:color="auto" w:fill="CCEEFF"/>
          </w:tcPr>
          <w:p>
            <w:pPr>
              <w:spacing w:after="0"/>
              <w:rPr>
                <w:sz w:val="6"/>
                <w:szCs w:val="6"/>
                <w:color w:val="auto"/>
              </w:rPr>
            </w:pPr>
          </w:p>
        </w:tc>
        <w:tc>
          <w:tcPr>
            <w:tcW w:w="100" w:type="dxa"/>
            <w:vAlign w:val="bottom"/>
            <w:tcBorders>
              <w:bottom w:val="single" w:sz="8" w:color="auto"/>
            </w:tcBorders>
            <w:vMerge w:val="continue"/>
            <w:shd w:val="clear" w:color="auto" w:fill="CCEEFF"/>
          </w:tcPr>
          <w:p>
            <w:pPr>
              <w:spacing w:after="0"/>
              <w:rPr>
                <w:sz w:val="6"/>
                <w:szCs w:val="6"/>
                <w:color w:val="auto"/>
              </w:rPr>
            </w:pPr>
          </w:p>
        </w:tc>
        <w:tc>
          <w:tcPr>
            <w:tcW w:w="1020" w:type="dxa"/>
            <w:vAlign w:val="bottom"/>
            <w:tcBorders>
              <w:bottom w:val="single" w:sz="8" w:color="auto"/>
            </w:tcBorders>
            <w:gridSpan w:val="2"/>
            <w:vMerge w:val="continue"/>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gridSpan w:val="2"/>
            <w:vMerge w:val="continue"/>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3360" w:type="dxa"/>
            <w:vAlign w:val="bottom"/>
          </w:tcPr>
          <w:p>
            <w:pPr>
              <w:ind w:left="40"/>
              <w:spacing w:after="0"/>
              <w:rPr>
                <w:sz w:val="20"/>
                <w:szCs w:val="20"/>
                <w:color w:val="auto"/>
              </w:rPr>
            </w:pPr>
            <w:r>
              <w:rPr>
                <w:rFonts w:ascii="Arial" w:cs="Arial" w:eastAsia="Arial" w:hAnsi="Arial"/>
                <w:sz w:val="14"/>
                <w:szCs w:val="14"/>
                <w:color w:val="auto"/>
              </w:rPr>
              <w:t>BALANCE AT DECEMBER 31, 2017</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4"/>
              </w:rPr>
              <w:t>405,896</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86"/>
              </w:rPr>
              <w:t>159,997</w:t>
            </w:r>
          </w:p>
        </w:tc>
        <w:tc>
          <w:tcPr>
            <w:tcW w:w="100" w:type="dxa"/>
            <w:vAlign w:val="bottom"/>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4"/>
              </w:rPr>
              <w:t>73,090,877</w:t>
            </w:r>
          </w:p>
        </w:tc>
        <w:tc>
          <w:tcPr>
            <w:tcW w:w="120" w:type="dxa"/>
            <w:vAlign w:val="bottom"/>
          </w:tcPr>
          <w:p>
            <w:pPr>
              <w:spacing w:after="0"/>
              <w:rPr>
                <w:sz w:val="22"/>
                <w:szCs w:val="22"/>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733</w:t>
            </w:r>
          </w:p>
        </w:tc>
        <w:tc>
          <w:tcPr>
            <w:tcW w:w="120" w:type="dxa"/>
            <w:vAlign w:val="bottom"/>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89"/>
              </w:rPr>
              <w:t>$ 2,855,321</w:t>
            </w:r>
          </w:p>
        </w:tc>
        <w:tc>
          <w:tcPr>
            <w:tcW w:w="100" w:type="dxa"/>
            <w:vAlign w:val="bottom"/>
          </w:tcPr>
          <w:p>
            <w:pPr>
              <w:spacing w:after="0"/>
              <w:rPr>
                <w:sz w:val="22"/>
                <w:szCs w:val="22"/>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(749,367)</w:t>
            </w:r>
          </w:p>
        </w:tc>
        <w:tc>
          <w:tcPr>
            <w:tcW w:w="120" w:type="dxa"/>
            <w:vAlign w:val="bottom"/>
          </w:tcPr>
          <w:p>
            <w:pPr>
              <w:spacing w:after="0"/>
              <w:rPr>
                <w:sz w:val="22"/>
                <w:szCs w:val="22"/>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124,808</w:t>
            </w:r>
          </w:p>
        </w:tc>
        <w:tc>
          <w:tcPr>
            <w:tcW w:w="120" w:type="dxa"/>
            <w:vAlign w:val="bottom"/>
          </w:tcPr>
          <w:p>
            <w:pPr>
              <w:spacing w:after="0"/>
              <w:rPr>
                <w:sz w:val="22"/>
                <w:szCs w:val="22"/>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2,391,514</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6"/>
          <w:szCs w:val="16"/>
          <w:color w:val="auto"/>
        </w:rPr>
        <w:t>The accompanying notes are an integral part of these consolidated statements.</w:t>
      </w:r>
    </w:p>
    <w:p>
      <w:pPr>
        <w:sectPr>
          <w:pgSz w:w="11900" w:h="16838" w:orient="portrait"/>
          <w:cols w:equalWidth="0" w:num="1">
            <w:col w:w="11420"/>
          </w:cols>
          <w:pgMar w:left="240" w:top="126" w:right="239" w:bottom="372" w:gutter="0" w:footer="0" w:header="0"/>
        </w:sect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126" w:right="239" w:bottom="372" w:gutter="0" w:footer="0" w:header="0"/>
          <w:type w:val="continuous"/>
        </w:sectPr>
      </w:pPr>
    </w:p>
    <w:bookmarkStart w:id="64" w:name="page65"/>
    <w:bookmarkEnd w:id="64"/>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center"/>
              <w:ind w:left="571"/>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6"/>
                <w:szCs w:val="16"/>
                <w:color w:val="auto"/>
              </w:rPr>
            </w:pPr>
          </w:p>
        </w:tc>
      </w:tr>
      <w:tr>
        <w:trPr>
          <w:trHeight w:val="263"/>
        </w:trPr>
        <w:tc>
          <w:tcPr>
            <w:tcW w:w="7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r>
      <w:tr>
        <w:trPr>
          <w:trHeight w:val="190"/>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55"/>
        </w:trPr>
        <w:tc>
          <w:tcPr>
            <w:tcW w:w="778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297,870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258,883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218,424</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216,050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174,796</w:t>
            </w:r>
          </w:p>
        </w:tc>
      </w:tr>
      <w:tr>
        <w:trPr>
          <w:trHeight w:val="243"/>
        </w:trPr>
        <w:tc>
          <w:tcPr>
            <w:tcW w:w="7780" w:type="dxa"/>
            <w:vAlign w:val="bottom"/>
          </w:tcPr>
          <w:p>
            <w:pPr>
              <w:ind w:left="70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(77,922)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(32,458)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(28,330)</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Early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19,072</w:t>
            </w:r>
          </w:p>
        </w:tc>
      </w:tr>
      <w:tr>
        <w:trPr>
          <w:trHeight w:val="243"/>
        </w:trPr>
        <w:tc>
          <w:tcPr>
            <w:tcW w:w="7780" w:type="dxa"/>
            <w:vAlign w:val="bottom"/>
          </w:tcPr>
          <w:p>
            <w:pPr>
              <w:ind w:left="700"/>
              <w:spacing w:after="0"/>
              <w:rPr>
                <w:sz w:val="20"/>
                <w:szCs w:val="20"/>
                <w:color w:val="auto"/>
              </w:rPr>
            </w:pPr>
            <w:r>
              <w:rPr>
                <w:rFonts w:ascii="Arial" w:cs="Arial" w:eastAsia="Arial" w:hAnsi="Arial"/>
                <w:sz w:val="18"/>
                <w:szCs w:val="18"/>
                <w:color w:val="auto"/>
              </w:rPr>
              <w:t>Loss (income) from real estate partnerships</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(1,416)</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Decrease (increase) in 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(9,200)</w:t>
            </w:r>
          </w:p>
        </w:tc>
      </w:tr>
      <w:tr>
        <w:trPr>
          <w:trHeight w:val="243"/>
        </w:trPr>
        <w:tc>
          <w:tcPr>
            <w:tcW w:w="7780" w:type="dxa"/>
            <w:vAlign w:val="bottom"/>
          </w:tcPr>
          <w:p>
            <w:pPr>
              <w:ind w:left="700"/>
              <w:spacing w:after="0"/>
              <w:rPr>
                <w:sz w:val="20"/>
                <w:szCs w:val="20"/>
                <w:color w:val="auto"/>
              </w:rPr>
            </w:pPr>
            <w:r>
              <w:rPr>
                <w:rFonts w:ascii="Arial" w:cs="Arial" w:eastAsia="Arial" w:hAnsi="Arial"/>
                <w:sz w:val="18"/>
                <w:szCs w:val="18"/>
                <w:color w:val="auto"/>
              </w:rPr>
              <w:t>Increase in prepaid expenses and other assets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(6,695)</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Increase (decrease) in accounts payable and 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r>
      <w:tr>
        <w:trPr>
          <w:trHeight w:val="243"/>
        </w:trPr>
        <w:tc>
          <w:tcPr>
            <w:tcW w:w="7780" w:type="dxa"/>
            <w:vAlign w:val="bottom"/>
          </w:tcPr>
          <w:p>
            <w:pPr>
              <w:ind w:left="700"/>
              <w:spacing w:after="0"/>
              <w:rPr>
                <w:sz w:val="20"/>
                <w:szCs w:val="20"/>
                <w:color w:val="auto"/>
              </w:rPr>
            </w:pPr>
            <w:r>
              <w:rPr>
                <w:rFonts w:ascii="Arial" w:cs="Arial" w:eastAsia="Arial" w:hAnsi="Arial"/>
                <w:sz w:val="18"/>
                <w:szCs w:val="18"/>
                <w:color w:val="auto"/>
              </w:rPr>
              <w:t>Increase (decrease) in security deposits and other liabilities</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3,729</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459,177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423,705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369,046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(436,652)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(154,313)</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Capital expenditures - development and redevelopment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(441,984)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(379,720)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(236,437)</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 other</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(46,096)</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Proceeds from sale of real estate and real estate partnership interests</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136,055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97,422</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(2,802)</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Distribution from real estate partnership in excess of earnings</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3,910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512</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Leasing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(22,382)</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(Issuance) repayment of mortgage and other notes receivable,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11,626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10,333</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(836,802)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(590,221)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(353,763)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borrowings (repayment) under revolving credit facility, net of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53,500</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Issuance of senior notes, net of costs</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572,134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241,795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456,151</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Redemption and retirement of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(219,228)</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Repayment of mortgages, capital leases, and notes payable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(56,328)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(49,559)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(181,315)</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shares, net of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118,583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329,103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110,855</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Issuance of preferred shares, net of costs</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144,991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 to common and preferred shareholders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(282,995)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(267,694)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(243,314)</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Shares withheld for employee taxes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(9,211)</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Contributions from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Distributions to and redemptions of noncontrolling interests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(9,626)</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369,445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168,838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(42,188)</w:t>
            </w:r>
          </w:p>
        </w:tc>
      </w:tr>
      <w:tr>
        <w:trPr>
          <w:trHeight w:val="236"/>
        </w:trPr>
        <w:tc>
          <w:tcPr>
            <w:tcW w:w="7780" w:type="dxa"/>
            <w:vAlign w:val="bottom"/>
          </w:tcPr>
          <w:p>
            <w:pPr>
              <w:ind w:left="40"/>
              <w:spacing w:after="0"/>
              <w:rPr>
                <w:sz w:val="20"/>
                <w:szCs w:val="20"/>
                <w:color w:val="auto"/>
              </w:rPr>
            </w:pPr>
            <w:r>
              <w:rPr>
                <w:rFonts w:ascii="Arial" w:cs="Arial" w:eastAsia="Arial" w:hAnsi="Arial"/>
                <w:sz w:val="18"/>
                <w:szCs w:val="18"/>
                <w:color w:val="auto"/>
              </w:rPr>
              <w:t>(Decrease) increase in cash and cash equivalents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2,322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(26,905)</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23,368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47,951</w:t>
            </w:r>
          </w:p>
        </w:tc>
      </w:tr>
      <w:tr>
        <w:trPr>
          <w:trHeight w:val="236"/>
        </w:trPr>
        <w:tc>
          <w:tcPr>
            <w:tcW w:w="7780" w:type="dxa"/>
            <w:vAlign w:val="bottom"/>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15,188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23,368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21,046</w:t>
            </w: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20"/>
          </w:cols>
          <w:pgMar w:left="240" w:top="126" w:right="239" w:bottom="1440" w:gutter="0" w:footer="0" w:header="0"/>
          <w:type w:val="continuous"/>
        </w:sectPr>
      </w:pPr>
    </w:p>
    <w:bookmarkStart w:id="65" w:name="page66"/>
    <w:bookmarkEnd w:id="65"/>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2017, 2016 and 2015</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9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California, and South Florida. As of December 31, 2017, we owned or had a majority interest in community and neighborhood shopping centers and mixed-use properties which are operated as 104 predominantly retail real estate projects.</w:t>
      </w:r>
    </w:p>
    <w:p>
      <w:pPr>
        <w:spacing w:after="0" w:line="137" w:lineRule="exact"/>
        <w:rPr>
          <w:sz w:val="20"/>
          <w:szCs w:val="20"/>
          <w:color w:val="auto"/>
        </w:rPr>
      </w:pPr>
    </w:p>
    <w:p>
      <w:pPr>
        <w:ind w:right="40"/>
        <w:spacing w:after="0" w:line="341" w:lineRule="auto"/>
        <w:rPr>
          <w:sz w:val="20"/>
          <w:szCs w:val="20"/>
          <w:color w:val="auto"/>
        </w:rPr>
      </w:pPr>
      <w:r>
        <w:rPr>
          <w:rFonts w:ascii="Arial" w:cs="Arial" w:eastAsia="Arial" w:hAnsi="Arial"/>
          <w:sz w:val="16"/>
          <w:szCs w:val="16"/>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 Certain 2016 and 2015 amounts have been reclassified to conform to current period presentation.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Accounts Receivable</w:t>
      </w:r>
    </w:p>
    <w:p>
      <w:pPr>
        <w:spacing w:after="0" w:line="9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leases with tenants are classified as operating leases. Substantially all such leases contain fixed escalations which occur at specified times during the term of the lease. Base rents are recognized on a straight-line basis from when the tenant controls the space through the term of the related lease, net of valuation adjustments, based on management’s assessment of credit, collection and other business risk. Percentage rents, which represent additional rents based upon the level of sales achieved by certain tenants, are recognized at the end of the lease year or earlier if we have determined the required sales level is achieved and the percentage rents are collectible. Real estate tax and other cost reimbursements are recognized on an accrual basis over the periods in which the related expenditures are incurred. For a tenant to terminate its lease agreement prior to the end of the agreed term, we may require that they pay a fee to cancel the lease agreement. Lease termination fees for which the tenant has relinquished control of the space are generally recognized on the termination date. When a lease is terminated early but the tenant continues to control the space under a modified lease agreement, the lease termination fee is generally recognized evenly over the remaining term of the modified lease agreement.</w:t>
      </w:r>
    </w:p>
    <w:p>
      <w:pPr>
        <w:spacing w:after="0" w:line="1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make estimates of the collectability of our accounts receivable related to minimum rents, straight-line rents, expense reimbursements and other revenue. Accounts receivable is carried net of this allowance for doubtful accounts. Our determination as to the collectability of accounts receivable and correspondingly, the adequacy of this allowance, is based primarily upon evaluations of individual receivables, current economic conditions, historical experience and other relevant factors. The allowance for doubtful accounts is increased or decreased through bad debt expense. Accounts receivable are written-off when they are deemed to be uncollectible and we are no longer actively pursuing collection. At December 31, 2017 and 2016, our allowance for doubtful accounts was $11.8 million and $11.9 million, respectively.</w:t>
      </w:r>
    </w:p>
    <w:p>
      <w:pPr>
        <w:spacing w:after="0" w:line="13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some cases, primarily relating to straight-line rents, the collection of accounts receivable extends beyond one year. Our experience relative to unbilled straight-line rents is that a portion of the amounts otherwise recognizable as revenue is never billed to or collected from tenants due to early lease terminations, lease modifications, bankruptcies and other factors. Accordingly, the extended collection period for straight-line rents along with our evaluation of tenant credit risk may result in</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80"/>
          </w:cols>
          <w:pgMar w:left="240" w:top="126" w:right="27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nonrecognition of a portion of straight-line rental income until the collection of such income is reasonably assured. If our evaluation of tenant credit risk changes indicating more straight-line revenue is reasonably collectible than previously estimated and realized, the additional straight-line rental income is recognized as revenue. If our evaluation of tenant credit risk changes indicating a portion of realized straight-line rental income is no longer collectible, a reserve and bad debt expense is recorded. At December 31, 2017 and 2016, accounts receivable include approximately $93.1 million and $80.6 million, respectively, related to straight-line rents.</w:t>
      </w:r>
    </w:p>
    <w:p>
      <w:pPr>
        <w:spacing w:after="0" w:line="13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are currently under construction on 221 condominium units at our Assembly Row and Pike &amp; Rose properties. Gains or losses on the sale of these condominium units are recognized in accordance with the provisions of ASC Topic 360-20, “Property, Plant and Equipment – Real Estate Sales.” We account for contracted condominium sales under the percentage-of completion method, based on an evaluation of the criteria specified in ASC Topic 360-20 including: the legal commitment of the purchaser in the real estate contract, whether the construction of the project is beyond a preliminary phase, whether sufficient units have been contracted to ensure the project will not revert to a rental project, the ability to reasonably estimate the aggregate project sale proceeds and aggregate project costs, and the determination that the buyer has made an adequate initial and continuing cash investment under the contract. When the percentage-of-completion criteria have not been met, no profit is recognized. The application of these criteria can be complex and requires us to make assumptions. See "Recent Accounting Pronouncements," for discussion of change in timing of revenue recognition with the adoption of ASU 2014-09 on January 1, 2018.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w:t>
      </w:r>
    </w:p>
    <w:p>
      <w:pPr>
        <w:spacing w:after="0" w:line="9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Land, buildings and improvements are recorded at cost. Depreciation is computed using the straight-line method. Estimated useful lives range generally from 35 years to a maximum of 50 years on buildings and major improvements. Minor improvements, furniture and equipment are capitalized and depreciated over useful lives ranging from 2 to 20 years. Maintenance and repairs that do not improve or extend the useful lives of the related assets are charged to operations as incurred. Tenant improvements are capitalized and depreciated over the life of the related lease or their estimated useful life, whichever is shorter. If a tenant vacates its space prior to contractual termination of its lease, the undepreciated balance of any tenant improvements are written off if they are replaced or have no future value. In 2017, 2016 and 2015, real estate depreciation expense was $193.3 million, $173.2 million and $156.5 million, respectively, including amounts from real estate sold and assets under capital lease obligations.</w:t>
      </w:r>
    </w:p>
    <w:p>
      <w:pPr>
        <w:spacing w:after="0" w:line="122" w:lineRule="exact"/>
        <w:rPr>
          <w:sz w:val="20"/>
          <w:szCs w:val="20"/>
          <w:color w:val="auto"/>
        </w:rPr>
      </w:pPr>
    </w:p>
    <w:p>
      <w:pPr>
        <w:ind w:right="680"/>
        <w:spacing w:after="0" w:line="286" w:lineRule="auto"/>
        <w:rPr>
          <w:sz w:val="20"/>
          <w:szCs w:val="20"/>
          <w:color w:val="auto"/>
        </w:rPr>
      </w:pPr>
      <w:r>
        <w:rPr>
          <w:rFonts w:ascii="Arial" w:cs="Arial" w:eastAsia="Arial" w:hAnsi="Arial"/>
          <w:sz w:val="17"/>
          <w:szCs w:val="17"/>
          <w:color w:val="auto"/>
        </w:rPr>
        <w:t>Sales of real estate are recognized only when sufficient down payments have been obtained, possession and other attributes of ownership have been transferred to the buyer and we have no significant continuing involvement. The application of these criteria can be complex and requires us to make assumptions. We believe these criteria were met for all real estate sold during the periods presented.</w:t>
      </w:r>
    </w:p>
    <w:p>
      <w:pPr>
        <w:spacing w:after="0" w:line="3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methodology of allocating the cost of acquisitions to assets acquired and liabilities assumed is based on estimated fair values, replacement cost and/or appraised values. When we acquire operating real estate properties, the purchase price is allocated to land, building, improvements, leasing costs, intangibles such as in-place leases, assumed debt, if any, and to current assets and liabilities acquired, if any. The value allocated to in-place leases is amortized over the related lease term and reflected as rental income in the consolidated statements of comprehensive income. We consider qualitative and quantitative factors in evaluating the likelihood of a tenant exercising a below market renewal option and include such renewal options in the calculation of in-place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in-place lease value is written off to rental income.</w:t>
      </w:r>
    </w:p>
    <w:p>
      <w:pPr>
        <w:spacing w:after="0" w:line="123"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Transaction costs related to asset acquisitions, such as broker fees, transfer taxes, legal, accounting, valuation, and other professional and consulting fees, are capitalized as part of the acquisition cost. The acquisition of an operating shopping center typically qualifies as an asset acquisition. See "Recent Accounting Pronouncements" for further discussion.</w:t>
      </w:r>
    </w:p>
    <w:p>
      <w:pPr>
        <w:spacing w:after="0" w:line="1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When applicable, as lessee, we classify our leases of land and building as operating or capital leases. We are required to use judgment and make estimates in determining the lease term, the estimated economic life of the property and the interest rate to be used in determining whether or not the lease meets the qualification of a capital lease and is recorded as an asset.</w:t>
      </w:r>
    </w:p>
    <w:p>
      <w:pPr>
        <w:spacing w:after="0" w:line="129"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We capitalize certain costs related to the development and redevelopment of real estate including pre-construction costs, real estate taxes, insurance, construction costs and salaries and related costs of personnel directly involved. Additionally, we capitalize interest costs related to development and redevelopment activities. Capitalization of these costs begin when the activities and related expenditures commence and cease when the project is substantially complete and ready for its intended use at which time the project is placed in service and depreciation commences. Additionally, we make estimates as to the</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126" w:right="25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probability of certain development and redevelopment projects being completed. If we determine the development or redevelopment is no longer probable of completion, we expense all capitalized costs which are not recoverable.</w:t>
      </w:r>
    </w:p>
    <w:p>
      <w:pPr>
        <w:spacing w:after="0" w:line="116"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We review for impairment on a property by property basis. Impairment is recognized on properties held for use when the expected undiscounted cash flows for a property are less than its carrying amount at which time the property is written-down to fair value. Properties held for sale are recorded at the lower of the carrying amount or the expected sales price less costs to sell.</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define cash and cash equivalents as cash on hand, demand deposits with financial institutions and short term liquid investments with an initial maturity, when purchased, under three months. Cash balances in individual banks may exceed the federally insured limit by the Federal Deposit Insurance Corporation (the “FDIC”). At December 31, 2017, we had $19.6 million in excess of the FDIC insured limit.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Other Assets</w:t>
      </w:r>
    </w:p>
    <w:p>
      <w:pPr>
        <w:spacing w:after="0" w:line="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Prepaid expenses and other assets consist primarily of lease costs, prepaid property taxes and acquired above market leases. Capitalized lease costs are direct costs incurred which were essential to originate a lease and would not have been incurred had the leasing transaction not taken place and include third party commissions and salaries and related costs of personnel directly related to time spent obtaining a lease. Capitalized lease costs are amortized over the life of the related lease. If a tenant vacates its space prior to the contractual termination of its lease, the unamortized balance of any previously capitalized lease costs are written off.</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9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Costs related to the issuance of debt instruments are deferred and are amortized as interest expense over the estimated life of the related issue using the straight-line method which approximates the effective interest method. If a debt instrument is paid off prior to its original maturity date, the unamortized balance of debt issuance costs are written off to interest expense or, if significant, included in “early extinguishment of debt.” Debt issuance costs related to our revolving credit facility are classified as an asset and are included in "prepaid expenses and other assets" in our consolidated balance sheets. All other debt issuance costs are presented as a direct deduction from the carrying amount of the debt liability.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94" w:lineRule="exact"/>
        <w:rPr>
          <w:sz w:val="20"/>
          <w:szCs w:val="20"/>
          <w:color w:val="auto"/>
        </w:rPr>
      </w:pPr>
    </w:p>
    <w:p>
      <w:pPr>
        <w:jc w:val="both"/>
        <w:ind w:right="500"/>
        <w:spacing w:after="0" w:line="286" w:lineRule="auto"/>
        <w:rPr>
          <w:sz w:val="20"/>
          <w:szCs w:val="20"/>
          <w:color w:val="auto"/>
        </w:rPr>
      </w:pPr>
      <w:r>
        <w:rPr>
          <w:rFonts w:ascii="Arial" w:cs="Arial" w:eastAsia="Arial" w:hAnsi="Arial"/>
          <w:sz w:val="17"/>
          <w:szCs w:val="17"/>
          <w:color w:val="auto"/>
        </w:rPr>
        <w:t>At times, 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1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accumulated other comprehensive loss and is subsequently reclassified into interest expense as interest is incurred on the related variable rate debt; within the next twelve months, we expect to reclassify less than an estimated $0.1 million as an increase to interest expense.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 worthiness of the counterparty. When ineffectiveness exists, the ineffective portion of changes in fair value of the interest rate swaps associated with our cash flow hedges is recognized in earnings in the period affected. Hedge ineffectiveness did not impact earnings in 2017, 2016 or 2015, and we do not anticipate it will have a significant effect in the future.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See Note 6 for additional disclosures relating to our two existing interest rate swap agreements.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Notes Receivable</w:t>
      </w:r>
    </w:p>
    <w:p>
      <w:pPr>
        <w:spacing w:after="0" w:line="9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have made certain mortgage loans that, because of their nature, qualify as loan receivables. At the time the loans were made, we did not intend for the arrangement to be anything other than a financing and did not contemplate a real estate investment. We evaluate each investment to determine whether the loan arrangement qualifies as a loan, joint venture or real estate investment and the appropriate accounting thereon. Such determination affects our balance sheet classification of these investments and the recognition of interest income derived therefrom. We receive additional interest, however, we never receive in excess of 50% of the residual profit in the project, and because the borrower has either a substantial investment in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26" w:right="2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project or has guaranteed all or a portion of our loan (or a combination thereof), the loans qualify for loan accounting. The amounts under these arrangements are presented as mortgage notes receivable at December 31, 2017 and 2016.</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Mortgage notes receivable are recorded at cost, net of any valuation adjustments. Interest income is accrued as earned. Mortgage notes receivable are considered past due based on the contractual terms of the note agreement. On a quarterly basis, we evaluate the collectability of each mortgage note receivable based on various factors which may include payment history, expected fair value of the collateral securing the loan, internal and external credit information and/or economic trends. A loan is considered impaired when, based upon current information and events, it is probable that we will be unable to collect all amounts due under the existing contractual terms. When a loan is considered impaired, the amount of the loss accrual is calculated by comparing the carrying amount of the mortgage note receivable to the present value of expected future cash flows. Since our loans are collateralized by a first mortgage, the loans have risk characteristics similar to the risks in owning commercial real estate.</w:t>
      </w:r>
    </w:p>
    <w:p>
      <w:pPr>
        <w:spacing w:after="0" w:line="122" w:lineRule="exact"/>
        <w:rPr>
          <w:sz w:val="20"/>
          <w:szCs w:val="20"/>
          <w:color w:val="auto"/>
        </w:rPr>
      </w:pPr>
    </w:p>
    <w:p>
      <w:pPr>
        <w:ind w:right="240"/>
        <w:spacing w:after="0" w:line="307" w:lineRule="auto"/>
        <w:rPr>
          <w:sz w:val="20"/>
          <w:szCs w:val="20"/>
          <w:color w:val="auto"/>
        </w:rPr>
      </w:pPr>
      <w:r>
        <w:rPr>
          <w:rFonts w:ascii="Arial" w:cs="Arial" w:eastAsia="Arial" w:hAnsi="Arial"/>
          <w:sz w:val="17"/>
          <w:szCs w:val="17"/>
          <w:color w:val="auto"/>
        </w:rPr>
        <w:t>At December 31, 2017 and 2016, we had two mortgage notes receivable, with aggregate carrying amounts of $30.4 million and $29.9 million, respectively, with a weighted average interest rate of 10.0% and 9.9%, respectively, which were secured by first mortgages on retail buildings.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Based Compensation</w:t>
      </w:r>
    </w:p>
    <w:p>
      <w:pPr>
        <w:spacing w:after="0" w:line="9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grant share based compensation awards to employees and trustees typically in the form of restricted common shares, common shares, and options. We measure share based compensation expense based on the grant date fair value of the award and recognize the expense ratably over the requisite service period, which is typically the vesting period. See Note 12 for further discussion regarding our share based compensation plans and policies. Effective January 1, 2017, we adopted ASU 2016-09, "Compensation-Stock Compensation," which impacts accounting for forfeitures and the classification for shares withheld for employee taxes on the Statement of Cash Flows. See "Recent Accounting Pronouncements" for further discussion.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9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Certain entities that do not have sufficient equity at risk for the entity to finance its activities without additional subordinated financial support from other parties or in which equity investors do not have the characteristics of a controlling financial interest qualify as VIEs. VIEs are required to be consolidated by their primary beneficiary. The primary beneficiary of a VIE has both the power to direct the activities that most significantly impact economic performance of the VIE and the obligation to absorb losses or the right to receive benefits that could potentially be significant to the VIE.</w:t>
      </w:r>
    </w:p>
    <w:p>
      <w:pPr>
        <w:spacing w:after="0" w:line="1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17 entities that meet the criteria of a VIE in which we hold a variable interest. For each of these entities we control the significant operating decisions and consequently have the power to direct the activities that most significantly impact the economic performance of the entities. As we also have the obligation to absorb the majority of the losses and/or the right to receive a majority of the benefits for each of these entities, all are consolidated in our financial statements. Net real estate assets and mortgage payables related to variable interest entities included in our consolidated balance sheets were approximately $1.4 billion and $460.4 million, respectively, as of December 31, 2017, and $1.0 billion and $439.1 million, respectively, as of December 31, 2016.</w:t>
      </w:r>
    </w:p>
    <w:p>
      <w:pPr>
        <w:spacing w:after="0" w:line="13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our equity method investments in the Pike &amp; Rose hotel joint venture and the La Alameda shopping center are also considered variable interests in a VIE. As we do not control the activities that most significantly impact the economic performance of the joint ventures, we are not the primary beneficiary and do not consolidate. As of December 31, 2017 and 2016 our investment in the joint ventures and maximum exposure to loss was $23.9 million and $13.5 million, respectively.</w:t>
      </w:r>
    </w:p>
    <w:p>
      <w:pPr>
        <w:spacing w:after="0" w:line="132" w:lineRule="exact"/>
        <w:rPr>
          <w:sz w:val="20"/>
          <w:szCs w:val="20"/>
          <w:color w:val="auto"/>
        </w:rPr>
      </w:pPr>
    </w:p>
    <w:p>
      <w:pPr>
        <w:ind w:right="400"/>
        <w:spacing w:after="0" w:line="307" w:lineRule="auto"/>
        <w:rPr>
          <w:sz w:val="20"/>
          <w:szCs w:val="20"/>
          <w:color w:val="auto"/>
        </w:rPr>
      </w:pPr>
      <w:r>
        <w:rPr>
          <w:rFonts w:ascii="Arial" w:cs="Arial" w:eastAsia="Arial" w:hAnsi="Arial"/>
          <w:sz w:val="17"/>
          <w:szCs w:val="17"/>
          <w:color w:val="auto"/>
        </w:rPr>
        <w:t>We have also evaluated our mortgage notes receivable investments and determined that the entities obligated under the mortgage notes are not VIEs. Our equity method investments and mortgage notes receivable balances are presented separately in our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Noncontrolling Interests</w:t>
      </w:r>
    </w:p>
    <w:p>
      <w:pPr>
        <w:spacing w:after="0" w:line="9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have certain noncontrolling interests that are redeemable for cash upon the occurrence of an event that is not solely in our control and therefore are classified outside of permanent equity. We adjust the carrying amounts of these noncontrolling interests that are currently redeemable to redemption value at the balance sheet date. Adjustments to the carrying amount to reflect changes in redemption value are recorded as adjustments to additional paid-in capital in shareholders' equity. These amounts are classified within the mezzanine section of the consolidated balance sheets.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26" w:right="2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rollforward of the redeemable noncontrolling interests: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w w:val="93"/>
              </w:rPr>
              <w:t>Year Ended</w:t>
            </w:r>
          </w:p>
        </w:tc>
        <w:tc>
          <w:tcPr>
            <w:tcW w:w="820" w:type="dxa"/>
            <w:vAlign w:val="bottom"/>
          </w:tcPr>
          <w:p>
            <w:pPr>
              <w:spacing w:after="0"/>
              <w:rPr>
                <w:sz w:val="16"/>
                <w:szCs w:val="16"/>
                <w:color w:val="auto"/>
              </w:rPr>
            </w:pPr>
          </w:p>
        </w:tc>
      </w:tr>
      <w:tr>
        <w:trPr>
          <w:trHeight w:val="276"/>
        </w:trPr>
        <w:tc>
          <w:tcPr>
            <w:tcW w:w="88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Borders>
              <w:bottom w:val="single" w:sz="8" w:color="auto"/>
            </w:tcBorders>
          </w:tcPr>
          <w:p>
            <w:pPr>
              <w:spacing w:after="0"/>
              <w:rPr>
                <w:sz w:val="23"/>
                <w:szCs w:val="23"/>
                <w:color w:val="auto"/>
              </w:rPr>
            </w:pPr>
          </w:p>
        </w:tc>
      </w:tr>
      <w:tr>
        <w:trPr>
          <w:trHeight w:val="263"/>
        </w:trPr>
        <w:tc>
          <w:tcPr>
            <w:tcW w:w="8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50"/>
        </w:trPr>
        <w:tc>
          <w:tcPr>
            <w:tcW w:w="8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3"/>
          </w:tcPr>
          <w:p>
            <w:pPr>
              <w:jc w:val="center"/>
              <w:ind w:left="477"/>
              <w:spacing w:after="0"/>
              <w:rPr>
                <w:sz w:val="20"/>
                <w:szCs w:val="20"/>
                <w:color w:val="auto"/>
              </w:rPr>
            </w:pPr>
            <w:r>
              <w:rPr>
                <w:rFonts w:ascii="Arial" w:cs="Arial" w:eastAsia="Arial" w:hAnsi="Arial"/>
                <w:sz w:val="14"/>
                <w:szCs w:val="14"/>
                <w:color w:val="auto"/>
                <w:w w:val="91"/>
              </w:rPr>
              <w:t>(In thousands)</w:t>
            </w:r>
          </w:p>
        </w:tc>
        <w:tc>
          <w:tcPr>
            <w:tcW w:w="820" w:type="dxa"/>
            <w:vAlign w:val="bottom"/>
          </w:tcPr>
          <w:p>
            <w:pPr>
              <w:spacing w:after="0"/>
              <w:rPr>
                <w:sz w:val="21"/>
                <w:szCs w:val="2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143,694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137,316</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Contributions</w:t>
            </w: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11,109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2,713</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Distributions &amp; Redemptions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(16,426)</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redemption value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20,091</w:t>
            </w:r>
          </w:p>
        </w:tc>
      </w:tr>
      <w:tr>
        <w:trPr>
          <w:trHeight w:val="250"/>
        </w:trPr>
        <w:tc>
          <w:tcPr>
            <w:tcW w:w="880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141,157</w:t>
            </w:r>
          </w:p>
        </w:tc>
        <w:tc>
          <w:tcPr>
            <w:tcW w:w="100" w:type="dxa"/>
            <w:vAlign w:val="bottom"/>
          </w:tcPr>
          <w:p>
            <w:pPr>
              <w:spacing w:after="0"/>
              <w:rPr>
                <w:sz w:val="21"/>
                <w:szCs w:val="21"/>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143,694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5589905</wp:posOffset>
            </wp:positionH>
            <wp:positionV relativeFrom="paragraph">
              <wp:posOffset>8255</wp:posOffset>
            </wp:positionV>
            <wp:extent cx="16617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4">
                      <a:extLst>
                        <a:ext uri="{28A0092B-C50C-407E-A947-70E740481C1C}"/>
                      </a:extLst>
                    </a:blip>
                    <a:srcRect/>
                    <a:stretch>
                      <a:fillRect/>
                    </a:stretch>
                  </pic:blipFill>
                  <pic:spPr bwMode="auto">
                    <a:xfrm>
                      <a:off x="0" y="0"/>
                      <a:ext cx="1661795" cy="8255"/>
                    </a:xfrm>
                    <a:prstGeom prst="rect">
                      <a:avLst/>
                    </a:prstGeom>
                    <a:noFill/>
                  </pic:spPr>
                </pic:pic>
              </a:graphicData>
            </a:graphic>
          </wp:anchor>
        </w:drawing>
      </w:r>
    </w:p>
    <w:p>
      <w:pPr>
        <w:spacing w:after="0" w:line="2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January 12, 2017, we exercised our purchase option on non-controlling interests in San Antonio Center for $2.6 million of cash and 44,195 of downREIT operating partnership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5589905</wp:posOffset>
            </wp:positionH>
            <wp:positionV relativeFrom="paragraph">
              <wp:posOffset>-302260</wp:posOffset>
            </wp:positionV>
            <wp:extent cx="1661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5">
                      <a:extLst>
                        <a:ext uri="{28A0092B-C50C-407E-A947-70E740481C1C}"/>
                      </a:extLst>
                    </a:blip>
                    <a:srcRect/>
                    <a:stretch>
                      <a:fillRect/>
                    </a:stretch>
                  </pic:blipFill>
                  <pic:spPr bwMode="auto">
                    <a:xfrm>
                      <a:off x="0" y="0"/>
                      <a:ext cx="1661795" cy="8255"/>
                    </a:xfrm>
                    <a:prstGeom prst="rect">
                      <a:avLst/>
                    </a:prstGeom>
                    <a:noFill/>
                  </pic:spPr>
                </pic:pic>
              </a:graphicData>
            </a:graphic>
          </wp:anchor>
        </w:drawing>
      </w:r>
    </w:p>
    <w:p>
      <w:pPr>
        <w:spacing w:after="0" w:line="1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February 12, 2016, we acquired the 10% noncontrolling interest in the partnership that owns our Hollywood Blvd project for $13.0 million, bringing our ownership interest to 100%.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1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have elected to treat certain of our subsidiaries as taxable REIT subsidiaries, which we refer to as a TRS. In general, a TRS may engage in any real estate business and certain non-real estate businesses, subject to certain limitations under the Internal Revenue Code of 1986, as amended (the “Code”). A TRS is subject to federal and state income taxes. Our TRS activities have not been material.</w:t>
      </w:r>
    </w:p>
    <w:p>
      <w:pPr>
        <w:spacing w:after="0" w:line="1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With few exceptions, we are no longer subject to U.S. federal, state, and local tax examinations by tax authorities for years before 2013. As of December 31, 2017 and 2016, we had no material unrecognized tax benefits. While we currently have no material unrecognized tax benefits, as a policy, we recognize penalties and interest accrued related to unrecognized tax benefits as income tax expense.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primary business is the ownership, management, and redevelopment of retail and mixed-use properties. We review operating and financial information for each property on an individual basis and therefore, each property represents an individual operating segment. We evaluate financial performance using property operating income, which consists of rental income, other property income and mortgage interest income, less rental expenses and real estate taxes. No individual property constitutes more than 10% of our revenues or property operating income and we have no operations outside of the United States of America. Therefore, we have aggregated our properties into one reportable segment as the properties share similar long-term economic characteristics and have other similarities including the fact that they are operated using consistent business strategies, are typically located in major metropolitan areas, and have similar tenant mixes.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6" w:right="23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337"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auto"/>
        </w:rPr>
        <w:t>Effect on the financial statements or significant</w:t>
      </w:r>
    </w:p>
    <w:p>
      <w:pPr>
        <w:spacing w:after="0" w:line="49" w:lineRule="exact"/>
        <w:rPr>
          <w:sz w:val="20"/>
          <w:szCs w:val="20"/>
          <w:color w:val="auto"/>
        </w:rPr>
      </w:pPr>
    </w:p>
    <w:p>
      <w:pPr>
        <w:ind w:left="40"/>
        <w:spacing w:after="0"/>
        <w:tabs>
          <w:tab w:leader="none" w:pos="2200" w:val="left"/>
          <w:tab w:leader="none" w:pos="6660" w:val="left"/>
          <w:tab w:leader="none" w:pos="8020" w:val="left"/>
        </w:tabs>
        <w:rPr>
          <w:sz w:val="20"/>
          <w:szCs w:val="20"/>
          <w:color w:val="auto"/>
        </w:rPr>
      </w:pPr>
      <w:r>
        <w:rPr>
          <w:rFonts w:ascii="Arial" w:cs="Arial" w:eastAsia="Arial" w:hAnsi="Arial"/>
          <w:sz w:val="16"/>
          <w:szCs w:val="16"/>
          <w:b w:val="1"/>
          <w:bCs w:val="1"/>
          <w:color w:val="auto"/>
        </w:rPr>
        <w:t>Standard</w:t>
      </w:r>
      <w:r>
        <w:rPr>
          <w:sz w:val="20"/>
          <w:szCs w:val="20"/>
          <w:color w:val="auto"/>
        </w:rPr>
        <w:tab/>
      </w:r>
      <w:r>
        <w:rPr>
          <w:rFonts w:ascii="Arial" w:cs="Arial" w:eastAsia="Arial" w:hAnsi="Arial"/>
          <w:sz w:val="16"/>
          <w:szCs w:val="16"/>
          <w:b w:val="1"/>
          <w:bCs w:val="1"/>
          <w:color w:val="auto"/>
        </w:rPr>
        <w:t>Description</w:t>
      </w:r>
      <w:r>
        <w:rPr>
          <w:sz w:val="20"/>
          <w:szCs w:val="20"/>
          <w:color w:val="auto"/>
        </w:rPr>
        <w:tab/>
      </w:r>
      <w:r>
        <w:rPr>
          <w:rFonts w:ascii="Arial" w:cs="Arial" w:eastAsia="Arial" w:hAnsi="Arial"/>
          <w:sz w:val="16"/>
          <w:szCs w:val="16"/>
          <w:b w:val="1"/>
          <w:bCs w:val="1"/>
          <w:color w:val="auto"/>
        </w:rPr>
        <w:t>Date of Adoption</w:t>
      </w:r>
      <w:r>
        <w:rPr>
          <w:sz w:val="20"/>
          <w:szCs w:val="20"/>
          <w:color w:val="auto"/>
        </w:rPr>
        <w:tab/>
      </w:r>
      <w:r>
        <w:rPr>
          <w:rFonts w:ascii="Arial" w:cs="Arial" w:eastAsia="Arial" w:hAnsi="Arial"/>
          <w:sz w:val="14"/>
          <w:szCs w:val="14"/>
          <w:b w:val="1"/>
          <w:bCs w:val="1"/>
          <w:color w:val="auto"/>
        </w:rPr>
        <w:t>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6">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360"/>
          </w:cols>
          <w:pgMar w:left="240" w:top="126" w:right="299" w:bottom="1440" w:gutter="0" w:footer="0" w:header="0"/>
        </w:sectPr>
      </w:pP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u w:val="single" w:color="auto"/>
          <w:color w:val="auto"/>
        </w:rPr>
        <w:t>Recently adopted:</w:t>
      </w:r>
    </w:p>
    <w:p>
      <w:pPr>
        <w:spacing w:after="0" w:line="184"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 xml:space="preserve">ASU 2016-09, March 2016, </w:t>
      </w:r>
      <w:r>
        <w:rPr>
          <w:rFonts w:ascii="Arial" w:cs="Arial" w:eastAsia="Arial" w:hAnsi="Arial"/>
          <w:sz w:val="16"/>
          <w:szCs w:val="16"/>
          <w:i w:val="1"/>
          <w:iCs w:val="1"/>
          <w:color w:val="auto"/>
        </w:rPr>
        <w:t>Compensation-Stock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(Topic 718): Improvements to Employee Share-Based Payment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right="20"/>
        <w:spacing w:after="0" w:line="287" w:lineRule="auto"/>
        <w:rPr>
          <w:sz w:val="20"/>
          <w:szCs w:val="20"/>
          <w:color w:val="auto"/>
        </w:rPr>
      </w:pPr>
      <w:r>
        <w:rPr>
          <w:rFonts w:ascii="Arial" w:cs="Arial" w:eastAsia="Arial" w:hAnsi="Arial"/>
          <w:sz w:val="16"/>
          <w:szCs w:val="16"/>
          <w:color w:val="auto"/>
        </w:rPr>
        <w:t xml:space="preserve">ASU 2017-01, January 2017,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 (Topic 805):</w:t>
      </w:r>
    </w:p>
    <w:p>
      <w:pPr>
        <w:spacing w:after="0" w:line="2" w:lineRule="exact"/>
        <w:rPr>
          <w:sz w:val="20"/>
          <w:szCs w:val="20"/>
          <w:color w:val="auto"/>
        </w:rPr>
      </w:pPr>
    </w:p>
    <w:p>
      <w:pPr>
        <w:ind w:left="40"/>
        <w:spacing w:after="0" w:line="260" w:lineRule="auto"/>
        <w:rPr>
          <w:sz w:val="20"/>
          <w:szCs w:val="20"/>
          <w:color w:val="auto"/>
        </w:rPr>
      </w:pPr>
      <w:r>
        <w:rPr>
          <w:rFonts w:ascii="Arial" w:cs="Arial" w:eastAsia="Arial" w:hAnsi="Arial"/>
          <w:sz w:val="18"/>
          <w:szCs w:val="18"/>
          <w:i w:val="1"/>
          <w:iCs w:val="1"/>
          <w:color w:val="auto"/>
        </w:rPr>
        <w:t>Clarifying the Definition of a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This ASU simplifies the accounting for share-based</w:t>
            </w:r>
          </w:p>
        </w:tc>
        <w:tc>
          <w:tcPr>
            <w:tcW w:w="1260" w:type="dxa"/>
            <w:vAlign w:val="bottom"/>
          </w:tcPr>
          <w:p>
            <w:pPr>
              <w:ind w:left="100"/>
              <w:spacing w:after="0"/>
              <w:rPr>
                <w:sz w:val="20"/>
                <w:szCs w:val="20"/>
                <w:color w:val="auto"/>
              </w:rPr>
            </w:pPr>
            <w:r>
              <w:rPr>
                <w:rFonts w:ascii="Arial" w:cs="Arial" w:eastAsia="Arial" w:hAnsi="Arial"/>
                <w:sz w:val="18"/>
                <w:szCs w:val="18"/>
                <w:color w:val="auto"/>
              </w:rPr>
              <w:t>January 2017</w:t>
            </w:r>
          </w:p>
        </w:tc>
        <w:tc>
          <w:tcPr>
            <w:tcW w:w="3520" w:type="dxa"/>
            <w:vAlign w:val="bottom"/>
          </w:tcPr>
          <w:p>
            <w:pPr>
              <w:ind w:left="200"/>
              <w:spacing w:after="0"/>
              <w:rPr>
                <w:sz w:val="20"/>
                <w:szCs w:val="20"/>
                <w:color w:val="auto"/>
              </w:rPr>
            </w:pPr>
            <w:r>
              <w:rPr>
                <w:rFonts w:ascii="Arial" w:cs="Arial" w:eastAsia="Arial" w:hAnsi="Arial"/>
                <w:sz w:val="18"/>
                <w:szCs w:val="18"/>
                <w:color w:val="auto"/>
              </w:rPr>
              <w:t>The adoption of this standard resulted in</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w w:val="98"/>
              </w:rPr>
              <w:t>payment transactions, including a policy election option</w:t>
            </w:r>
          </w:p>
        </w:tc>
        <w:tc>
          <w:tcPr>
            <w:tcW w:w="126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w w:val="94"/>
              </w:rPr>
              <w:t>accounting for forfeitures as they occur, and</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with respect to accounting for forfeitures either as they</w:t>
            </w:r>
          </w:p>
        </w:tc>
        <w:tc>
          <w:tcPr>
            <w:tcW w:w="126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w w:val="95"/>
              </w:rPr>
              <w:t>we have recorded the cumulative impact on</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occur or estimating forfeitures (as was previously</w:t>
            </w:r>
          </w:p>
        </w:tc>
        <w:tc>
          <w:tcPr>
            <w:tcW w:w="126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w w:val="89"/>
              </w:rPr>
              <w:t>the adoption date as a $0.1 million adjustment</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w w:val="97"/>
              </w:rPr>
              <w:t>required), as well as increasing the amount an employer</w:t>
            </w:r>
          </w:p>
        </w:tc>
        <w:tc>
          <w:tcPr>
            <w:tcW w:w="126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w w:val="92"/>
              </w:rPr>
              <w:t>to additional paid-in capital and accumulated</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can withhold to cover income taxes on equity awards.</w:t>
            </w:r>
          </w:p>
        </w:tc>
        <w:tc>
          <w:tcPr>
            <w:tcW w:w="126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dividends in excess of net income. The</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w w:val="95"/>
              </w:rPr>
              <w:t>Additionally, it requires the cash paid to a taxing authority</w:t>
            </w:r>
          </w:p>
        </w:tc>
        <w:tc>
          <w:tcPr>
            <w:tcW w:w="126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amounts reclassified from "operating</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w w:val="99"/>
              </w:rPr>
              <w:t>when shares are withheld to pay employee taxes to be</w:t>
            </w:r>
          </w:p>
        </w:tc>
        <w:tc>
          <w:tcPr>
            <w:tcW w:w="126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w w:val="95"/>
              </w:rPr>
              <w:t>activities" to "financing activities" for shares</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w w:val="93"/>
              </w:rPr>
              <w:t>classified as a "financing activity" rather than an "operating</w:t>
            </w:r>
          </w:p>
        </w:tc>
        <w:tc>
          <w:tcPr>
            <w:tcW w:w="126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w w:val="92"/>
              </w:rPr>
              <w:t>withheld for employee taxes was $4.5 million</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w w:val="92"/>
              </w:rPr>
              <w:t>activity," as was done previously on the Statement of Cash</w:t>
            </w:r>
          </w:p>
        </w:tc>
        <w:tc>
          <w:tcPr>
            <w:tcW w:w="126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w w:val="96"/>
              </w:rPr>
              <w:t>and $9.2 million, respectively, for 2016 and</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Flows.</w:t>
            </w:r>
          </w:p>
        </w:tc>
        <w:tc>
          <w:tcPr>
            <w:tcW w:w="1260" w:type="dxa"/>
            <w:vAlign w:val="bottom"/>
          </w:tcPr>
          <w:p>
            <w:pPr>
              <w:spacing w:after="0"/>
              <w:rPr>
                <w:sz w:val="20"/>
                <w:szCs w:val="20"/>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2015.</w:t>
            </w:r>
          </w:p>
        </w:tc>
      </w:tr>
      <w:tr>
        <w:trPr>
          <w:trHeight w:val="377"/>
        </w:trPr>
        <w:tc>
          <w:tcPr>
            <w:tcW w:w="4360" w:type="dxa"/>
            <w:vAlign w:val="bottom"/>
          </w:tcPr>
          <w:p>
            <w:pPr>
              <w:spacing w:after="0"/>
              <w:rPr>
                <w:sz w:val="20"/>
                <w:szCs w:val="20"/>
                <w:color w:val="auto"/>
              </w:rPr>
            </w:pPr>
            <w:r>
              <w:rPr>
                <w:rFonts w:ascii="Arial" w:cs="Arial" w:eastAsia="Arial" w:hAnsi="Arial"/>
                <w:sz w:val="18"/>
                <w:szCs w:val="18"/>
                <w:color w:val="auto"/>
                <w:w w:val="95"/>
              </w:rPr>
              <w:t>This ASU changes the definition of a business to exclude</w:t>
            </w:r>
          </w:p>
        </w:tc>
        <w:tc>
          <w:tcPr>
            <w:tcW w:w="1260" w:type="dxa"/>
            <w:vAlign w:val="bottom"/>
          </w:tcPr>
          <w:p>
            <w:pPr>
              <w:ind w:left="100"/>
              <w:spacing w:after="0"/>
              <w:rPr>
                <w:sz w:val="20"/>
                <w:szCs w:val="20"/>
                <w:color w:val="auto"/>
              </w:rPr>
            </w:pPr>
            <w:r>
              <w:rPr>
                <w:rFonts w:ascii="Arial" w:cs="Arial" w:eastAsia="Arial" w:hAnsi="Arial"/>
                <w:sz w:val="18"/>
                <w:szCs w:val="18"/>
                <w:color w:val="auto"/>
              </w:rPr>
              <w:t>January 2017</w:t>
            </w:r>
          </w:p>
        </w:tc>
        <w:tc>
          <w:tcPr>
            <w:tcW w:w="3520" w:type="dxa"/>
            <w:vAlign w:val="bottom"/>
          </w:tcPr>
          <w:p>
            <w:pPr>
              <w:ind w:left="200"/>
              <w:spacing w:after="0"/>
              <w:rPr>
                <w:sz w:val="20"/>
                <w:szCs w:val="20"/>
                <w:color w:val="auto"/>
              </w:rPr>
            </w:pPr>
            <w:r>
              <w:rPr>
                <w:rFonts w:ascii="Arial" w:cs="Arial" w:eastAsia="Arial" w:hAnsi="Arial"/>
                <w:sz w:val="18"/>
                <w:szCs w:val="18"/>
                <w:color w:val="auto"/>
              </w:rPr>
              <w:t>The largest impact of this standard is that</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w w:val="95"/>
              </w:rPr>
              <w:t>acquisitions where substantially all of the fair value of the</w:t>
            </w:r>
          </w:p>
        </w:tc>
        <w:tc>
          <w:tcPr>
            <w:tcW w:w="126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w w:val="99"/>
              </w:rPr>
              <w:t>transaction costs are capitalized for asset</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w w:val="97"/>
              </w:rPr>
              <w:t>assets acquired are concentrated in a single identifiable</w:t>
            </w:r>
          </w:p>
        </w:tc>
        <w:tc>
          <w:tcPr>
            <w:tcW w:w="126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w w:val="92"/>
              </w:rPr>
              <w:t>acquisitions rather than expensed when they</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w w:val="97"/>
              </w:rPr>
              <w:t>asset or a group of similar identifiable assets. Given this</w:t>
            </w:r>
          </w:p>
        </w:tc>
        <w:tc>
          <w:tcPr>
            <w:tcW w:w="126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are considered business combinations.</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change in definition, we believe most of our shopping</w:t>
            </w:r>
          </w:p>
        </w:tc>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w w:val="95"/>
              </w:rPr>
              <w:t>center acquisitions will no longer be considered business</w:t>
            </w:r>
          </w:p>
        </w:tc>
        <w:tc>
          <w:tcPr>
            <w:tcW w:w="126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w w:val="88"/>
              </w:rPr>
              <w:t>Based on acquisitions in the last several years,</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combinations, but rather asset acquisitions.</w:t>
            </w:r>
          </w:p>
        </w:tc>
        <w:tc>
          <w:tcPr>
            <w:tcW w:w="126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w w:val="91"/>
              </w:rPr>
              <w:t>transaction costs for a single shopping center</w:t>
            </w:r>
          </w:p>
        </w:tc>
      </w:tr>
      <w:tr>
        <w:trPr>
          <w:trHeight w:val="216"/>
        </w:trPr>
        <w:tc>
          <w:tcPr>
            <w:tcW w:w="4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w w:val="97"/>
              </w:rPr>
              <w:t>acquisition have typically ranged from $0.2</w:t>
            </w:r>
          </w:p>
        </w:tc>
      </w:tr>
      <w:tr>
        <w:trPr>
          <w:trHeight w:val="216"/>
        </w:trPr>
        <w:tc>
          <w:tcPr>
            <w:tcW w:w="4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million to $2.4 million with significantly</w:t>
            </w:r>
          </w:p>
        </w:tc>
      </w:tr>
      <w:tr>
        <w:trPr>
          <w:trHeight w:val="216"/>
        </w:trPr>
        <w:tc>
          <w:tcPr>
            <w:tcW w:w="4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higher transaction costs expected for an</w:t>
            </w:r>
          </w:p>
        </w:tc>
      </w:tr>
      <w:tr>
        <w:trPr>
          <w:trHeight w:val="216"/>
        </w:trPr>
        <w:tc>
          <w:tcPr>
            <w:tcW w:w="4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acquisition of a larger portfolio. We are</w:t>
            </w:r>
          </w:p>
        </w:tc>
      </w:tr>
      <w:tr>
        <w:trPr>
          <w:trHeight w:val="216"/>
        </w:trPr>
        <w:tc>
          <w:tcPr>
            <w:tcW w:w="4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w w:val="90"/>
              </w:rPr>
              <w:t>applying the new guidance prospectively. Our</w:t>
            </w:r>
          </w:p>
        </w:tc>
      </w:tr>
      <w:tr>
        <w:trPr>
          <w:trHeight w:val="216"/>
        </w:trPr>
        <w:tc>
          <w:tcPr>
            <w:tcW w:w="4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acquisitions during the year ended</w:t>
            </w:r>
          </w:p>
        </w:tc>
      </w:tr>
      <w:tr>
        <w:trPr>
          <w:trHeight w:val="216"/>
        </w:trPr>
        <w:tc>
          <w:tcPr>
            <w:tcW w:w="4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w w:val="89"/>
              </w:rPr>
              <w:t>December 31, 2017 (further discussed in Note</w:t>
            </w:r>
          </w:p>
        </w:tc>
      </w:tr>
      <w:tr>
        <w:trPr>
          <w:trHeight w:val="216"/>
        </w:trPr>
        <w:tc>
          <w:tcPr>
            <w:tcW w:w="4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3) qualified as asset acquisitions and</w:t>
            </w:r>
          </w:p>
        </w:tc>
      </w:tr>
      <w:tr>
        <w:trPr>
          <w:trHeight w:val="216"/>
        </w:trPr>
        <w:tc>
          <w:tcPr>
            <w:tcW w:w="4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consequently, all transaction costs were</w:t>
            </w:r>
          </w:p>
        </w:tc>
      </w:tr>
      <w:tr>
        <w:trPr>
          <w:trHeight w:val="230"/>
        </w:trPr>
        <w:tc>
          <w:tcPr>
            <w:tcW w:w="4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capitalized after the adoption date.</w:t>
            </w:r>
          </w:p>
        </w:tc>
      </w:tr>
    </w:tbl>
    <w:p>
      <w:pPr>
        <w:spacing w:after="0" w:line="161" w:lineRule="exact"/>
        <w:rPr>
          <w:sz w:val="20"/>
          <w:szCs w:val="20"/>
          <w:color w:val="auto"/>
        </w:rPr>
      </w:pPr>
    </w:p>
    <w:p>
      <w:pPr>
        <w:sectPr>
          <w:pgSz w:w="11900" w:h="16838" w:orient="portrait"/>
          <w:cols w:equalWidth="0" w:num="2">
            <w:col w:w="2000" w:space="220"/>
            <w:col w:w="9140"/>
          </w:cols>
          <w:pgMar w:left="240" w:top="126" w:right="29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i w:val="1"/>
          <w:iCs w:val="1"/>
          <w:u w:val="single" w:color="auto"/>
          <w:color w:val="auto"/>
        </w:rPr>
        <w:t>Adopted Subsequent to December 31, 2017:</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20" w:type="dxa"/>
            <w:vAlign w:val="bottom"/>
            <w:vMerge w:val="restart"/>
          </w:tcPr>
          <w:p>
            <w:pPr>
              <w:spacing w:after="0"/>
              <w:rPr>
                <w:sz w:val="20"/>
                <w:szCs w:val="20"/>
                <w:color w:val="auto"/>
              </w:rPr>
            </w:pPr>
            <w:r>
              <w:rPr>
                <w:rFonts w:ascii="Arial" w:cs="Arial" w:eastAsia="Arial" w:hAnsi="Arial"/>
                <w:sz w:val="18"/>
                <w:szCs w:val="18"/>
                <w:color w:val="auto"/>
              </w:rPr>
              <w:t>ASU 2016-15, August</w:t>
            </w:r>
          </w:p>
        </w:tc>
        <w:tc>
          <w:tcPr>
            <w:tcW w:w="4500" w:type="dxa"/>
            <w:vAlign w:val="bottom"/>
          </w:tcPr>
          <w:p>
            <w:pPr>
              <w:spacing w:after="0"/>
              <w:rPr>
                <w:sz w:val="18"/>
                <w:szCs w:val="18"/>
                <w:color w:val="auto"/>
              </w:rPr>
            </w:pPr>
          </w:p>
        </w:tc>
        <w:tc>
          <w:tcPr>
            <w:tcW w:w="4760" w:type="dxa"/>
            <w:vAlign w:val="bottom"/>
          </w:tcPr>
          <w:p>
            <w:pPr>
              <w:ind w:left="120"/>
              <w:spacing w:after="0"/>
              <w:rPr>
                <w:sz w:val="20"/>
                <w:szCs w:val="20"/>
                <w:color w:val="auto"/>
              </w:rPr>
            </w:pPr>
            <w:r>
              <w:rPr>
                <w:rFonts w:ascii="Arial" w:cs="Arial" w:eastAsia="Arial" w:hAnsi="Arial"/>
                <w:sz w:val="18"/>
                <w:szCs w:val="18"/>
                <w:color w:val="auto"/>
              </w:rPr>
              <w:t>January 2018</w:t>
            </w:r>
          </w:p>
        </w:tc>
        <w:tc>
          <w:tcPr>
            <w:tcW w:w="0" w:type="dxa"/>
            <w:vAlign w:val="bottom"/>
          </w:tcPr>
          <w:p>
            <w:pPr>
              <w:spacing w:after="0"/>
              <w:rPr>
                <w:sz w:val="1"/>
                <w:szCs w:val="1"/>
                <w:color w:val="auto"/>
              </w:rPr>
            </w:pPr>
          </w:p>
        </w:tc>
      </w:tr>
      <w:tr>
        <w:trPr>
          <w:trHeight w:val="201"/>
        </w:trPr>
        <w:tc>
          <w:tcPr>
            <w:tcW w:w="2020" w:type="dxa"/>
            <w:vAlign w:val="bottom"/>
            <w:vMerge w:val="continue"/>
          </w:tcPr>
          <w:p>
            <w:pPr>
              <w:spacing w:after="0"/>
              <w:rPr>
                <w:sz w:val="17"/>
                <w:szCs w:val="17"/>
                <w:color w:val="auto"/>
              </w:rPr>
            </w:pPr>
          </w:p>
        </w:tc>
        <w:tc>
          <w:tcPr>
            <w:tcW w:w="4500" w:type="dxa"/>
            <w:vAlign w:val="bottom"/>
          </w:tcPr>
          <w:p>
            <w:pPr>
              <w:spacing w:after="0"/>
              <w:rPr>
                <w:sz w:val="17"/>
                <w:szCs w:val="17"/>
                <w:color w:val="auto"/>
              </w:rPr>
            </w:pPr>
          </w:p>
        </w:tc>
        <w:tc>
          <w:tcPr>
            <w:tcW w:w="4760" w:type="dxa"/>
            <w:vAlign w:val="bottom"/>
          </w:tcPr>
          <w:p>
            <w:pPr>
              <w:ind w:left="1480"/>
              <w:spacing w:after="0" w:line="201" w:lineRule="exact"/>
              <w:rPr>
                <w:sz w:val="20"/>
                <w:szCs w:val="20"/>
                <w:color w:val="auto"/>
              </w:rPr>
            </w:pPr>
            <w:r>
              <w:rPr>
                <w:rFonts w:ascii="Arial" w:cs="Arial" w:eastAsia="Arial" w:hAnsi="Arial"/>
                <w:sz w:val="18"/>
                <w:szCs w:val="18"/>
                <w:color w:val="auto"/>
              </w:rPr>
              <w:t>This standard will require classification</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 xml:space="preserve">2016, </w:t>
            </w:r>
            <w:r>
              <w:rPr>
                <w:rFonts w:ascii="Arial" w:cs="Arial" w:eastAsia="Arial" w:hAnsi="Arial"/>
                <w:sz w:val="18"/>
                <w:szCs w:val="18"/>
                <w:i w:val="1"/>
                <w:iCs w:val="1"/>
                <w:color w:val="auto"/>
              </w:rPr>
              <w:t>Statement of Cash</w:t>
            </w:r>
          </w:p>
        </w:tc>
        <w:tc>
          <w:tcPr>
            <w:tcW w:w="4500" w:type="dxa"/>
            <w:vAlign w:val="bottom"/>
          </w:tcPr>
          <w:p>
            <w:pPr>
              <w:ind w:left="160"/>
              <w:spacing w:after="0"/>
              <w:rPr>
                <w:sz w:val="20"/>
                <w:szCs w:val="20"/>
                <w:color w:val="auto"/>
              </w:rPr>
            </w:pPr>
            <w:r>
              <w:rPr>
                <w:rFonts w:ascii="Arial" w:cs="Arial" w:eastAsia="Arial" w:hAnsi="Arial"/>
                <w:sz w:val="18"/>
                <w:szCs w:val="18"/>
                <w:color w:val="auto"/>
              </w:rPr>
              <w:t>This ASU provides classification guidance for eight</w:t>
            </w:r>
          </w:p>
        </w:tc>
        <w:tc>
          <w:tcPr>
            <w:tcW w:w="4760" w:type="dxa"/>
            <w:vAlign w:val="bottom"/>
          </w:tcPr>
          <w:p>
            <w:pPr>
              <w:ind w:left="1480"/>
              <w:spacing w:after="0"/>
              <w:rPr>
                <w:sz w:val="20"/>
                <w:szCs w:val="20"/>
                <w:color w:val="auto"/>
              </w:rPr>
            </w:pPr>
            <w:r>
              <w:rPr>
                <w:rFonts w:ascii="Arial" w:cs="Arial" w:eastAsia="Arial" w:hAnsi="Arial"/>
                <w:sz w:val="18"/>
                <w:szCs w:val="18"/>
                <w:color w:val="auto"/>
                <w:w w:val="88"/>
              </w:rPr>
              <w:t>changes, however, it is not expected to have a</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i w:val="1"/>
                <w:iCs w:val="1"/>
                <w:color w:val="auto"/>
              </w:rPr>
              <w:t>Flows (Topic 230):</w:t>
            </w:r>
          </w:p>
        </w:tc>
        <w:tc>
          <w:tcPr>
            <w:tcW w:w="4500" w:type="dxa"/>
            <w:vAlign w:val="bottom"/>
          </w:tcPr>
          <w:p>
            <w:pPr>
              <w:ind w:left="160"/>
              <w:spacing w:after="0"/>
              <w:rPr>
                <w:sz w:val="20"/>
                <w:szCs w:val="20"/>
                <w:color w:val="auto"/>
              </w:rPr>
            </w:pPr>
            <w:r>
              <w:rPr>
                <w:rFonts w:ascii="Arial" w:cs="Arial" w:eastAsia="Arial" w:hAnsi="Arial"/>
                <w:sz w:val="18"/>
                <w:szCs w:val="18"/>
                <w:color w:val="auto"/>
              </w:rPr>
              <w:t>specific topics including debt extinguishment costs,</w:t>
            </w:r>
          </w:p>
        </w:tc>
        <w:tc>
          <w:tcPr>
            <w:tcW w:w="4760" w:type="dxa"/>
            <w:vAlign w:val="bottom"/>
          </w:tcPr>
          <w:p>
            <w:pPr>
              <w:ind w:left="1480"/>
              <w:spacing w:after="0"/>
              <w:rPr>
                <w:sz w:val="20"/>
                <w:szCs w:val="20"/>
                <w:color w:val="auto"/>
              </w:rPr>
            </w:pPr>
            <w:r>
              <w:rPr>
                <w:rFonts w:ascii="Arial" w:cs="Arial" w:eastAsia="Arial" w:hAnsi="Arial"/>
                <w:sz w:val="18"/>
                <w:szCs w:val="18"/>
                <w:color w:val="auto"/>
              </w:rPr>
              <w:t>significant impact to our consolidated</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i w:val="1"/>
                <w:iCs w:val="1"/>
                <w:color w:val="auto"/>
              </w:rPr>
              <w:t>Classification of Certain</w:t>
            </w:r>
          </w:p>
        </w:tc>
        <w:tc>
          <w:tcPr>
            <w:tcW w:w="4500" w:type="dxa"/>
            <w:vAlign w:val="bottom"/>
          </w:tcPr>
          <w:p>
            <w:pPr>
              <w:ind w:left="160"/>
              <w:spacing w:after="0"/>
              <w:rPr>
                <w:sz w:val="20"/>
                <w:szCs w:val="20"/>
                <w:color w:val="auto"/>
              </w:rPr>
            </w:pPr>
            <w:r>
              <w:rPr>
                <w:rFonts w:ascii="Arial" w:cs="Arial" w:eastAsia="Arial" w:hAnsi="Arial"/>
                <w:sz w:val="18"/>
                <w:szCs w:val="18"/>
                <w:color w:val="auto"/>
                <w:w w:val="93"/>
              </w:rPr>
              <w:t>contingent consideration payments made after a business</w:t>
            </w:r>
          </w:p>
        </w:tc>
        <w:tc>
          <w:tcPr>
            <w:tcW w:w="4760" w:type="dxa"/>
            <w:vAlign w:val="bottom"/>
          </w:tcPr>
          <w:p>
            <w:pPr>
              <w:ind w:left="1480"/>
              <w:spacing w:after="0"/>
              <w:rPr>
                <w:sz w:val="20"/>
                <w:szCs w:val="20"/>
                <w:color w:val="auto"/>
              </w:rPr>
            </w:pPr>
            <w:r>
              <w:rPr>
                <w:rFonts w:ascii="Arial" w:cs="Arial" w:eastAsia="Arial" w:hAnsi="Arial"/>
                <w:sz w:val="18"/>
                <w:szCs w:val="18"/>
                <w:color w:val="auto"/>
              </w:rPr>
              <w:t>financial statements.</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i w:val="1"/>
                <w:iCs w:val="1"/>
                <w:color w:val="auto"/>
              </w:rPr>
              <w:t>Cash Receipts and Cash</w:t>
            </w:r>
          </w:p>
        </w:tc>
        <w:tc>
          <w:tcPr>
            <w:tcW w:w="4500" w:type="dxa"/>
            <w:vAlign w:val="bottom"/>
          </w:tcPr>
          <w:p>
            <w:pPr>
              <w:ind w:left="160"/>
              <w:spacing w:after="0"/>
              <w:rPr>
                <w:sz w:val="20"/>
                <w:szCs w:val="20"/>
                <w:color w:val="auto"/>
              </w:rPr>
            </w:pPr>
            <w:r>
              <w:rPr>
                <w:rFonts w:ascii="Arial" w:cs="Arial" w:eastAsia="Arial" w:hAnsi="Arial"/>
                <w:sz w:val="18"/>
                <w:szCs w:val="18"/>
                <w:color w:val="auto"/>
              </w:rPr>
              <w:t>combination, and distributions received from equity</w:t>
            </w:r>
          </w:p>
        </w:tc>
        <w:tc>
          <w:tcPr>
            <w:tcW w:w="4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r>
              <w:rPr>
                <w:rFonts w:ascii="Arial" w:cs="Arial" w:eastAsia="Arial" w:hAnsi="Arial"/>
                <w:sz w:val="18"/>
                <w:szCs w:val="18"/>
                <w:i w:val="1"/>
                <w:iCs w:val="1"/>
                <w:color w:val="auto"/>
              </w:rPr>
              <w:t>Payments</w:t>
            </w:r>
          </w:p>
        </w:tc>
        <w:tc>
          <w:tcPr>
            <w:tcW w:w="4500" w:type="dxa"/>
            <w:vAlign w:val="bottom"/>
          </w:tcPr>
          <w:p>
            <w:pPr>
              <w:ind w:left="160"/>
              <w:spacing w:after="0"/>
              <w:rPr>
                <w:sz w:val="20"/>
                <w:szCs w:val="20"/>
                <w:color w:val="auto"/>
              </w:rPr>
            </w:pPr>
            <w:r>
              <w:rPr>
                <w:rFonts w:ascii="Arial" w:cs="Arial" w:eastAsia="Arial" w:hAnsi="Arial"/>
                <w:sz w:val="18"/>
                <w:szCs w:val="18"/>
                <w:color w:val="auto"/>
              </w:rPr>
              <w:t>method investees.</w:t>
            </w:r>
          </w:p>
        </w:tc>
        <w:tc>
          <w:tcPr>
            <w:tcW w:w="4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2020" w:type="dxa"/>
            <w:vAlign w:val="bottom"/>
            <w:vMerge w:val="restart"/>
          </w:tcPr>
          <w:p>
            <w:pPr>
              <w:spacing w:after="0"/>
              <w:rPr>
                <w:sz w:val="20"/>
                <w:szCs w:val="20"/>
                <w:color w:val="auto"/>
              </w:rPr>
            </w:pPr>
            <w:r>
              <w:rPr>
                <w:rFonts w:ascii="Arial" w:cs="Arial" w:eastAsia="Arial" w:hAnsi="Arial"/>
                <w:sz w:val="18"/>
                <w:szCs w:val="18"/>
                <w:color w:val="auto"/>
                <w:w w:val="99"/>
              </w:rPr>
              <w:t>ASU 2016-18, November</w:t>
            </w:r>
          </w:p>
        </w:tc>
        <w:tc>
          <w:tcPr>
            <w:tcW w:w="4500" w:type="dxa"/>
            <w:vAlign w:val="bottom"/>
            <w:vMerge w:val="restart"/>
          </w:tcPr>
          <w:p>
            <w:pPr>
              <w:ind w:left="160"/>
              <w:spacing w:after="0"/>
              <w:rPr>
                <w:sz w:val="20"/>
                <w:szCs w:val="20"/>
                <w:color w:val="auto"/>
              </w:rPr>
            </w:pPr>
            <w:r>
              <w:rPr>
                <w:rFonts w:ascii="Arial" w:cs="Arial" w:eastAsia="Arial" w:hAnsi="Arial"/>
                <w:sz w:val="18"/>
                <w:szCs w:val="18"/>
                <w:color w:val="auto"/>
                <w:w w:val="92"/>
              </w:rPr>
              <w:t>This ASU requires that the statement of cash flows explain</w:t>
            </w:r>
          </w:p>
        </w:tc>
        <w:tc>
          <w:tcPr>
            <w:tcW w:w="4760" w:type="dxa"/>
            <w:vAlign w:val="bottom"/>
          </w:tcPr>
          <w:p>
            <w:pPr>
              <w:ind w:left="120"/>
              <w:spacing w:after="0"/>
              <w:rPr>
                <w:sz w:val="20"/>
                <w:szCs w:val="20"/>
                <w:color w:val="auto"/>
              </w:rPr>
            </w:pPr>
            <w:r>
              <w:rPr>
                <w:rFonts w:ascii="Arial" w:cs="Arial" w:eastAsia="Arial" w:hAnsi="Arial"/>
                <w:sz w:val="18"/>
                <w:szCs w:val="18"/>
                <w:color w:val="auto"/>
              </w:rPr>
              <w:t>January 2018</w:t>
            </w:r>
          </w:p>
        </w:tc>
        <w:tc>
          <w:tcPr>
            <w:tcW w:w="0" w:type="dxa"/>
            <w:vAlign w:val="bottom"/>
          </w:tcPr>
          <w:p>
            <w:pPr>
              <w:spacing w:after="0"/>
              <w:rPr>
                <w:sz w:val="1"/>
                <w:szCs w:val="1"/>
                <w:color w:val="auto"/>
              </w:rPr>
            </w:pPr>
          </w:p>
        </w:tc>
      </w:tr>
      <w:tr>
        <w:trPr>
          <w:trHeight w:val="201"/>
        </w:trPr>
        <w:tc>
          <w:tcPr>
            <w:tcW w:w="2020" w:type="dxa"/>
            <w:vAlign w:val="bottom"/>
            <w:vMerge w:val="continue"/>
          </w:tcPr>
          <w:p>
            <w:pPr>
              <w:spacing w:after="0"/>
              <w:rPr>
                <w:sz w:val="17"/>
                <w:szCs w:val="17"/>
                <w:color w:val="auto"/>
              </w:rPr>
            </w:pPr>
          </w:p>
        </w:tc>
        <w:tc>
          <w:tcPr>
            <w:tcW w:w="4500" w:type="dxa"/>
            <w:vAlign w:val="bottom"/>
            <w:vMerge w:val="continue"/>
          </w:tcPr>
          <w:p>
            <w:pPr>
              <w:spacing w:after="0"/>
              <w:rPr>
                <w:sz w:val="17"/>
                <w:szCs w:val="17"/>
                <w:color w:val="auto"/>
              </w:rPr>
            </w:pPr>
          </w:p>
        </w:tc>
        <w:tc>
          <w:tcPr>
            <w:tcW w:w="4760" w:type="dxa"/>
            <w:vAlign w:val="bottom"/>
          </w:tcPr>
          <w:p>
            <w:pPr>
              <w:ind w:left="1480"/>
              <w:spacing w:after="0" w:line="201" w:lineRule="exact"/>
              <w:rPr>
                <w:sz w:val="20"/>
                <w:szCs w:val="20"/>
                <w:color w:val="auto"/>
              </w:rPr>
            </w:pPr>
            <w:r>
              <w:rPr>
                <w:rFonts w:ascii="Arial" w:cs="Arial" w:eastAsia="Arial" w:hAnsi="Arial"/>
                <w:sz w:val="18"/>
                <w:szCs w:val="18"/>
                <w:color w:val="auto"/>
                <w:w w:val="95"/>
              </w:rPr>
              <w:t>This standard will require reclassification of</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 xml:space="preserve">2016, </w:t>
            </w:r>
            <w:r>
              <w:rPr>
                <w:rFonts w:ascii="Arial" w:cs="Arial" w:eastAsia="Arial" w:hAnsi="Arial"/>
                <w:sz w:val="18"/>
                <w:szCs w:val="18"/>
                <w:i w:val="1"/>
                <w:iCs w:val="1"/>
                <w:color w:val="auto"/>
              </w:rPr>
              <w:t>Statement of Cash</w:t>
            </w:r>
          </w:p>
        </w:tc>
        <w:tc>
          <w:tcPr>
            <w:tcW w:w="4500" w:type="dxa"/>
            <w:vAlign w:val="bottom"/>
          </w:tcPr>
          <w:p>
            <w:pPr>
              <w:ind w:left="160"/>
              <w:spacing w:after="0"/>
              <w:rPr>
                <w:sz w:val="20"/>
                <w:szCs w:val="20"/>
                <w:color w:val="auto"/>
              </w:rPr>
            </w:pPr>
            <w:r>
              <w:rPr>
                <w:rFonts w:ascii="Arial" w:cs="Arial" w:eastAsia="Arial" w:hAnsi="Arial"/>
                <w:sz w:val="18"/>
                <w:szCs w:val="18"/>
                <w:color w:val="auto"/>
              </w:rPr>
              <w:t>the change during the period in the total of cash, cash</w:t>
            </w:r>
          </w:p>
        </w:tc>
        <w:tc>
          <w:tcPr>
            <w:tcW w:w="4760" w:type="dxa"/>
            <w:vAlign w:val="bottom"/>
          </w:tcPr>
          <w:p>
            <w:pPr>
              <w:ind w:left="1480"/>
              <w:spacing w:after="0"/>
              <w:rPr>
                <w:sz w:val="20"/>
                <w:szCs w:val="20"/>
                <w:color w:val="auto"/>
              </w:rPr>
            </w:pPr>
            <w:r>
              <w:rPr>
                <w:rFonts w:ascii="Arial" w:cs="Arial" w:eastAsia="Arial" w:hAnsi="Arial"/>
                <w:sz w:val="18"/>
                <w:szCs w:val="18"/>
                <w:color w:val="auto"/>
              </w:rPr>
              <w:t>certain restricted cash amounts on the</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i w:val="1"/>
                <w:iCs w:val="1"/>
                <w:color w:val="auto"/>
              </w:rPr>
              <w:t>Flows (Topic 203) -</w:t>
            </w:r>
          </w:p>
        </w:tc>
        <w:tc>
          <w:tcPr>
            <w:tcW w:w="4500" w:type="dxa"/>
            <w:vAlign w:val="bottom"/>
          </w:tcPr>
          <w:p>
            <w:pPr>
              <w:ind w:left="160"/>
              <w:spacing w:after="0"/>
              <w:rPr>
                <w:sz w:val="20"/>
                <w:szCs w:val="20"/>
                <w:color w:val="auto"/>
              </w:rPr>
            </w:pPr>
            <w:r>
              <w:rPr>
                <w:rFonts w:ascii="Arial" w:cs="Arial" w:eastAsia="Arial" w:hAnsi="Arial"/>
                <w:sz w:val="18"/>
                <w:szCs w:val="18"/>
                <w:color w:val="auto"/>
                <w:w w:val="92"/>
              </w:rPr>
              <w:t>equivalents, and amounts generally described as restricted</w:t>
            </w:r>
          </w:p>
        </w:tc>
        <w:tc>
          <w:tcPr>
            <w:tcW w:w="4760" w:type="dxa"/>
            <w:vAlign w:val="bottom"/>
          </w:tcPr>
          <w:p>
            <w:pPr>
              <w:ind w:left="1480"/>
              <w:spacing w:after="0"/>
              <w:rPr>
                <w:sz w:val="20"/>
                <w:szCs w:val="20"/>
                <w:color w:val="auto"/>
              </w:rPr>
            </w:pPr>
            <w:r>
              <w:rPr>
                <w:rFonts w:ascii="Arial" w:cs="Arial" w:eastAsia="Arial" w:hAnsi="Arial"/>
                <w:sz w:val="18"/>
                <w:szCs w:val="18"/>
                <w:color w:val="auto"/>
                <w:w w:val="93"/>
              </w:rPr>
              <w:t>consolidated statement of cash flows, but is</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i w:val="1"/>
                <w:iCs w:val="1"/>
                <w:color w:val="auto"/>
              </w:rPr>
              <w:t>Restricted Cash</w:t>
            </w:r>
          </w:p>
        </w:tc>
        <w:tc>
          <w:tcPr>
            <w:tcW w:w="4500" w:type="dxa"/>
            <w:vAlign w:val="bottom"/>
          </w:tcPr>
          <w:p>
            <w:pPr>
              <w:ind w:left="160"/>
              <w:spacing w:after="0"/>
              <w:rPr>
                <w:sz w:val="20"/>
                <w:szCs w:val="20"/>
                <w:color w:val="auto"/>
              </w:rPr>
            </w:pPr>
            <w:r>
              <w:rPr>
                <w:rFonts w:ascii="Arial" w:cs="Arial" w:eastAsia="Arial" w:hAnsi="Arial"/>
                <w:sz w:val="18"/>
                <w:szCs w:val="18"/>
                <w:color w:val="auto"/>
                <w:w w:val="93"/>
              </w:rPr>
              <w:t>cash or cash equivalents. Amounts generally described as</w:t>
            </w:r>
          </w:p>
        </w:tc>
        <w:tc>
          <w:tcPr>
            <w:tcW w:w="4760" w:type="dxa"/>
            <w:vAlign w:val="bottom"/>
          </w:tcPr>
          <w:p>
            <w:pPr>
              <w:ind w:left="1480"/>
              <w:spacing w:after="0"/>
              <w:rPr>
                <w:sz w:val="20"/>
                <w:szCs w:val="20"/>
                <w:color w:val="auto"/>
              </w:rPr>
            </w:pPr>
            <w:r>
              <w:rPr>
                <w:rFonts w:ascii="Arial" w:cs="Arial" w:eastAsia="Arial" w:hAnsi="Arial"/>
                <w:sz w:val="18"/>
                <w:szCs w:val="18"/>
                <w:color w:val="auto"/>
                <w:w w:val="94"/>
              </w:rPr>
              <w:t>not expected to have a significant impact to</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w w:val="98"/>
              </w:rPr>
              <w:t>restricted cash and equivalents should be included with</w:t>
            </w:r>
          </w:p>
        </w:tc>
        <w:tc>
          <w:tcPr>
            <w:tcW w:w="4760" w:type="dxa"/>
            <w:vAlign w:val="bottom"/>
          </w:tcPr>
          <w:p>
            <w:pPr>
              <w:ind w:left="1480"/>
              <w:spacing w:after="0"/>
              <w:rPr>
                <w:sz w:val="20"/>
                <w:szCs w:val="20"/>
                <w:color w:val="auto"/>
              </w:rPr>
            </w:pPr>
            <w:r>
              <w:rPr>
                <w:rFonts w:ascii="Arial" w:cs="Arial" w:eastAsia="Arial" w:hAnsi="Arial"/>
                <w:sz w:val="18"/>
                <w:szCs w:val="18"/>
                <w:color w:val="auto"/>
              </w:rPr>
              <w:t>our consolidated financial statements.</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w w:val="93"/>
              </w:rPr>
              <w:t>cash and cash equivalents when reconciling the beginning</w:t>
            </w:r>
          </w:p>
        </w:tc>
        <w:tc>
          <w:tcPr>
            <w:tcW w:w="4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w w:val="94"/>
              </w:rPr>
              <w:t>and end of period total amounts on the statement of cash</w:t>
            </w:r>
          </w:p>
        </w:tc>
        <w:tc>
          <w:tcPr>
            <w:tcW w:w="4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flows.</w:t>
            </w:r>
          </w:p>
        </w:tc>
        <w:tc>
          <w:tcPr>
            <w:tcW w:w="4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20" w:type="dxa"/>
            <w:vAlign w:val="bottom"/>
          </w:tcPr>
          <w:p>
            <w:pPr>
              <w:spacing w:after="0"/>
              <w:rPr>
                <w:sz w:val="24"/>
                <w:szCs w:val="24"/>
                <w:color w:val="auto"/>
              </w:rPr>
            </w:pPr>
          </w:p>
        </w:tc>
        <w:tc>
          <w:tcPr>
            <w:tcW w:w="4500" w:type="dxa"/>
            <w:vAlign w:val="bottom"/>
          </w:tcPr>
          <w:p>
            <w:pPr>
              <w:ind w:left="3480"/>
              <w:spacing w:after="0"/>
              <w:rPr>
                <w:sz w:val="20"/>
                <w:szCs w:val="20"/>
                <w:color w:val="auto"/>
              </w:rPr>
            </w:pPr>
            <w:r>
              <w:rPr>
                <w:rFonts w:ascii="Arial" w:cs="Arial" w:eastAsia="Arial" w:hAnsi="Arial"/>
                <w:sz w:val="18"/>
                <w:szCs w:val="18"/>
                <w:color w:val="auto"/>
              </w:rPr>
              <w:t>F-13</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6" w:right="299" w:bottom="1440" w:gutter="0" w:footer="0" w:header="0"/>
          <w:type w:val="continuous"/>
        </w:sectPr>
      </w:pPr>
    </w:p>
    <w:bookmarkStart w:id="71" w:name="page72"/>
    <w:bookmarkEnd w:id="71"/>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13106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7">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65" w:lineRule="exact"/>
        <w:rPr>
          <w:sz w:val="20"/>
          <w:szCs w:val="20"/>
          <w:color w:val="auto"/>
        </w:rPr>
      </w:pPr>
    </w:p>
    <w:p>
      <w:pPr>
        <w:ind w:left="40"/>
        <w:spacing w:after="0" w:line="286" w:lineRule="auto"/>
        <w:rPr>
          <w:sz w:val="20"/>
          <w:szCs w:val="20"/>
          <w:color w:val="auto"/>
        </w:rPr>
      </w:pPr>
      <w:r>
        <w:rPr>
          <w:rFonts w:ascii="Arial" w:cs="Arial" w:eastAsia="Arial" w:hAnsi="Arial"/>
          <w:sz w:val="17"/>
          <w:szCs w:val="17"/>
          <w:i w:val="1"/>
          <w:iCs w:val="1"/>
          <w:color w:val="auto"/>
        </w:rPr>
        <w:t>Revenue from Contracts with Customers (Topic 606) and related updates:</w:t>
      </w:r>
    </w:p>
    <w:p>
      <w:pPr>
        <w:spacing w:after="0" w:line="165" w:lineRule="exact"/>
        <w:rPr>
          <w:sz w:val="20"/>
          <w:szCs w:val="20"/>
          <w:color w:val="auto"/>
        </w:rPr>
      </w:pPr>
    </w:p>
    <w:p>
      <w:pPr>
        <w:ind w:left="160" w:right="440"/>
        <w:spacing w:after="0" w:line="279" w:lineRule="auto"/>
        <w:rPr>
          <w:sz w:val="20"/>
          <w:szCs w:val="20"/>
          <w:color w:val="auto"/>
        </w:rPr>
      </w:pPr>
      <w:r>
        <w:rPr>
          <w:rFonts w:ascii="Arial" w:cs="Arial" w:eastAsia="Arial" w:hAnsi="Arial"/>
          <w:sz w:val="17"/>
          <w:szCs w:val="17"/>
          <w:color w:val="auto"/>
        </w:rPr>
        <w:t xml:space="preserve">ASU 2014-09, May 2014,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p>
    <w:p>
      <w:pPr>
        <w:spacing w:after="0" w:line="170" w:lineRule="exact"/>
        <w:rPr>
          <w:sz w:val="20"/>
          <w:szCs w:val="20"/>
          <w:color w:val="auto"/>
        </w:rPr>
      </w:pPr>
    </w:p>
    <w:p>
      <w:pPr>
        <w:ind w:left="160" w:right="380" w:firstLine="10"/>
        <w:spacing w:after="0" w:line="293" w:lineRule="auto"/>
        <w:rPr>
          <w:sz w:val="20"/>
          <w:szCs w:val="20"/>
          <w:color w:val="auto"/>
        </w:rPr>
      </w:pPr>
      <w:r>
        <w:rPr>
          <w:rFonts w:ascii="Arial" w:cs="Arial" w:eastAsia="Arial" w:hAnsi="Arial"/>
          <w:sz w:val="16"/>
          <w:szCs w:val="16"/>
          <w:color w:val="auto"/>
        </w:rPr>
        <w:t xml:space="preserve">ASU 2015-14, August 2015, </w:t>
      </w:r>
      <w:r>
        <w:rPr>
          <w:rFonts w:ascii="Arial" w:cs="Arial" w:eastAsia="Arial" w:hAnsi="Arial"/>
          <w:sz w:val="16"/>
          <w:szCs w:val="16"/>
          <w:i w:val="1"/>
          <w:iCs w:val="1"/>
          <w:color w:val="auto"/>
        </w:rPr>
        <w:t>Revenue from Contracts with Customers: Deferral of the Effective Date</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ASU 2016-08</w:t>
      </w:r>
      <w:r>
        <w:rPr>
          <w:rFonts w:ascii="Arial" w:cs="Arial" w:eastAsia="Arial" w:hAnsi="Arial"/>
          <w:sz w:val="18"/>
          <w:szCs w:val="18"/>
          <w:i w:val="1"/>
          <w:iCs w:val="1"/>
          <w:color w:val="auto"/>
        </w:rPr>
        <w:t>,</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March 2016</w:t>
      </w:r>
      <w:r>
        <w:rPr>
          <w:rFonts w:ascii="Arial" w:cs="Arial" w:eastAsia="Arial" w:hAnsi="Arial"/>
          <w:sz w:val="18"/>
          <w:szCs w:val="18"/>
          <w:i w:val="1"/>
          <w:iCs w:val="1"/>
          <w:color w:val="auto"/>
        </w:rPr>
        <w:t>,</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Revenue from</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Contracts with</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Customers: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Principal versus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Agent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Considerations</w:t>
      </w:r>
    </w:p>
    <w:p>
      <w:pPr>
        <w:spacing w:after="0" w:line="210" w:lineRule="exact"/>
        <w:rPr>
          <w:sz w:val="20"/>
          <w:szCs w:val="20"/>
          <w:color w:val="auto"/>
        </w:rPr>
      </w:pPr>
    </w:p>
    <w:p>
      <w:pPr>
        <w:ind w:left="160" w:right="400"/>
        <w:spacing w:after="0" w:line="269" w:lineRule="auto"/>
        <w:rPr>
          <w:sz w:val="20"/>
          <w:szCs w:val="20"/>
          <w:color w:val="auto"/>
        </w:rPr>
      </w:pPr>
      <w:r>
        <w:rPr>
          <w:rFonts w:ascii="Arial" w:cs="Arial" w:eastAsia="Arial" w:hAnsi="Arial"/>
          <w:sz w:val="17"/>
          <w:szCs w:val="17"/>
          <w:color w:val="auto"/>
        </w:rPr>
        <w:t>ASU 2016-10</w:t>
      </w:r>
      <w:r>
        <w:rPr>
          <w:rFonts w:ascii="Arial" w:cs="Arial" w:eastAsia="Arial" w:hAnsi="Arial"/>
          <w:sz w:val="17"/>
          <w:szCs w:val="17"/>
          <w:i w:val="1"/>
          <w:iCs w:val="1"/>
          <w:color w:val="auto"/>
        </w:rPr>
        <w:t>,</w:t>
      </w:r>
      <w:r>
        <w:rPr>
          <w:rFonts w:ascii="Arial" w:cs="Arial" w:eastAsia="Arial" w:hAnsi="Arial"/>
          <w:sz w:val="17"/>
          <w:szCs w:val="17"/>
          <w:color w:val="auto"/>
        </w:rPr>
        <w:t xml:space="preserve"> April 2016</w:t>
      </w:r>
      <w:r>
        <w:rPr>
          <w:rFonts w:ascii="Arial" w:cs="Arial" w:eastAsia="Arial" w:hAnsi="Arial"/>
          <w:sz w:val="17"/>
          <w:szCs w:val="17"/>
          <w:i w:val="1"/>
          <w:iCs w:val="1"/>
          <w:color w:val="auto"/>
        </w:rPr>
        <w:t>, 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p>
    <w:p>
      <w:pPr>
        <w:spacing w:after="0" w:line="1" w:lineRule="exact"/>
        <w:rPr>
          <w:sz w:val="20"/>
          <w:szCs w:val="20"/>
          <w:color w:val="auto"/>
        </w:rPr>
      </w:pPr>
    </w:p>
    <w:p>
      <w:pPr>
        <w:ind w:left="160" w:right="700"/>
        <w:spacing w:after="0" w:line="253" w:lineRule="auto"/>
        <w:rPr>
          <w:sz w:val="20"/>
          <w:szCs w:val="20"/>
          <w:color w:val="auto"/>
        </w:rPr>
      </w:pPr>
      <w:r>
        <w:rPr>
          <w:rFonts w:ascii="Arial" w:cs="Arial" w:eastAsia="Arial" w:hAnsi="Arial"/>
          <w:sz w:val="18"/>
          <w:szCs w:val="18"/>
          <w:i w:val="1"/>
          <w:iCs w:val="1"/>
          <w:color w:val="auto"/>
        </w:rPr>
        <w:t>Identifying Performance Obligations and Licensing</w:t>
      </w:r>
    </w:p>
    <w:p>
      <w:pPr>
        <w:spacing w:after="0" w:line="192" w:lineRule="exact"/>
        <w:rPr>
          <w:sz w:val="20"/>
          <w:szCs w:val="20"/>
          <w:color w:val="auto"/>
        </w:rPr>
      </w:pPr>
    </w:p>
    <w:p>
      <w:pPr>
        <w:ind w:left="160" w:right="440"/>
        <w:spacing w:after="0" w:line="269" w:lineRule="auto"/>
        <w:rPr>
          <w:sz w:val="20"/>
          <w:szCs w:val="20"/>
          <w:color w:val="auto"/>
        </w:rPr>
      </w:pPr>
      <w:r>
        <w:rPr>
          <w:rFonts w:ascii="Arial" w:cs="Arial" w:eastAsia="Arial" w:hAnsi="Arial"/>
          <w:sz w:val="17"/>
          <w:szCs w:val="17"/>
          <w:color w:val="auto"/>
        </w:rPr>
        <w:t>ASU 2016-12</w:t>
      </w:r>
      <w:r>
        <w:rPr>
          <w:rFonts w:ascii="Arial" w:cs="Arial" w:eastAsia="Arial" w:hAnsi="Arial"/>
          <w:sz w:val="17"/>
          <w:szCs w:val="17"/>
          <w:i w:val="1"/>
          <w:iCs w:val="1"/>
          <w:color w:val="auto"/>
        </w:rPr>
        <w:t>,</w:t>
      </w:r>
      <w:r>
        <w:rPr>
          <w:rFonts w:ascii="Arial" w:cs="Arial" w:eastAsia="Arial" w:hAnsi="Arial"/>
          <w:sz w:val="17"/>
          <w:szCs w:val="17"/>
          <w:color w:val="auto"/>
        </w:rPr>
        <w:t xml:space="preserve"> May 2016</w:t>
      </w:r>
      <w:r>
        <w:rPr>
          <w:rFonts w:ascii="Arial" w:cs="Arial" w:eastAsia="Arial" w:hAnsi="Arial"/>
          <w:sz w:val="17"/>
          <w:szCs w:val="17"/>
          <w:i w:val="1"/>
          <w:iCs w:val="1"/>
          <w:color w:val="auto"/>
        </w:rPr>
        <w:t>, 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p>
    <w:p>
      <w:pPr>
        <w:spacing w:after="0" w:line="1" w:lineRule="exact"/>
        <w:rPr>
          <w:sz w:val="20"/>
          <w:szCs w:val="20"/>
          <w:color w:val="auto"/>
        </w:rPr>
      </w:pPr>
    </w:p>
    <w:p>
      <w:pPr>
        <w:ind w:left="160" w:right="360"/>
        <w:spacing w:after="0" w:line="302" w:lineRule="auto"/>
        <w:rPr>
          <w:sz w:val="20"/>
          <w:szCs w:val="20"/>
          <w:color w:val="auto"/>
        </w:rPr>
      </w:pPr>
      <w:r>
        <w:rPr>
          <w:rFonts w:ascii="Arial" w:cs="Arial" w:eastAsia="Arial" w:hAnsi="Arial"/>
          <w:sz w:val="16"/>
          <w:szCs w:val="16"/>
          <w:i w:val="1"/>
          <w:iCs w:val="1"/>
          <w:color w:val="auto"/>
        </w:rPr>
        <w:t>Narrow-Scope Improvements and Practical Expedients</w:t>
      </w:r>
    </w:p>
    <w:p>
      <w:pPr>
        <w:spacing w:after="0" w:line="154" w:lineRule="exact"/>
        <w:rPr>
          <w:sz w:val="20"/>
          <w:szCs w:val="20"/>
          <w:color w:val="auto"/>
        </w:rPr>
      </w:pPr>
    </w:p>
    <w:p>
      <w:pPr>
        <w:ind w:left="160" w:right="680"/>
        <w:spacing w:after="0" w:line="285" w:lineRule="auto"/>
        <w:rPr>
          <w:sz w:val="20"/>
          <w:szCs w:val="20"/>
          <w:color w:val="auto"/>
        </w:rPr>
      </w:pPr>
      <w:r>
        <w:rPr>
          <w:rFonts w:ascii="Arial" w:cs="Arial" w:eastAsia="Arial" w:hAnsi="Arial"/>
          <w:sz w:val="16"/>
          <w:szCs w:val="16"/>
          <w:color w:val="auto"/>
        </w:rPr>
        <w:t>ASU 2016-20</w:t>
      </w:r>
      <w:r>
        <w:rPr>
          <w:rFonts w:ascii="Arial" w:cs="Arial" w:eastAsia="Arial" w:hAnsi="Arial"/>
          <w:sz w:val="16"/>
          <w:szCs w:val="16"/>
          <w:i w:val="1"/>
          <w:iCs w:val="1"/>
          <w:color w:val="auto"/>
        </w:rPr>
        <w:t>,</w:t>
      </w:r>
      <w:r>
        <w:rPr>
          <w:rFonts w:ascii="Arial" w:cs="Arial" w:eastAsia="Arial" w:hAnsi="Arial"/>
          <w:sz w:val="16"/>
          <w:szCs w:val="16"/>
          <w:color w:val="auto"/>
        </w:rPr>
        <w:t xml:space="preserve"> December 2016, </w:t>
      </w:r>
      <w:r>
        <w:rPr>
          <w:rFonts w:ascii="Arial" w:cs="Arial" w:eastAsia="Arial" w:hAnsi="Arial"/>
          <w:sz w:val="16"/>
          <w:szCs w:val="16"/>
          <w:i w:val="1"/>
          <w:iCs w:val="1"/>
          <w:color w:val="auto"/>
        </w:rPr>
        <w:t>Revenue from Contracts with Customers:</w:t>
      </w:r>
    </w:p>
    <w:p>
      <w:pPr>
        <w:spacing w:after="0" w:line="1" w:lineRule="exact"/>
        <w:rPr>
          <w:sz w:val="20"/>
          <w:szCs w:val="20"/>
          <w:color w:val="auto"/>
        </w:rPr>
      </w:pPr>
    </w:p>
    <w:p>
      <w:pPr>
        <w:ind w:left="160" w:right="700"/>
        <w:spacing w:after="0" w:line="302" w:lineRule="auto"/>
        <w:rPr>
          <w:sz w:val="20"/>
          <w:szCs w:val="20"/>
          <w:color w:val="auto"/>
        </w:rPr>
      </w:pPr>
      <w:r>
        <w:rPr>
          <w:rFonts w:ascii="Arial" w:cs="Arial" w:eastAsia="Arial" w:hAnsi="Arial"/>
          <w:sz w:val="16"/>
          <w:szCs w:val="16"/>
          <w:i w:val="1"/>
          <w:iCs w:val="1"/>
          <w:color w:val="auto"/>
        </w:rPr>
        <w:t>Technical Corrections and Improvements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20" w:type="dxa"/>
            <w:vAlign w:val="bottom"/>
          </w:tcPr>
          <w:p>
            <w:pPr>
              <w:ind w:left="40"/>
              <w:spacing w:after="0"/>
              <w:rPr>
                <w:sz w:val="20"/>
                <w:szCs w:val="20"/>
                <w:color w:val="auto"/>
              </w:rPr>
            </w:pPr>
            <w:r>
              <w:rPr>
                <w:rFonts w:ascii="Arial" w:cs="Arial" w:eastAsia="Arial" w:hAnsi="Arial"/>
                <w:sz w:val="16"/>
                <w:szCs w:val="16"/>
                <w:b w:val="1"/>
                <w:bCs w:val="1"/>
                <w:color w:val="auto"/>
                <w:w w:val="93"/>
              </w:rPr>
              <w:t>Effect on the financial statements or significant</w:t>
            </w:r>
          </w:p>
        </w:tc>
      </w:tr>
      <w:tr>
        <w:trPr>
          <w:trHeight w:val="210"/>
        </w:trPr>
        <w:tc>
          <w:tcPr>
            <w:tcW w:w="4440" w:type="dxa"/>
            <w:vAlign w:val="bottom"/>
            <w:gridSpan w:val="2"/>
          </w:tcPr>
          <w:p>
            <w:pPr>
              <w:ind w:left="20"/>
              <w:spacing w:after="0"/>
              <w:rPr>
                <w:sz w:val="20"/>
                <w:szCs w:val="20"/>
                <w:color w:val="auto"/>
              </w:rPr>
            </w:pPr>
            <w:r>
              <w:rPr>
                <w:rFonts w:ascii="Arial" w:cs="Arial" w:eastAsia="Arial" w:hAnsi="Arial"/>
                <w:sz w:val="16"/>
                <w:szCs w:val="16"/>
                <w:b w:val="1"/>
                <w:bCs w:val="1"/>
                <w:color w:val="auto"/>
              </w:rPr>
              <w:t>Description</w:t>
            </w: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rPr>
              <w:t>Date of Adoption</w:t>
            </w:r>
          </w:p>
        </w:tc>
        <w:tc>
          <w:tcPr>
            <w:tcW w:w="3420" w:type="dxa"/>
            <w:vAlign w:val="bottom"/>
          </w:tcPr>
          <w:p>
            <w:pPr>
              <w:ind w:left="40"/>
              <w:spacing w:after="0"/>
              <w:rPr>
                <w:sz w:val="20"/>
                <w:szCs w:val="20"/>
                <w:color w:val="auto"/>
              </w:rPr>
            </w:pPr>
            <w:r>
              <w:rPr>
                <w:rFonts w:ascii="Arial" w:cs="Arial" w:eastAsia="Arial" w:hAnsi="Arial"/>
                <w:sz w:val="16"/>
                <w:szCs w:val="16"/>
                <w:b w:val="1"/>
                <w:bCs w:val="1"/>
                <w:color w:val="auto"/>
              </w:rPr>
              <w:t>matters</w:t>
            </w:r>
          </w:p>
        </w:tc>
      </w:tr>
      <w:tr>
        <w:trPr>
          <w:trHeight w:val="33"/>
        </w:trPr>
        <w:tc>
          <w:tcPr>
            <w:tcW w:w="4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22"/>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In May 2014, the the FASB issued ASU 2014-09,</w:t>
            </w: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January 2018</w:t>
            </w:r>
          </w:p>
        </w:tc>
        <w:tc>
          <w:tcPr>
            <w:tcW w:w="3420" w:type="dxa"/>
            <w:vAlign w:val="bottom"/>
          </w:tcPr>
          <w:p>
            <w:pPr>
              <w:ind w:left="40"/>
              <w:spacing w:after="0"/>
              <w:rPr>
                <w:sz w:val="20"/>
                <w:szCs w:val="20"/>
                <w:color w:val="auto"/>
              </w:rPr>
            </w:pPr>
            <w:r>
              <w:rPr>
                <w:rFonts w:ascii="Arial" w:cs="Arial" w:eastAsia="Arial" w:hAnsi="Arial"/>
                <w:sz w:val="18"/>
                <w:szCs w:val="18"/>
                <w:color w:val="auto"/>
                <w:w w:val="95"/>
              </w:rPr>
              <w:t>Currently, gains on contracted condominium</w:t>
            </w: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w w:val="96"/>
              </w:rPr>
              <w:t>"Revenue from Contracts with Customers." ASU 2014-09</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1"/>
              </w:rPr>
              <w:t>sales are recognized using the percentage-of-</w:t>
            </w: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w w:val="95"/>
              </w:rPr>
              <w:t>as amended and interpreted by ASU 2015-14, ASU 2016-</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4"/>
              </w:rPr>
              <w:t>completion method, with the gain recognized</w:t>
            </w: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08, ASU 2016-10, ASU 2016-12, and ASU 2016-20,</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0"/>
              </w:rPr>
              <w:t>once certain criteria have been met in advance</w:t>
            </w: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w w:val="92"/>
              </w:rPr>
              <w:t>supersedes nearly all existing revenue recognition guidance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4"/>
              </w:rPr>
              <w:t>of legal closing (see further discussion in the</w:t>
            </w: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under GAAP and replaces it with a core revenue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7"/>
              </w:rPr>
              <w:t>"Revenue Recognition" section of Note 2 to</w:t>
            </w: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w w:val="96"/>
              </w:rPr>
              <w:t>recognition principle, that an entity will recognize revenue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3"/>
              </w:rPr>
              <w:t>the consolidated financial statements). Under</w:t>
            </w: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w w:val="96"/>
              </w:rPr>
              <w:t>when it transfers control of promised goods or services to</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7"/>
              </w:rPr>
              <w:t>the new guidance, condominium sale gains</w:t>
            </w: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w w:val="97"/>
              </w:rPr>
              <w:t>customers in an amount that reflects the consideration to</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5"/>
              </w:rPr>
              <w:t>will be recognized as the condominium units</w:t>
            </w: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which the entity expects to be entitled in exchange for</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7"/>
              </w:rPr>
              <w:t>are legally sold, which will typically be upon</w:t>
            </w: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w w:val="95"/>
              </w:rPr>
              <w:t>those goods or services, and creates a five-step model for</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closing. The reversal of the gain will be</w:t>
            </w: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w w:val="94"/>
              </w:rPr>
              <w:t>revenue recognition in accordance with this principle. ASU</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recognized through equity, and will be</w:t>
            </w: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w w:val="95"/>
              </w:rPr>
              <w:t>2014-09 also requires new disclosures in both interim and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4"/>
              </w:rPr>
              <w:t>reflected in accumulated dividends in excess</w:t>
            </w: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w w:val="98"/>
              </w:rPr>
              <w:t>annual reporting periods. The guidance in ASU 2014-09</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of net income.</w:t>
            </w: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w w:val="97"/>
              </w:rPr>
              <w:t>does not apply to contracts within the scope of ASC 840,</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Leases.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7"/>
              </w:rPr>
              <w:t>Most of our revenue is accounted for under</w:t>
            </w:r>
          </w:p>
        </w:tc>
      </w:tr>
      <w:tr>
        <w:trPr>
          <w:trHeight w:val="216"/>
        </w:trPr>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the leasing standard, and therefore is not</w:t>
            </w: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ASU 2016-08 clarifies how to identify the unit of</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subject to this standard.</w:t>
            </w: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w w:val="97"/>
              </w:rPr>
              <w:t>accounting for the principal versus agent evaluation, how</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 apply the control principle to certain types of</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2"/>
              </w:rPr>
              <w:t>With the exception of condominium sales, the</w:t>
            </w: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w w:val="94"/>
              </w:rPr>
              <w:t>arrangements, such as service transactions, and reframed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adoption of the standard will not have a</w:t>
            </w: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w w:val="94"/>
              </w:rPr>
              <w:t>the indicators in the guidance to focus on evidence that an</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significant impact on our consolidated</w:t>
            </w: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entity is acting as a principal rather than as an agent.</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financial statements.</w:t>
            </w:r>
          </w:p>
        </w:tc>
      </w:tr>
      <w:tr>
        <w:trPr>
          <w:trHeight w:val="417"/>
        </w:trPr>
        <w:tc>
          <w:tcPr>
            <w:tcW w:w="4440" w:type="dxa"/>
            <w:vAlign w:val="bottom"/>
            <w:gridSpan w:val="2"/>
          </w:tcPr>
          <w:p>
            <w:pPr>
              <w:ind w:left="20"/>
              <w:spacing w:after="0"/>
              <w:rPr>
                <w:sz w:val="20"/>
                <w:szCs w:val="20"/>
                <w:color w:val="auto"/>
              </w:rPr>
            </w:pPr>
            <w:r>
              <w:rPr>
                <w:rFonts w:ascii="Arial" w:cs="Arial" w:eastAsia="Arial" w:hAnsi="Arial"/>
                <w:sz w:val="18"/>
                <w:szCs w:val="18"/>
                <w:color w:val="auto"/>
                <w:w w:val="95"/>
              </w:rPr>
              <w:t>ASU 2016-10 clarifies the existing guidance on identifying</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We will implement the new revenue</w:t>
            </w: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performance obligations and licensing implementation.</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4"/>
              </w:rPr>
              <w:t>recognition guidance retrospectively with the</w:t>
            </w:r>
          </w:p>
        </w:tc>
      </w:tr>
      <w:tr>
        <w:trPr>
          <w:trHeight w:val="216"/>
        </w:trPr>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4"/>
              </w:rPr>
              <w:t>cumulative effect recognized in accumulated</w:t>
            </w: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ASU 2016-12 adds practical expedients related to the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3"/>
              </w:rPr>
              <w:t>dividends in excess of net income at the date</w:t>
            </w: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w w:val="98"/>
              </w:rPr>
              <w:t>transition for contract modifications and further defines a</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of initial application.</w:t>
            </w: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completed contract, clarifies the objective of the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w w:val="94"/>
              </w:rPr>
              <w:t>collectability assessment and how revenue is recognized if</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collectability is not probable,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w w:val="97"/>
              </w:rPr>
              <w:t>and when non-cash considerations should be measured.</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17"/>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ASU 2016-20 corrects or improves guidance in thirteen</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narrowly focused aspects of the guidance.</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17"/>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The standard allows for either "full retrospective"</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adoption, meaning the standard is applied to all of the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w w:val="99"/>
              </w:rPr>
              <w:t>periods presented, or "modified retrospective" adoption,</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w w:val="94"/>
              </w:rPr>
              <w:t>meaning the cumulative impact of applying the standard is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recognized in accumulated dividends in excess of net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income on the date of application.</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F-14</w:t>
      </w:r>
    </w:p>
    <w:p>
      <w:pPr>
        <w:sectPr>
          <w:pgSz w:w="11900" w:h="16838" w:orient="portrait"/>
          <w:cols w:equalWidth="0" w:num="2">
            <w:col w:w="2040" w:space="160"/>
            <w:col w:w="9220"/>
          </w:cols>
          <w:pgMar w:left="240" w:top="126" w:right="2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59">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13106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820"/>
        <w:spacing w:after="0"/>
        <w:rPr>
          <w:sz w:val="20"/>
          <w:szCs w:val="20"/>
          <w:color w:val="auto"/>
        </w:rPr>
      </w:pPr>
      <w:r>
        <w:rPr>
          <w:rFonts w:ascii="Arial" w:cs="Arial" w:eastAsia="Arial" w:hAnsi="Arial"/>
          <w:sz w:val="14"/>
          <w:szCs w:val="14"/>
          <w:b w:val="1"/>
          <w:bCs w:val="1"/>
          <w:color w:val="auto"/>
        </w:rPr>
        <w:t>Effect on the financial statements or significant</w:t>
      </w:r>
    </w:p>
    <w:p>
      <w:pPr>
        <w:spacing w:after="0" w:line="49" w:lineRule="exact"/>
        <w:rPr>
          <w:sz w:val="20"/>
          <w:szCs w:val="20"/>
          <w:color w:val="auto"/>
        </w:rPr>
      </w:pPr>
    </w:p>
    <w:p>
      <w:pPr>
        <w:spacing w:after="0"/>
        <w:tabs>
          <w:tab w:leader="none" w:pos="4440" w:val="left"/>
          <w:tab w:leader="none" w:pos="5800" w:val="left"/>
        </w:tabs>
        <w:rPr>
          <w:sz w:val="20"/>
          <w:szCs w:val="20"/>
          <w:color w:val="auto"/>
        </w:rPr>
      </w:pPr>
      <w:r>
        <w:rPr>
          <w:rFonts w:ascii="Arial" w:cs="Arial" w:eastAsia="Arial" w:hAnsi="Arial"/>
          <w:sz w:val="16"/>
          <w:szCs w:val="16"/>
          <w:b w:val="1"/>
          <w:bCs w:val="1"/>
          <w:color w:val="auto"/>
        </w:rPr>
        <w:t>Description</w:t>
      </w:r>
      <w:r>
        <w:rPr>
          <w:sz w:val="20"/>
          <w:szCs w:val="20"/>
          <w:color w:val="auto"/>
        </w:rPr>
        <w:tab/>
      </w:r>
      <w:r>
        <w:rPr>
          <w:rFonts w:ascii="Arial" w:cs="Arial" w:eastAsia="Arial" w:hAnsi="Arial"/>
          <w:sz w:val="16"/>
          <w:szCs w:val="16"/>
          <w:b w:val="1"/>
          <w:bCs w:val="1"/>
          <w:color w:val="auto"/>
        </w:rPr>
        <w:t>Date of Adoption</w:t>
      </w:r>
      <w:r>
        <w:rPr>
          <w:sz w:val="20"/>
          <w:szCs w:val="20"/>
          <w:color w:val="auto"/>
        </w:rPr>
        <w:tab/>
      </w:r>
      <w:r>
        <w:rPr>
          <w:rFonts w:ascii="Arial" w:cs="Arial" w:eastAsia="Arial" w:hAnsi="Arial"/>
          <w:sz w:val="14"/>
          <w:szCs w:val="14"/>
          <w:b w:val="1"/>
          <w:bCs w:val="1"/>
          <w:color w:val="auto"/>
        </w:rPr>
        <w:t>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32385</wp:posOffset>
            </wp:positionV>
            <wp:extent cx="58591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9">
                      <a:extLst>
                        <a:ext uri="{28A0092B-C50C-407E-A947-70E740481C1C}"/>
                      </a:extLst>
                    </a:blip>
                    <a:srcRect/>
                    <a:stretch>
                      <a:fillRect/>
                    </a:stretch>
                  </pic:blipFill>
                  <pic:spPr bwMode="auto">
                    <a:xfrm>
                      <a:off x="0" y="0"/>
                      <a:ext cx="5859145" cy="8255"/>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1500" w:space="720"/>
            <w:col w:w="9060"/>
          </w:cols>
          <w:pgMar w:left="240" w:top="126" w:right="379" w:bottom="1440" w:gutter="0" w:footer="0" w:header="0"/>
        </w:sectPr>
      </w:pPr>
    </w:p>
    <w:p>
      <w:pPr>
        <w:ind w:left="40" w:right="60"/>
        <w:spacing w:after="0" w:line="287" w:lineRule="auto"/>
        <w:rPr>
          <w:sz w:val="20"/>
          <w:szCs w:val="20"/>
          <w:color w:val="auto"/>
        </w:rPr>
      </w:pPr>
      <w:r>
        <w:rPr>
          <w:rFonts w:ascii="Arial" w:cs="Arial" w:eastAsia="Arial" w:hAnsi="Arial"/>
          <w:sz w:val="16"/>
          <w:szCs w:val="16"/>
          <w:color w:val="auto"/>
        </w:rPr>
        <w:t xml:space="preserve">ASU 2017-05, February 2017, </w:t>
      </w:r>
      <w:r>
        <w:rPr>
          <w:rFonts w:ascii="Arial" w:cs="Arial" w:eastAsia="Arial" w:hAnsi="Arial"/>
          <w:sz w:val="16"/>
          <w:szCs w:val="16"/>
          <w:i w:val="1"/>
          <w:iCs w:val="1"/>
          <w:color w:val="auto"/>
        </w:rPr>
        <w:t>Other Income -</w:t>
      </w:r>
      <w:r>
        <w:rPr>
          <w:rFonts w:ascii="Arial" w:cs="Arial" w:eastAsia="Arial" w:hAnsi="Arial"/>
          <w:sz w:val="16"/>
          <w:szCs w:val="16"/>
          <w:color w:val="auto"/>
        </w:rPr>
        <w:t xml:space="preserve"> </w:t>
      </w:r>
      <w:r>
        <w:rPr>
          <w:rFonts w:ascii="Arial" w:cs="Arial" w:eastAsia="Arial" w:hAnsi="Arial"/>
          <w:sz w:val="16"/>
          <w:szCs w:val="16"/>
          <w:i w:val="1"/>
          <w:iCs w:val="1"/>
          <w:color w:val="auto"/>
        </w:rPr>
        <w:t>Gains and Losses from the Recognition of Nonfinancial Assets (Subtopic 610-20): Clarifying the Scope of Asset Derecognition Guidance and Accounting for Partial Sales of Nonfinancial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spacing w:after="0" w:line="287" w:lineRule="auto"/>
        <w:rPr>
          <w:sz w:val="20"/>
          <w:szCs w:val="20"/>
          <w:color w:val="auto"/>
        </w:rPr>
      </w:pPr>
      <w:r>
        <w:rPr>
          <w:rFonts w:ascii="Arial" w:cs="Arial" w:eastAsia="Arial" w:hAnsi="Arial"/>
          <w:sz w:val="16"/>
          <w:szCs w:val="16"/>
          <w:color w:val="auto"/>
        </w:rPr>
        <w:t xml:space="preserve">ASU 2017-09, May 2017, </w:t>
      </w:r>
      <w:r>
        <w:rPr>
          <w:rFonts w:ascii="Arial" w:cs="Arial" w:eastAsia="Arial" w:hAnsi="Arial"/>
          <w:sz w:val="16"/>
          <w:szCs w:val="16"/>
          <w:i w:val="1"/>
          <w:iCs w:val="1"/>
          <w:color w:val="auto"/>
        </w:rPr>
        <w:t>Compensation-Stock Compensation (Topic 718):</w:t>
      </w:r>
    </w:p>
    <w:p>
      <w:pPr>
        <w:spacing w:after="0" w:line="2" w:lineRule="exact"/>
        <w:rPr>
          <w:sz w:val="20"/>
          <w:szCs w:val="20"/>
          <w:color w:val="auto"/>
        </w:rPr>
      </w:pPr>
    </w:p>
    <w:p>
      <w:pPr>
        <w:ind w:left="40" w:right="380"/>
        <w:spacing w:after="0" w:line="323" w:lineRule="auto"/>
        <w:rPr>
          <w:sz w:val="20"/>
          <w:szCs w:val="20"/>
          <w:color w:val="auto"/>
        </w:rPr>
      </w:pPr>
      <w:r>
        <w:rPr>
          <w:rFonts w:ascii="Arial" w:cs="Arial" w:eastAsia="Arial" w:hAnsi="Arial"/>
          <w:sz w:val="16"/>
          <w:szCs w:val="16"/>
          <w:i w:val="1"/>
          <w:iCs w:val="1"/>
          <w:color w:val="auto"/>
        </w:rPr>
        <w:t>Scope of Modification Accoutning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u w:val="single" w:color="auto"/>
          <w:color w:val="auto"/>
        </w:rPr>
        <w:t>Not Yet Adopted:</w:t>
      </w:r>
    </w:p>
    <w:p>
      <w:pPr>
        <w:spacing w:after="0" w:line="20" w:lineRule="exact"/>
        <w:rPr>
          <w:sz w:val="20"/>
          <w:szCs w:val="20"/>
          <w:color w:val="auto"/>
        </w:rPr>
      </w:pPr>
      <w:r>
        <w:rPr>
          <w:sz w:val="20"/>
          <w:szCs w:val="20"/>
          <w:color w:val="auto"/>
        </w:rPr>
        <w:br w:type="column"/>
      </w:r>
    </w:p>
    <w:p>
      <w:pPr>
        <w:spacing w:after="0"/>
        <w:tabs>
          <w:tab w:leader="none" w:pos="4440" w:val="left"/>
        </w:tabs>
        <w:rPr>
          <w:sz w:val="20"/>
          <w:szCs w:val="20"/>
          <w:color w:val="auto"/>
        </w:rPr>
      </w:pPr>
      <w:r>
        <w:rPr>
          <w:rFonts w:ascii="Arial" w:cs="Arial" w:eastAsia="Arial" w:hAnsi="Arial"/>
          <w:sz w:val="18"/>
          <w:szCs w:val="18"/>
          <w:color w:val="auto"/>
        </w:rPr>
        <w:t>This ASU clarifies that ASC 610-20 applies to all</w:t>
      </w:r>
      <w:r>
        <w:rPr>
          <w:sz w:val="20"/>
          <w:szCs w:val="20"/>
          <w:color w:val="auto"/>
        </w:rPr>
        <w:tab/>
      </w:r>
      <w:r>
        <w:rPr>
          <w:rFonts w:ascii="Arial" w:cs="Arial" w:eastAsia="Arial" w:hAnsi="Arial"/>
          <w:sz w:val="15"/>
          <w:szCs w:val="15"/>
          <w:color w:val="auto"/>
        </w:rPr>
        <w:t>January 2018</w:t>
      </w:r>
    </w:p>
    <w:p>
      <w:pPr>
        <w:spacing w:after="0" w:line="23" w:lineRule="exact"/>
        <w:rPr>
          <w:sz w:val="20"/>
          <w:szCs w:val="20"/>
          <w:color w:val="auto"/>
        </w:rPr>
      </w:pPr>
    </w:p>
    <w:p>
      <w:pPr>
        <w:ind w:right="1140"/>
        <w:spacing w:after="0" w:line="268" w:lineRule="auto"/>
        <w:rPr>
          <w:sz w:val="20"/>
          <w:szCs w:val="20"/>
          <w:color w:val="auto"/>
        </w:rPr>
      </w:pPr>
      <w:r>
        <w:rPr>
          <w:rFonts w:ascii="Arial" w:cs="Arial" w:eastAsia="Arial" w:hAnsi="Arial"/>
          <w:sz w:val="17"/>
          <w:szCs w:val="17"/>
          <w:color w:val="auto"/>
        </w:rPr>
        <w:t>nonfinancial assets (including real estate) for which the counterparty is not a customer and also clarifies that all businesses are derecognized using the deconsolidation guidance. Additionally, it defines an insubstance nonfinancial asset as a financial asset that is promised to a counterparty in a contract in which substantially all of the fair value of the assets promised in the contract is concentrated in nonfinancial assets, which excludes cash or cash equivalents and liabilities.</w:t>
      </w:r>
    </w:p>
    <w:p>
      <w:pPr>
        <w:spacing w:after="0" w:line="260" w:lineRule="exact"/>
        <w:rPr>
          <w:sz w:val="20"/>
          <w:szCs w:val="20"/>
          <w:color w:val="auto"/>
        </w:rPr>
      </w:pPr>
    </w:p>
    <w:p>
      <w:pPr>
        <w:ind w:right="1160"/>
        <w:spacing w:after="0" w:line="296" w:lineRule="auto"/>
        <w:rPr>
          <w:sz w:val="20"/>
          <w:szCs w:val="20"/>
          <w:color w:val="auto"/>
        </w:rPr>
      </w:pPr>
      <w:r>
        <w:rPr>
          <w:rFonts w:ascii="Arial" w:cs="Arial" w:eastAsia="Arial" w:hAnsi="Arial"/>
          <w:sz w:val="16"/>
          <w:szCs w:val="16"/>
          <w:color w:val="auto"/>
        </w:rPr>
        <w:t>Under the current guidance, a partial sale is recognized and carryover basis is used for the retained interest, however, the new guidance eliminates the use of carryover basis and generally requires a full gain to be recognized for prospective disposals of nonfinancial assets.</w:t>
      </w:r>
    </w:p>
    <w:p>
      <w:pPr>
        <w:spacing w:after="0" w:line="33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ASU clarifies when changes to the terms or conditions January 2018 of a share-based payment award must be accounted for as modifications. Under the new guidance, an entity will not apply modification accounting if the awards' fair value, vesting conditions, and the classification of the award as equity or a liability are the same immediately before and after the change. The new guidance is applied prospectively to awards granted or modified after the adoption date.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new guidance is expected to impact the gain recognized when a real estate asset is sold to a non-customer and a noncontrolling interest is retained.</w:t>
      </w:r>
    </w:p>
    <w:p>
      <w:pPr>
        <w:spacing w:after="0" w:line="3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Based on our historical transactions, this standard is not expected to have a significant impact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This standard is not expected to have a significant impact to our consolidated financial statements.</w:t>
      </w:r>
    </w:p>
    <w:p>
      <w:pPr>
        <w:spacing w:after="0" w:line="1828" w:lineRule="exact"/>
        <w:rPr>
          <w:sz w:val="20"/>
          <w:szCs w:val="20"/>
          <w:color w:val="auto"/>
        </w:rPr>
      </w:pPr>
    </w:p>
    <w:p>
      <w:pPr>
        <w:sectPr>
          <w:pgSz w:w="11900" w:h="16838" w:orient="portrait"/>
          <w:cols w:equalWidth="0" w:num="3">
            <w:col w:w="2000" w:space="220"/>
            <w:col w:w="5420" w:space="400"/>
            <w:col w:w="3240"/>
          </w:cols>
          <w:pgMar w:left="240" w:top="126" w:right="379" w:bottom="1440" w:gutter="0" w:footer="0" w:header="0"/>
          <w:type w:val="continuous"/>
        </w:sectPr>
      </w:pPr>
    </w:p>
    <w:p>
      <w:pPr>
        <w:ind w:left="40" w:right="60"/>
        <w:spacing w:after="0" w:line="380" w:lineRule="auto"/>
        <w:rPr>
          <w:sz w:val="20"/>
          <w:szCs w:val="20"/>
          <w:color w:val="auto"/>
        </w:rPr>
      </w:pPr>
      <w:r>
        <w:rPr>
          <w:rFonts w:ascii="Arial" w:cs="Arial" w:eastAsia="Arial" w:hAnsi="Arial"/>
          <w:sz w:val="15"/>
          <w:szCs w:val="15"/>
          <w:color w:val="auto"/>
        </w:rPr>
        <w:t xml:space="preserve">ASU 2016-02, February 2016, </w:t>
      </w:r>
      <w:r>
        <w:rPr>
          <w:rFonts w:ascii="Arial" w:cs="Arial" w:eastAsia="Arial" w:hAnsi="Arial"/>
          <w:sz w:val="15"/>
          <w:szCs w:val="15"/>
          <w:i w:val="1"/>
          <w:iCs w:val="1"/>
          <w:color w:val="auto"/>
        </w:rPr>
        <w:t>Leases (Topic 842)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line="311" w:lineRule="auto"/>
        <w:rPr>
          <w:sz w:val="20"/>
          <w:szCs w:val="20"/>
          <w:color w:val="auto"/>
        </w:rPr>
      </w:pPr>
      <w:r>
        <w:rPr>
          <w:rFonts w:ascii="Arial" w:cs="Arial" w:eastAsia="Arial" w:hAnsi="Arial"/>
          <w:sz w:val="16"/>
          <w:szCs w:val="16"/>
          <w:color w:val="auto"/>
        </w:rPr>
        <w:t xml:space="preserve">ASU 2016-13, June 2016, </w:t>
      </w:r>
      <w:r>
        <w:rPr>
          <w:rFonts w:ascii="Arial" w:cs="Arial" w:eastAsia="Arial" w:hAnsi="Arial"/>
          <w:sz w:val="16"/>
          <w:szCs w:val="16"/>
          <w:i w:val="1"/>
          <w:iCs w:val="1"/>
          <w:color w:val="auto"/>
        </w:rPr>
        <w:t>Financial Instruments - Credit Losses (Topic 326)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20"/>
                <w:szCs w:val="20"/>
                <w:color w:val="auto"/>
              </w:rPr>
            </w:pPr>
            <w:r>
              <w:rPr>
                <w:rFonts w:ascii="Arial" w:cs="Arial" w:eastAsia="Arial" w:hAnsi="Arial"/>
                <w:sz w:val="18"/>
                <w:szCs w:val="18"/>
                <w:color w:val="auto"/>
                <w:w w:val="95"/>
              </w:rPr>
              <w:t>This ASU significantly changes the accounting for leases</w:t>
            </w:r>
          </w:p>
        </w:tc>
        <w:tc>
          <w:tcPr>
            <w:tcW w:w="1280" w:type="dxa"/>
            <w:vAlign w:val="bottom"/>
          </w:tcPr>
          <w:p>
            <w:pPr>
              <w:ind w:left="120"/>
              <w:spacing w:after="0"/>
              <w:rPr>
                <w:sz w:val="20"/>
                <w:szCs w:val="20"/>
                <w:color w:val="auto"/>
              </w:rPr>
            </w:pPr>
            <w:r>
              <w:rPr>
                <w:rFonts w:ascii="Arial" w:cs="Arial" w:eastAsia="Arial" w:hAnsi="Arial"/>
                <w:sz w:val="18"/>
                <w:szCs w:val="18"/>
                <w:color w:val="auto"/>
              </w:rPr>
              <w:t>January 2019</w:t>
            </w:r>
          </w:p>
        </w:tc>
        <w:tc>
          <w:tcPr>
            <w:tcW w:w="3400" w:type="dxa"/>
            <w:vAlign w:val="bottom"/>
          </w:tcPr>
          <w:p>
            <w:pPr>
              <w:ind w:left="200"/>
              <w:spacing w:after="0"/>
              <w:rPr>
                <w:sz w:val="20"/>
                <w:szCs w:val="20"/>
                <w:color w:val="auto"/>
              </w:rPr>
            </w:pPr>
            <w:r>
              <w:rPr>
                <w:rFonts w:ascii="Arial" w:cs="Arial" w:eastAsia="Arial" w:hAnsi="Arial"/>
                <w:sz w:val="18"/>
                <w:szCs w:val="18"/>
                <w:color w:val="auto"/>
                <w:w w:val="88"/>
              </w:rPr>
              <w:t>We are currently assessing the impact of this</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w w:val="95"/>
              </w:rPr>
              <w:t>by requiring lessees to recognize assets and liabilities for</w:t>
            </w:r>
          </w:p>
        </w:tc>
        <w:tc>
          <w:tcPr>
            <w:tcW w:w="1280" w:type="dxa"/>
            <w:vAlign w:val="bottom"/>
          </w:tcPr>
          <w:p>
            <w:pPr>
              <w:spacing w:after="0"/>
              <w:rPr>
                <w:sz w:val="18"/>
                <w:szCs w:val="18"/>
                <w:color w:val="auto"/>
              </w:rPr>
            </w:pPr>
          </w:p>
        </w:tc>
        <w:tc>
          <w:tcPr>
            <w:tcW w:w="3400" w:type="dxa"/>
            <w:vAlign w:val="bottom"/>
          </w:tcPr>
          <w:p>
            <w:pPr>
              <w:ind w:left="200"/>
              <w:spacing w:after="0"/>
              <w:rPr>
                <w:sz w:val="20"/>
                <w:szCs w:val="20"/>
                <w:color w:val="auto"/>
              </w:rPr>
            </w:pPr>
            <w:r>
              <w:rPr>
                <w:rFonts w:ascii="Arial" w:cs="Arial" w:eastAsia="Arial" w:hAnsi="Arial"/>
                <w:sz w:val="18"/>
                <w:szCs w:val="18"/>
                <w:color w:val="auto"/>
              </w:rPr>
              <w:t>standard to our consolidated financial</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w w:val="92"/>
              </w:rPr>
              <w:t>leases greater than 12 months on their balance sheet. The</w:t>
            </w:r>
          </w:p>
        </w:tc>
        <w:tc>
          <w:tcPr>
            <w:tcW w:w="1280" w:type="dxa"/>
            <w:vAlign w:val="bottom"/>
          </w:tcPr>
          <w:p>
            <w:pPr>
              <w:spacing w:after="0"/>
              <w:rPr>
                <w:sz w:val="18"/>
                <w:szCs w:val="18"/>
                <w:color w:val="auto"/>
              </w:rPr>
            </w:pPr>
          </w:p>
        </w:tc>
        <w:tc>
          <w:tcPr>
            <w:tcW w:w="3400" w:type="dxa"/>
            <w:vAlign w:val="bottom"/>
          </w:tcPr>
          <w:p>
            <w:pPr>
              <w:ind w:left="200"/>
              <w:spacing w:after="0"/>
              <w:rPr>
                <w:sz w:val="20"/>
                <w:szCs w:val="20"/>
                <w:color w:val="auto"/>
              </w:rPr>
            </w:pPr>
            <w:r>
              <w:rPr>
                <w:rFonts w:ascii="Arial" w:cs="Arial" w:eastAsia="Arial" w:hAnsi="Arial"/>
                <w:sz w:val="18"/>
                <w:szCs w:val="18"/>
                <w:color w:val="auto"/>
              </w:rPr>
              <w:t>statements.</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w w:val="93"/>
              </w:rPr>
              <w:t>lessor model stays substantially the same; however, there</w:t>
            </w:r>
          </w:p>
        </w:tc>
        <w:tc>
          <w:tcPr>
            <w:tcW w:w="12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w w:val="95"/>
              </w:rPr>
              <w:t>were modifications to conform lessor accounting with the</w:t>
            </w:r>
          </w:p>
        </w:tc>
        <w:tc>
          <w:tcPr>
            <w:tcW w:w="12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lessee model, eliminate real estate specific guidance,</w:t>
            </w:r>
          </w:p>
        </w:tc>
        <w:tc>
          <w:tcPr>
            <w:tcW w:w="12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w w:val="90"/>
              </w:rPr>
              <w:t>further define certain lease and non-lease components, and</w:t>
            </w:r>
          </w:p>
        </w:tc>
        <w:tc>
          <w:tcPr>
            <w:tcW w:w="12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change the definition of initial direct costs of leases</w:t>
            </w:r>
          </w:p>
        </w:tc>
        <w:tc>
          <w:tcPr>
            <w:tcW w:w="12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requiring significantly more leasing related costs to be</w:t>
            </w:r>
          </w:p>
        </w:tc>
        <w:tc>
          <w:tcPr>
            <w:tcW w:w="12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expensed upfront.</w:t>
            </w:r>
          </w:p>
        </w:tc>
        <w:tc>
          <w:tcPr>
            <w:tcW w:w="12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4340" w:type="dxa"/>
            <w:vAlign w:val="bottom"/>
          </w:tcPr>
          <w:p>
            <w:pPr>
              <w:spacing w:after="0"/>
              <w:rPr>
                <w:sz w:val="20"/>
                <w:szCs w:val="20"/>
                <w:color w:val="auto"/>
              </w:rPr>
            </w:pPr>
            <w:r>
              <w:rPr>
                <w:rFonts w:ascii="Arial" w:cs="Arial" w:eastAsia="Arial" w:hAnsi="Arial"/>
                <w:sz w:val="18"/>
                <w:szCs w:val="18"/>
                <w:color w:val="auto"/>
              </w:rPr>
              <w:t>This ASU changes the impairment model for most</w:t>
            </w:r>
          </w:p>
        </w:tc>
        <w:tc>
          <w:tcPr>
            <w:tcW w:w="1280" w:type="dxa"/>
            <w:vAlign w:val="bottom"/>
          </w:tcPr>
          <w:p>
            <w:pPr>
              <w:ind w:left="120"/>
              <w:spacing w:after="0"/>
              <w:rPr>
                <w:sz w:val="20"/>
                <w:szCs w:val="20"/>
                <w:color w:val="auto"/>
              </w:rPr>
            </w:pPr>
            <w:r>
              <w:rPr>
                <w:rFonts w:ascii="Arial" w:cs="Arial" w:eastAsia="Arial" w:hAnsi="Arial"/>
                <w:sz w:val="18"/>
                <w:szCs w:val="18"/>
                <w:color w:val="auto"/>
              </w:rPr>
              <w:t>January 2020</w:t>
            </w:r>
          </w:p>
        </w:tc>
        <w:tc>
          <w:tcPr>
            <w:tcW w:w="3400" w:type="dxa"/>
            <w:vAlign w:val="bottom"/>
            <w:vMerge w:val="restart"/>
          </w:tcPr>
          <w:p>
            <w:pPr>
              <w:ind w:left="200"/>
              <w:spacing w:after="0"/>
              <w:rPr>
                <w:sz w:val="20"/>
                <w:szCs w:val="20"/>
                <w:color w:val="auto"/>
              </w:rPr>
            </w:pPr>
            <w:r>
              <w:rPr>
                <w:rFonts w:ascii="Arial" w:cs="Arial" w:eastAsia="Arial" w:hAnsi="Arial"/>
                <w:sz w:val="18"/>
                <w:szCs w:val="18"/>
                <w:color w:val="auto"/>
                <w:w w:val="88"/>
              </w:rPr>
              <w:t>We are currently assessing the impact of this</w:t>
            </w:r>
          </w:p>
        </w:tc>
        <w:tc>
          <w:tcPr>
            <w:tcW w:w="0" w:type="dxa"/>
            <w:vAlign w:val="bottom"/>
          </w:tcPr>
          <w:p>
            <w:pPr>
              <w:spacing w:after="0"/>
              <w:rPr>
                <w:sz w:val="1"/>
                <w:szCs w:val="1"/>
                <w:color w:val="auto"/>
              </w:rPr>
            </w:pPr>
          </w:p>
        </w:tc>
      </w:tr>
      <w:tr>
        <w:trPr>
          <w:trHeight w:val="176"/>
        </w:trPr>
        <w:tc>
          <w:tcPr>
            <w:tcW w:w="4340" w:type="dxa"/>
            <w:vAlign w:val="bottom"/>
          </w:tcPr>
          <w:p>
            <w:pPr>
              <w:spacing w:after="0" w:line="176" w:lineRule="exact"/>
              <w:rPr>
                <w:sz w:val="20"/>
                <w:szCs w:val="20"/>
                <w:color w:val="auto"/>
              </w:rPr>
            </w:pPr>
            <w:r>
              <w:rPr>
                <w:rFonts w:ascii="Arial" w:cs="Arial" w:eastAsia="Arial" w:hAnsi="Arial"/>
                <w:sz w:val="18"/>
                <w:szCs w:val="18"/>
                <w:color w:val="auto"/>
                <w:w w:val="91"/>
              </w:rPr>
              <w:t>financial assets and certain other instruments, requiring the</w:t>
            </w:r>
          </w:p>
        </w:tc>
        <w:tc>
          <w:tcPr>
            <w:tcW w:w="1280" w:type="dxa"/>
            <w:vAlign w:val="bottom"/>
          </w:tcPr>
          <w:p>
            <w:pPr>
              <w:spacing w:after="0"/>
              <w:rPr>
                <w:sz w:val="15"/>
                <w:szCs w:val="15"/>
                <w:color w:val="auto"/>
              </w:rPr>
            </w:pPr>
          </w:p>
        </w:tc>
        <w:tc>
          <w:tcPr>
            <w:tcW w:w="3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w w:val="97"/>
              </w:rPr>
              <w:t>use of an "expected credit loss" model and adding more</w:t>
            </w:r>
          </w:p>
        </w:tc>
        <w:tc>
          <w:tcPr>
            <w:tcW w:w="1280" w:type="dxa"/>
            <w:vAlign w:val="bottom"/>
          </w:tcPr>
          <w:p>
            <w:pPr>
              <w:spacing w:after="0"/>
              <w:rPr>
                <w:sz w:val="18"/>
                <w:szCs w:val="18"/>
                <w:color w:val="auto"/>
              </w:rPr>
            </w:pPr>
          </w:p>
        </w:tc>
        <w:tc>
          <w:tcPr>
            <w:tcW w:w="3400" w:type="dxa"/>
            <w:vAlign w:val="bottom"/>
          </w:tcPr>
          <w:p>
            <w:pPr>
              <w:ind w:left="200"/>
              <w:spacing w:after="0"/>
              <w:rPr>
                <w:sz w:val="20"/>
                <w:szCs w:val="20"/>
                <w:color w:val="auto"/>
              </w:rPr>
            </w:pPr>
            <w:r>
              <w:rPr>
                <w:rFonts w:ascii="Arial" w:cs="Arial" w:eastAsia="Arial" w:hAnsi="Arial"/>
                <w:sz w:val="18"/>
                <w:szCs w:val="18"/>
                <w:color w:val="auto"/>
              </w:rPr>
              <w:t>standard to our consolidated financial</w:t>
            </w:r>
          </w:p>
        </w:tc>
        <w:tc>
          <w:tcPr>
            <w:tcW w:w="0" w:type="dxa"/>
            <w:vAlign w:val="bottom"/>
          </w:tcPr>
          <w:p>
            <w:pPr>
              <w:spacing w:after="0"/>
              <w:rPr>
                <w:sz w:val="1"/>
                <w:szCs w:val="1"/>
                <w:color w:val="auto"/>
              </w:rPr>
            </w:pPr>
          </w:p>
        </w:tc>
      </w:tr>
      <w:tr>
        <w:trPr>
          <w:trHeight w:val="270"/>
        </w:trPr>
        <w:tc>
          <w:tcPr>
            <w:tcW w:w="4340" w:type="dxa"/>
            <w:vAlign w:val="bottom"/>
          </w:tcPr>
          <w:p>
            <w:pPr>
              <w:spacing w:after="0"/>
              <w:rPr>
                <w:sz w:val="20"/>
                <w:szCs w:val="20"/>
                <w:color w:val="auto"/>
              </w:rPr>
            </w:pPr>
            <w:r>
              <w:rPr>
                <w:rFonts w:ascii="Arial" w:cs="Arial" w:eastAsia="Arial" w:hAnsi="Arial"/>
                <w:sz w:val="18"/>
                <w:szCs w:val="18"/>
                <w:color w:val="auto"/>
              </w:rPr>
              <w:t>disclosure requirements.</w:t>
            </w:r>
          </w:p>
        </w:tc>
        <w:tc>
          <w:tcPr>
            <w:tcW w:w="1280" w:type="dxa"/>
            <w:vAlign w:val="bottom"/>
          </w:tcPr>
          <w:p>
            <w:pPr>
              <w:spacing w:after="0"/>
              <w:rPr>
                <w:sz w:val="23"/>
                <w:szCs w:val="23"/>
                <w:color w:val="auto"/>
              </w:rPr>
            </w:pPr>
          </w:p>
        </w:tc>
        <w:tc>
          <w:tcPr>
            <w:tcW w:w="3400" w:type="dxa"/>
            <w:vAlign w:val="bottom"/>
          </w:tcPr>
          <w:p>
            <w:pPr>
              <w:ind w:left="200"/>
              <w:spacing w:after="0"/>
              <w:rPr>
                <w:sz w:val="20"/>
                <w:szCs w:val="20"/>
                <w:color w:val="auto"/>
              </w:rPr>
            </w:pPr>
            <w:r>
              <w:rPr>
                <w:rFonts w:ascii="Arial" w:cs="Arial" w:eastAsia="Arial" w:hAnsi="Arial"/>
                <w:sz w:val="18"/>
                <w:szCs w:val="18"/>
                <w:color w:val="auto"/>
              </w:rPr>
              <w:t>statements.</w:t>
            </w:r>
          </w:p>
        </w:tc>
        <w:tc>
          <w:tcPr>
            <w:tcW w:w="0" w:type="dxa"/>
            <w:vAlign w:val="bottom"/>
          </w:tcPr>
          <w:p>
            <w:pPr>
              <w:spacing w:after="0"/>
              <w:rPr>
                <w:sz w:val="1"/>
                <w:szCs w:val="1"/>
                <w:color w:val="auto"/>
              </w:rPr>
            </w:pPr>
          </w:p>
        </w:tc>
      </w:tr>
      <w:tr>
        <w:trPr>
          <w:trHeight w:val="647"/>
        </w:trPr>
        <w:tc>
          <w:tcPr>
            <w:tcW w:w="4340" w:type="dxa"/>
            <w:vAlign w:val="bottom"/>
          </w:tcPr>
          <w:p>
            <w:pPr>
              <w:ind w:left="3320"/>
              <w:spacing w:after="0"/>
              <w:rPr>
                <w:sz w:val="20"/>
                <w:szCs w:val="20"/>
                <w:color w:val="auto"/>
              </w:rPr>
            </w:pPr>
            <w:r>
              <w:rPr>
                <w:rFonts w:ascii="Arial" w:cs="Arial" w:eastAsia="Arial" w:hAnsi="Arial"/>
                <w:sz w:val="18"/>
                <w:szCs w:val="18"/>
                <w:color w:val="auto"/>
              </w:rPr>
              <w:t>F-15</w:t>
            </w:r>
          </w:p>
        </w:tc>
        <w:tc>
          <w:tcPr>
            <w:tcW w:w="12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1900" w:space="320"/>
            <w:col w:w="9060"/>
          </w:cols>
          <w:pgMar w:left="240" w:top="126" w:right="379" w:bottom="1440" w:gutter="0" w:footer="0" w:header="0"/>
          <w:type w:val="continuous"/>
        </w:sectPr>
      </w:pPr>
    </w:p>
    <w:bookmarkStart w:id="73" w:name="page74"/>
    <w:bookmarkEnd w:id="73"/>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Total interest costs incurred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125,684</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113,016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110,675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capitalized</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(25,559)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(18,122)</w:t>
            </w:r>
          </w:p>
        </w:tc>
        <w:tc>
          <w:tcPr>
            <w:tcW w:w="0" w:type="dxa"/>
            <w:vAlign w:val="bottom"/>
          </w:tcPr>
          <w:p>
            <w:pPr>
              <w:spacing w:after="0"/>
              <w:rPr>
                <w:sz w:val="1"/>
                <w:szCs w:val="1"/>
                <w:color w:val="auto"/>
              </w:rPr>
            </w:pPr>
          </w:p>
        </w:tc>
      </w:tr>
      <w:tr>
        <w:trPr>
          <w:trHeight w:val="236"/>
        </w:trPr>
        <w:tc>
          <w:tcPr>
            <w:tcW w:w="7080" w:type="dxa"/>
            <w:vAlign w:val="bottom"/>
          </w:tcPr>
          <w:p>
            <w:pPr>
              <w:ind w:left="700"/>
              <w:spacing w:after="0"/>
              <w:rPr>
                <w:sz w:val="20"/>
                <w:szCs w:val="20"/>
                <w:color w:val="auto"/>
              </w:rPr>
            </w:pPr>
            <w:r>
              <w:rPr>
                <w:rFonts w:ascii="Arial" w:cs="Arial" w:eastAsia="Arial" w:hAnsi="Arial"/>
                <w:sz w:val="18"/>
                <w:szCs w:val="18"/>
                <w:color w:val="auto"/>
              </w:rPr>
              <w:t>Interest expense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100,125</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94,994</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92,553</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70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Cash paid for interest, net of amounts capitalized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105,201</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90,185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116,335</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Cash paid for income taxes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8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352</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NON-CASH INVESTING AND FINANCING TRANSACTIONS:</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Mortgage loans refinanced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166,823</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loans assumed with acquisition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79,401</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34,385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89,516</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DownREIT operating partnership units issued with acquisition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5,918</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7,742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DownREIT operating partnership units redeemed for common shares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18,679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Shares issued under dividend reinvestment plan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2,017</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Capitalized lease costs are direct costs incurred which were essential to originate a lease and would not have been incurred had the leasing transaction not taken place. These costs include third party commissions and salaries and personnel costs related to obtaining a lease. Capitalized lease costs are amortized over the initial term of the related lease which generally ranges from three to ten years. We view these lease costs as part of the up-front initial investment we made in order to generate a long-term cash inflow and therefore, we classify cash outflows related to leasing costs as an investing activity in our consolidated statements of cash flows.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real estate investments and related encumbrances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Depreciation and</w:t>
            </w:r>
          </w:p>
        </w:tc>
        <w:tc>
          <w:tcPr>
            <w:tcW w:w="260" w:type="dxa"/>
            <w:vAlign w:val="bottom"/>
          </w:tcPr>
          <w:p>
            <w:pPr>
              <w:spacing w:after="0"/>
              <w:rPr>
                <w:sz w:val="12"/>
                <w:szCs w:val="12"/>
                <w:color w:val="auto"/>
              </w:rPr>
            </w:pPr>
          </w:p>
        </w:tc>
        <w:tc>
          <w:tcPr>
            <w:tcW w:w="14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Encumbrances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45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Retail and mixed-use properties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7,500,929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(1,821,046)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470,720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Retail properties under capital leases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123,346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71,556</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Residential</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10,786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(9,358)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20,785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45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7,635,061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(1,876,544)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563,061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gridSpan w:val="3"/>
            <w:vMerge w:val="restart"/>
          </w:tcPr>
          <w:p>
            <w:pPr>
              <w:ind w:left="40"/>
              <w:spacing w:after="0" w:line="196" w:lineRule="exact"/>
              <w:rPr>
                <w:sz w:val="20"/>
                <w:szCs w:val="20"/>
                <w:color w:val="auto"/>
              </w:rPr>
            </w:pPr>
            <w:r>
              <w:rPr>
                <w:rFonts w:ascii="Arial" w:cs="Arial" w:eastAsia="Arial" w:hAnsi="Arial"/>
                <w:sz w:val="18"/>
                <w:szCs w:val="18"/>
                <w:b w:val="1"/>
                <w:bCs w:val="1"/>
                <w:color w:val="auto"/>
              </w:rPr>
              <w:t>December 31, 2016</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60" w:type="dxa"/>
            <w:vAlign w:val="bottom"/>
            <w:gridSpan w:val="3"/>
            <w:vMerge w:val="continue"/>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440" w:type="dxa"/>
            <w:vAlign w:val="bottom"/>
            <w:tcBorders>
              <w:top w:val="single" w:sz="8" w:color="auto"/>
            </w:tcBorders>
          </w:tcPr>
          <w:p>
            <w:pPr>
              <w:spacing w:after="0"/>
              <w:rPr>
                <w:sz w:val="6"/>
                <w:szCs w:val="6"/>
                <w:color w:val="auto"/>
              </w:rPr>
            </w:pPr>
          </w:p>
        </w:tc>
        <w:tc>
          <w:tcPr>
            <w:tcW w:w="4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Retail and mixed-use properties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6,621,170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(1,677,938)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449,896</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Retail properties under capital leases</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127,359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(42,308)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71,590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Residential</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10,544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21,221</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6,759,073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(1,729,234)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542,707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60"/>
        <w:spacing w:after="0" w:line="307" w:lineRule="auto"/>
        <w:rPr>
          <w:sz w:val="20"/>
          <w:szCs w:val="20"/>
          <w:color w:val="auto"/>
        </w:rPr>
      </w:pPr>
      <w:r>
        <w:rPr>
          <w:rFonts w:ascii="Arial" w:cs="Arial" w:eastAsia="Arial" w:hAnsi="Arial"/>
          <w:sz w:val="17"/>
          <w:szCs w:val="17"/>
          <w:color w:val="auto"/>
        </w:rPr>
        <w:t>Retail and mixed-use properties includes the residential portion of Assembly Row, Bethesda Row, Chelsea Commons, Congressional Plaza, Pike &amp; Rose, Santana Row, and Towson Residential (Flats @ 703). The residential property investment is our investment in Rollingwood Apartments.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Property Acquisitions and Dispositions</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February 1, 2017, we acquired a leasehold interest in Hastings Ranch Plaza, a 274,000 square foot shopping center in Pasadena, California for $29.5 million. The land is subject to a long-term ground lease that expires on April 30, 2054. Approximately $21.5 million of assets acquired were allocated to lease intangibles and included within other assets. Approximately $15.2 million of net assets acquired were allocated to lease liabilities and included in other liabilities.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26" w:right="2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On March 31, 2017, we acquired the fee interest in Riverpoint Center, a 211,000 square foot shopping center in the Lincoln Park neighborhood of Chicago, Illinois for $107.0 million. Approximately $1.0 million and $12.3 million of net assets acquired were allocated to other assets for "above market leases," and other liabilities for "below market leases," respectively.</w:t>
      </w:r>
    </w:p>
    <w:p>
      <w:pPr>
        <w:spacing w:after="0" w:line="4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leased three parcels of land at our Assembly Row property to two ground lessees. Both lessees exercised purchase options under the related ground leases. The sale transaction related to the purchase option on one of our ground leases was completed on April 4, 2017 for a sales price of $36.0 million. On June 28, 2017, the sale transactions related to the purchase options on our other two ground lease parcels were completed for a total sales price of $17.3 million. The net gain recognized in connection with these transactions was approximately $15.4 million. At December 31, 2016, the total cost basis of the related land was $33.9 million and is included in "assets held for sale" on our consolidated balance sheet.</w:t>
      </w:r>
    </w:p>
    <w:p>
      <w:pPr>
        <w:spacing w:after="0" w:line="4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On May 19, 2017, we acquired the fee interest in a 71,000 square foot, mixed-use property located in Berkeley, California based on a gross value of $23.9 million. The acquisition was completed through a newly formed entity for which we own a 90% controlling interest. Approximately $0.8 million and $0.3 million of net assets acquired were allocated to other assets for "above market leases" and other liabilities for "below market leases," respectively, and approximately $2.4 million was allocated to noncontrolling interests.</w:t>
      </w:r>
    </w:p>
    <w:p>
      <w:pPr>
        <w:spacing w:after="0" w:line="5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On August 2, 2017, we acquired an approximately 90% interest in a joint venture that owns six shopping centers in Los Angeles County, California based on a gross value of $357 million, including the assumption of $79.4 million of mortgage debt. Approximately $7.8 million of assets acquired were allocated to lease intangibles and included within other assets, approximately $36.2 million of net assets acquired were allocated to lease liabilities and included in other liabilities, and approximately $30.6 million was allocated to noncontrolling interests. That joint venture also acquired a 24.5% interest in La Alameda, a shopping center in Walnut Park, California for $19.8 million. The property has $41.0 million of mortgage debt, of which the joint venture's share is approximately $10 million. Additional information on the properties is listed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tcPr>
          <w:p>
            <w:pPr>
              <w:ind w:left="40"/>
              <w:spacing w:after="0"/>
              <w:rPr>
                <w:sz w:val="20"/>
                <w:szCs w:val="20"/>
                <w:color w:val="auto"/>
              </w:rPr>
            </w:pPr>
            <w:r>
              <w:rPr>
                <w:rFonts w:ascii="Arial" w:cs="Arial" w:eastAsia="Arial" w:hAnsi="Arial"/>
                <w:sz w:val="16"/>
                <w:szCs w:val="16"/>
                <w:b w:val="1"/>
                <w:bCs w:val="1"/>
                <w:color w:val="auto"/>
              </w:rPr>
              <w:t>Property</w:t>
            </w:r>
          </w:p>
        </w:tc>
        <w:tc>
          <w:tcPr>
            <w:tcW w:w="3080" w:type="dxa"/>
            <w:vAlign w:val="bottom"/>
          </w:tcPr>
          <w:p>
            <w:pPr>
              <w:ind w:left="700"/>
              <w:spacing w:after="0"/>
              <w:rPr>
                <w:sz w:val="20"/>
                <w:szCs w:val="20"/>
                <w:color w:val="auto"/>
              </w:rPr>
            </w:pPr>
            <w:r>
              <w:rPr>
                <w:rFonts w:ascii="Arial" w:cs="Arial" w:eastAsia="Arial" w:hAnsi="Arial"/>
                <w:sz w:val="16"/>
                <w:szCs w:val="16"/>
                <w:b w:val="1"/>
                <w:bCs w:val="1"/>
                <w:color w:val="auto"/>
              </w:rPr>
              <w:t>City/State</w:t>
            </w:r>
          </w:p>
        </w:tc>
        <w:tc>
          <w:tcPr>
            <w:tcW w:w="5920" w:type="dxa"/>
            <w:vAlign w:val="bottom"/>
            <w:gridSpan w:val="2"/>
          </w:tcPr>
          <w:p>
            <w:pPr>
              <w:jc w:val="center"/>
              <w:ind w:right="4340"/>
              <w:spacing w:after="0"/>
              <w:rPr>
                <w:sz w:val="20"/>
                <w:szCs w:val="20"/>
                <w:color w:val="auto"/>
              </w:rPr>
            </w:pPr>
            <w:r>
              <w:rPr>
                <w:rFonts w:ascii="Arial" w:cs="Arial" w:eastAsia="Arial" w:hAnsi="Arial"/>
                <w:sz w:val="16"/>
                <w:szCs w:val="16"/>
                <w:b w:val="1"/>
                <w:bCs w:val="1"/>
                <w:color w:val="auto"/>
              </w:rPr>
              <w:t>GLA</w:t>
            </w:r>
          </w:p>
        </w:tc>
      </w:tr>
      <w:tr>
        <w:trPr>
          <w:trHeight w:val="33"/>
        </w:trPr>
        <w:tc>
          <w:tcPr>
            <w:tcW w:w="24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340" w:type="dxa"/>
            <w:vAlign w:val="bottom"/>
          </w:tcPr>
          <w:p>
            <w:pPr>
              <w:spacing w:after="0"/>
              <w:rPr>
                <w:sz w:val="2"/>
                <w:szCs w:val="2"/>
                <w:color w:val="auto"/>
              </w:rPr>
            </w:pPr>
          </w:p>
        </w:tc>
      </w:tr>
      <w:tr>
        <w:trPr>
          <w:trHeight w:val="257"/>
        </w:trPr>
        <w:tc>
          <w:tcPr>
            <w:tcW w:w="242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5920" w:type="dxa"/>
            <w:vAlign w:val="bottom"/>
            <w:gridSpan w:val="2"/>
          </w:tcPr>
          <w:p>
            <w:pPr>
              <w:jc w:val="center"/>
              <w:ind w:right="4320"/>
              <w:spacing w:after="0"/>
              <w:rPr>
                <w:sz w:val="20"/>
                <w:szCs w:val="20"/>
                <w:color w:val="auto"/>
              </w:rPr>
            </w:pPr>
            <w:r>
              <w:rPr>
                <w:rFonts w:ascii="Arial" w:cs="Arial" w:eastAsia="Arial" w:hAnsi="Arial"/>
                <w:sz w:val="14"/>
                <w:szCs w:val="14"/>
                <w:b w:val="1"/>
                <w:bCs w:val="1"/>
                <w:color w:val="auto"/>
                <w:w w:val="91"/>
              </w:rPr>
              <w:t>(in square feet)</w:t>
            </w:r>
          </w:p>
        </w:tc>
      </w:tr>
      <w:tr>
        <w:trPr>
          <w:trHeight w:val="256"/>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Azalea</w:t>
            </w:r>
          </w:p>
        </w:tc>
        <w:tc>
          <w:tcPr>
            <w:tcW w:w="30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South Gate, CA</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222,000</w:t>
            </w:r>
          </w:p>
        </w:tc>
        <w:tc>
          <w:tcPr>
            <w:tcW w:w="4340" w:type="dxa"/>
            <w:vAlign w:val="bottom"/>
            <w:tcBorders>
              <w:bottom w:val="single" w:sz="8" w:color="CCEEFF"/>
            </w:tcBorders>
            <w:shd w:val="clear" w:color="auto" w:fill="CCEEFF"/>
          </w:tcPr>
          <w:p>
            <w:pPr>
              <w:spacing w:after="0"/>
              <w:rPr>
                <w:sz w:val="22"/>
                <w:szCs w:val="22"/>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Bell Gardens</w:t>
            </w:r>
          </w:p>
        </w:tc>
        <w:tc>
          <w:tcPr>
            <w:tcW w:w="3080" w:type="dxa"/>
            <w:vAlign w:val="bottom"/>
          </w:tcPr>
          <w:p>
            <w:pPr>
              <w:ind w:left="700"/>
              <w:spacing w:after="0"/>
              <w:rPr>
                <w:sz w:val="20"/>
                <w:szCs w:val="20"/>
                <w:color w:val="auto"/>
              </w:rPr>
            </w:pPr>
            <w:r>
              <w:rPr>
                <w:rFonts w:ascii="Arial" w:cs="Arial" w:eastAsia="Arial" w:hAnsi="Arial"/>
                <w:sz w:val="16"/>
                <w:szCs w:val="16"/>
                <w:color w:val="auto"/>
              </w:rPr>
              <w:t>Bell Gardens, CA</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330,000</w:t>
            </w:r>
          </w:p>
        </w:tc>
        <w:tc>
          <w:tcPr>
            <w:tcW w:w="4340" w:type="dxa"/>
            <w:vAlign w:val="bottom"/>
          </w:tcPr>
          <w:p>
            <w:pPr>
              <w:spacing w:after="0"/>
              <w:rPr>
                <w:sz w:val="20"/>
                <w:szCs w:val="20"/>
                <w:color w:val="auto"/>
              </w:rPr>
            </w:pPr>
          </w:p>
        </w:tc>
      </w:tr>
      <w:tr>
        <w:trPr>
          <w:trHeight w:val="33"/>
        </w:trPr>
        <w:tc>
          <w:tcPr>
            <w:tcW w:w="24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 Alameda</w:t>
            </w:r>
          </w:p>
        </w:tc>
        <w:tc>
          <w:tcPr>
            <w:tcW w:w="30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Walnut Park, CA</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245,000</w:t>
            </w:r>
          </w:p>
        </w:tc>
        <w:tc>
          <w:tcPr>
            <w:tcW w:w="4340" w:type="dxa"/>
            <w:vAlign w:val="bottom"/>
            <w:tcBorders>
              <w:bottom w:val="single" w:sz="8" w:color="CCEEFF"/>
            </w:tcBorders>
            <w:shd w:val="clear" w:color="auto" w:fill="CCEEFF"/>
          </w:tcPr>
          <w:p>
            <w:pPr>
              <w:spacing w:after="0"/>
              <w:rPr>
                <w:sz w:val="21"/>
                <w:szCs w:val="2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Olivo at Mission Hills (1)</w:t>
            </w:r>
          </w:p>
        </w:tc>
        <w:tc>
          <w:tcPr>
            <w:tcW w:w="3080" w:type="dxa"/>
            <w:vAlign w:val="bottom"/>
          </w:tcPr>
          <w:p>
            <w:pPr>
              <w:ind w:left="700"/>
              <w:spacing w:after="0"/>
              <w:rPr>
                <w:sz w:val="20"/>
                <w:szCs w:val="20"/>
                <w:color w:val="auto"/>
              </w:rPr>
            </w:pPr>
            <w:r>
              <w:rPr>
                <w:rFonts w:ascii="Arial" w:cs="Arial" w:eastAsia="Arial" w:hAnsi="Arial"/>
                <w:sz w:val="16"/>
                <w:szCs w:val="16"/>
                <w:color w:val="auto"/>
              </w:rPr>
              <w:t>Mission Hills, CA</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4340" w:type="dxa"/>
            <w:vAlign w:val="bottom"/>
          </w:tcPr>
          <w:p>
            <w:pPr>
              <w:spacing w:after="0"/>
              <w:rPr>
                <w:sz w:val="20"/>
                <w:szCs w:val="20"/>
                <w:color w:val="auto"/>
              </w:rPr>
            </w:pPr>
          </w:p>
        </w:tc>
      </w:tr>
      <w:tr>
        <w:trPr>
          <w:trHeight w:val="33"/>
        </w:trPr>
        <w:tc>
          <w:tcPr>
            <w:tcW w:w="24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Plaza Del Sol</w:t>
            </w:r>
          </w:p>
        </w:tc>
        <w:tc>
          <w:tcPr>
            <w:tcW w:w="30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South El Monte, CA</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48,000</w:t>
            </w:r>
          </w:p>
        </w:tc>
        <w:tc>
          <w:tcPr>
            <w:tcW w:w="4340" w:type="dxa"/>
            <w:vAlign w:val="bottom"/>
            <w:tcBorders>
              <w:bottom w:val="single" w:sz="8" w:color="CCEEFF"/>
            </w:tcBorders>
            <w:shd w:val="clear" w:color="auto" w:fill="CCEEFF"/>
          </w:tcPr>
          <w:p>
            <w:pPr>
              <w:spacing w:after="0"/>
              <w:rPr>
                <w:sz w:val="21"/>
                <w:szCs w:val="2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Plaza Pacoima</w:t>
            </w:r>
          </w:p>
        </w:tc>
        <w:tc>
          <w:tcPr>
            <w:tcW w:w="3080" w:type="dxa"/>
            <w:vAlign w:val="bottom"/>
          </w:tcPr>
          <w:p>
            <w:pPr>
              <w:ind w:left="700"/>
              <w:spacing w:after="0"/>
              <w:rPr>
                <w:sz w:val="20"/>
                <w:szCs w:val="20"/>
                <w:color w:val="auto"/>
              </w:rPr>
            </w:pPr>
            <w:r>
              <w:rPr>
                <w:rFonts w:ascii="Arial" w:cs="Arial" w:eastAsia="Arial" w:hAnsi="Arial"/>
                <w:sz w:val="16"/>
                <w:szCs w:val="16"/>
                <w:color w:val="auto"/>
              </w:rPr>
              <w:t>Pacoima, CA</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204,000</w:t>
            </w:r>
          </w:p>
        </w:tc>
        <w:tc>
          <w:tcPr>
            <w:tcW w:w="4340" w:type="dxa"/>
            <w:vAlign w:val="bottom"/>
          </w:tcPr>
          <w:p>
            <w:pPr>
              <w:spacing w:after="0"/>
              <w:rPr>
                <w:sz w:val="20"/>
                <w:szCs w:val="20"/>
                <w:color w:val="auto"/>
              </w:rPr>
            </w:pPr>
          </w:p>
        </w:tc>
      </w:tr>
      <w:tr>
        <w:trPr>
          <w:trHeight w:val="33"/>
        </w:trPr>
        <w:tc>
          <w:tcPr>
            <w:tcW w:w="24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Sylmar Towne Center</w:t>
            </w:r>
          </w:p>
        </w:tc>
        <w:tc>
          <w:tcPr>
            <w:tcW w:w="30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Sylmar, CA</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148,000</w:t>
            </w:r>
          </w:p>
        </w:tc>
        <w:tc>
          <w:tcPr>
            <w:tcW w:w="4340" w:type="dxa"/>
            <w:vAlign w:val="bottom"/>
            <w:tcBorders>
              <w:bottom w:val="single" w:sz="8" w:color="CCEEFF"/>
            </w:tcBorders>
            <w:shd w:val="clear" w:color="auto" w:fill="CCEEFF"/>
          </w:tcPr>
          <w:p>
            <w:pPr>
              <w:spacing w:after="0"/>
              <w:rPr>
                <w:sz w:val="23"/>
                <w:szCs w:val="23"/>
                <w:color w:val="auto"/>
              </w:rPr>
            </w:pPr>
          </w:p>
        </w:tc>
      </w:tr>
      <w:tr>
        <w:trPr>
          <w:trHeight w:val="217"/>
        </w:trPr>
        <w:tc>
          <w:tcPr>
            <w:tcW w:w="24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1,352,000</w:t>
            </w:r>
          </w:p>
        </w:tc>
        <w:tc>
          <w:tcPr>
            <w:tcW w:w="4340" w:type="dxa"/>
            <w:vAlign w:val="bottom"/>
          </w:tcPr>
          <w:p>
            <w:pPr>
              <w:spacing w:after="0"/>
              <w:rPr>
                <w:sz w:val="18"/>
                <w:szCs w:val="18"/>
                <w:color w:val="auto"/>
              </w:rPr>
            </w:pPr>
          </w:p>
        </w:tc>
      </w:tr>
      <w:tr>
        <w:trPr>
          <w:trHeight w:val="33"/>
        </w:trPr>
        <w:tc>
          <w:tcPr>
            <w:tcW w:w="24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340" w:type="dxa"/>
            <w:vAlign w:val="bottom"/>
          </w:tcPr>
          <w:p>
            <w:pPr>
              <w:spacing w:after="0"/>
              <w:rPr>
                <w:sz w:val="2"/>
                <w:szCs w:val="2"/>
                <w:color w:val="auto"/>
              </w:rPr>
            </w:pPr>
          </w:p>
        </w:tc>
      </w:tr>
      <w:tr>
        <w:trPr>
          <w:trHeight w:val="20"/>
        </w:trPr>
        <w:tc>
          <w:tcPr>
            <w:tcW w:w="24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02"/>
        </w:trPr>
        <w:tc>
          <w:tcPr>
            <w:tcW w:w="2420" w:type="dxa"/>
            <w:vAlign w:val="bottom"/>
            <w:tcBorders>
              <w:bottom w:val="single" w:sz="8" w:color="auto"/>
            </w:tcBorders>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4340" w:type="dxa"/>
            <w:vAlign w:val="bottom"/>
            <w:tcBorders>
              <w:bottom w:val="single" w:sz="8" w:color="auto"/>
            </w:tcBorders>
          </w:tcPr>
          <w:p>
            <w:pPr>
              <w:spacing w:after="0"/>
              <w:rPr>
                <w:sz w:val="8"/>
                <w:szCs w:val="8"/>
                <w:color w:val="auto"/>
              </w:rPr>
            </w:pPr>
          </w:p>
        </w:tc>
      </w:tr>
    </w:tbl>
    <w:p>
      <w:pPr>
        <w:spacing w:after="0" w:line="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(1) Property is currently being redeveloped. GLA reflects approximate square footage once the property is open and operating.</w:t>
      </w:r>
    </w:p>
    <w:p>
      <w:pPr>
        <w:spacing w:after="0" w:line="12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following unaudited pro forma financial data includes the total revenues, operating expenses (including approximately $11.5 million and $11.4 million of depreciation and amortization expense for the years ended December 31, 2017 and 2016, respectively), and interest expense/financing costs related to the properties acquired on August 2, 2017 as if they had occurred on January 1, 2016. The pro forma financial information is presented for informational purposes only and may not be indicative of what actual results of income would have been, nor does it represent the results of income for future periods.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62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88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88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r>
      <w:tr>
        <w:trPr>
          <w:trHeight w:val="33"/>
        </w:trPr>
        <w:tc>
          <w:tcPr>
            <w:tcW w:w="8800" w:type="dxa"/>
            <w:vAlign w:val="bottom"/>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26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(in millions) (unaudited)</w:t>
            </w:r>
          </w:p>
        </w:tc>
      </w:tr>
      <w:tr>
        <w:trPr>
          <w:trHeight w:val="154"/>
        </w:trPr>
        <w:tc>
          <w:tcPr>
            <w:tcW w:w="8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4"/>
              </w:rPr>
              <w:t>872.9</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826.6</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Net income available for common shareholders</w:t>
            </w:r>
          </w:p>
        </w:tc>
        <w:tc>
          <w:tcPr>
            <w:tcW w:w="80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w w:val="84"/>
              </w:rPr>
              <w:t>284.6</w:t>
            </w:r>
          </w:p>
        </w:tc>
        <w:tc>
          <w:tcPr>
            <w:tcW w:w="3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244.3</w:t>
            </w:r>
          </w:p>
        </w:tc>
      </w:tr>
    </w:tbl>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25, 2017, we sold our property located at 150 Post Street in San Francisco, California for a sales price of $69.3 million, resulting in a gain of $45.2 million.</w:t>
      </w:r>
    </w:p>
    <w:p>
      <w:pPr>
        <w:spacing w:after="0" w:line="11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September 25, 2017, we sold our North Lake Commons property in Lake Zurich, Illinois for a sales price of $15.6 million, resulting in a gain of $4.9 million.</w:t>
      </w:r>
    </w:p>
    <w:p>
      <w:pPr>
        <w:spacing w:after="0" w:line="1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December 28, 2017, we sold a parcel of land at our Bethesda Row property in Bethesda, Maryland for a sales price of $8.5 million, resulting in a gain of $6.5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6" w:right="239"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180"/>
        <w:spacing w:after="0" w:line="307" w:lineRule="auto"/>
        <w:rPr>
          <w:sz w:val="20"/>
          <w:szCs w:val="20"/>
          <w:color w:val="auto"/>
        </w:rPr>
      </w:pPr>
      <w:r>
        <w:rPr>
          <w:rFonts w:ascii="Arial" w:cs="Arial" w:eastAsia="Arial" w:hAnsi="Arial"/>
          <w:sz w:val="16"/>
          <w:szCs w:val="16"/>
          <w:color w:val="auto"/>
        </w:rPr>
        <w:t>For the year ended December 31, 2017, we recognized a $5.4 million gain, net of $1.4 million of income taxes, related to the sale of condominiums at our Assembly Row property based on the percentage-of-completion method. In connection with recording the gain, we recognized a receivable of $67.1 million as of December 31, 2017. The closing of the Assembly Row condominium sales is expected to commence in 2018. As of December 31, 2017, no gain has been recognized for contracted condominium sales at Pike &amp; Rose, as not all of the criteria necessary for profit recognition have been met.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Property Acquisitions and Disposition</w:t>
      </w:r>
    </w:p>
    <w:p>
      <w:pPr>
        <w:spacing w:after="0" w:line="9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January 13, 2016, we acquired our partner's 70% interest in our joint venture arrangement (the "Partnership") with affiliates of a discretionary fund created and advised by Clarion Partners ("Clarion") for $153.7 million, which included the payment of $130.0 million of cash and the assumption of mortgage loans totaling $34.4 million. As a result of the transaction, we gained control of the six underlying properties, and effective January 13, 2016, have consolidated the properties. We also recognized a gain on acquisition of the controlling interest of $25.7 million related to the difference between the carrying value and fair value of the previously held equity interest. Approximately $7.3 million and $4.9 million of net assets acquired were allocated to other assets for "above market leases," and other liabilities for "below market leases," respectively. We incurred $0.2 million of acquisition costs, of which $0.1 million were incurred in 2016, and included in "general and administrative expenses" on the consolidated statements of comprehensive income in 2016 and 2015.</w:t>
      </w:r>
    </w:p>
    <w:p>
      <w:pPr>
        <w:spacing w:after="0" w:line="3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On May 12, 2016, an unconsolidated joint venture that we hold an interest in sold a building in Coconut Grove, Florida. Our share of the gain, net of noncontrolling interests, was $0.5 million.</w:t>
      </w:r>
    </w:p>
    <w:p>
      <w:pPr>
        <w:spacing w:after="0" w:line="3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July 26, 2016, we acquired an additional building in the Coconut Grove neighborhood of Miami, Florida for $5.9 million through our CocoWalk LLC entity. We incurred $0.2 million in acquisition costs which are included in "general and administrative expenses" in 2016.</w:t>
      </w:r>
    </w:p>
    <w:p>
      <w:pPr>
        <w:spacing w:after="0" w:line="3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November 7, 2016, we acquired a building adjacent to our Barcroft Plaza property for $5.3 million, and incurred $0.1 million of acquisition costs which are included in "general and administrative expenses" in 2016.</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4—ACQUIRED IN-PLACE LEASES</w:t>
      </w:r>
    </w:p>
    <w:p>
      <w:pPr>
        <w:spacing w:after="0" w:line="94"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Acquired lease assets are included in prepaid expenses and other assets and comprise above market leases where we are the lessor and below market leases where we are the lessee. Acquired lease liabilities are included in other liabilities and deferred credits and comprise below market leases where we are the lessor and above market leases where we are the lessee. The following is a summary of our acquired lease assets and liabilities: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996"/>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975"/>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2"/>
        </w:trPr>
        <w:tc>
          <w:tcPr>
            <w:tcW w:w="4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3"/>
                <w:szCs w:val="13"/>
                <w:color w:val="auto"/>
              </w:rPr>
            </w:pPr>
          </w:p>
        </w:tc>
        <w:tc>
          <w:tcPr>
            <w:tcW w:w="1440" w:type="dxa"/>
            <w:vAlign w:val="bottom"/>
            <w:gridSpan w:val="2"/>
          </w:tcPr>
          <w:p>
            <w:pPr>
              <w:ind w:left="140"/>
              <w:spacing w:after="0" w:line="152" w:lineRule="exact"/>
              <w:rPr>
                <w:sz w:val="20"/>
                <w:szCs w:val="20"/>
                <w:color w:val="auto"/>
              </w:rPr>
            </w:pPr>
            <w:r>
              <w:rPr>
                <w:rFonts w:ascii="Arial" w:cs="Arial" w:eastAsia="Arial" w:hAnsi="Arial"/>
                <w:sz w:val="14"/>
                <w:szCs w:val="14"/>
                <w:b w:val="1"/>
                <w:bCs w:val="1"/>
                <w:color w:val="auto"/>
              </w:rPr>
              <w:t>Accumulated</w:t>
            </w:r>
          </w:p>
        </w:tc>
        <w:tc>
          <w:tcPr>
            <w:tcW w:w="520" w:type="dxa"/>
            <w:vAlign w:val="bottom"/>
          </w:tcPr>
          <w:p>
            <w:pPr>
              <w:spacing w:after="0"/>
              <w:rPr>
                <w:sz w:val="13"/>
                <w:szCs w:val="13"/>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3"/>
                <w:szCs w:val="13"/>
                <w:color w:val="auto"/>
              </w:rPr>
            </w:pPr>
          </w:p>
        </w:tc>
        <w:tc>
          <w:tcPr>
            <w:tcW w:w="1340" w:type="dxa"/>
            <w:vAlign w:val="bottom"/>
          </w:tcPr>
          <w:p>
            <w:pPr>
              <w:jc w:val="right"/>
              <w:ind w:right="295"/>
              <w:spacing w:after="0" w:line="152"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5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Above market leases, lessor</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52,393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(31,406)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45,327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(28,085)</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Below market leases, lessee</w:t>
            </w:r>
          </w:p>
        </w:tc>
        <w:tc>
          <w:tcPr>
            <w:tcW w:w="40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34,604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13,237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86,997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(33,111)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58,564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Below market leases, lessor</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56,716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48,928</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Above market leases, lessee</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57,276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49,199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gridSpan w:val="2"/>
          </w:tcPr>
          <w:p>
            <w:pPr>
              <w:ind w:left="460"/>
              <w:spacing w:after="0"/>
              <w:rPr>
                <w:sz w:val="20"/>
                <w:szCs w:val="20"/>
                <w:color w:val="auto"/>
              </w:rPr>
            </w:pPr>
            <w:r>
              <w:rPr>
                <w:rFonts w:ascii="Arial" w:cs="Arial" w:eastAsia="Arial" w:hAnsi="Arial"/>
                <w:sz w:val="18"/>
                <w:szCs w:val="18"/>
                <w:color w:val="auto"/>
              </w:rPr>
              <w:t>F-18</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value allocated to in-place leases where we are the lessor is amortized over the related lease term and reflected as additional rental income for below market leases or a reduction of rental income for above market leases in the consolidated statements of comprehensive income. The related amortization of in-place leases where we are the lessee is reflected as additional rental expense for below market leases or a reduction of rental expenses for above market leases in the consolidated statements of comprehensive income. The following is a summary of acquired lease amortization: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 December 31,</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3"/>
        </w:trPr>
        <w:tc>
          <w:tcPr>
            <w:tcW w:w="5720" w:type="dxa"/>
            <w:vAlign w:val="bottom"/>
          </w:tcPr>
          <w:p>
            <w:pPr>
              <w:spacing w:after="0"/>
              <w:rPr>
                <w:sz w:val="22"/>
                <w:szCs w:val="22"/>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2015</w:t>
            </w:r>
          </w:p>
        </w:tc>
      </w:tr>
      <w:tr>
        <w:trPr>
          <w:trHeight w:val="250"/>
        </w:trPr>
        <w:tc>
          <w:tcPr>
            <w:tcW w:w="5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 thousands)</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above market leases, lessor</w:t>
            </w:r>
          </w:p>
        </w:tc>
        <w:tc>
          <w:tcPr>
            <w:tcW w:w="116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(4,425)</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Amortization of below market leases, lessor</w:t>
            </w:r>
          </w:p>
        </w:tc>
        <w:tc>
          <w:tcPr>
            <w:tcW w:w="11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10,726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8,551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7,130</w:t>
            </w:r>
          </w:p>
        </w:tc>
      </w:tr>
      <w:tr>
        <w:trPr>
          <w:trHeight w:val="27"/>
        </w:trPr>
        <w:tc>
          <w:tcPr>
            <w:tcW w:w="57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increase in rental income</w:t>
            </w:r>
          </w:p>
        </w:tc>
        <w:tc>
          <w:tcPr>
            <w:tcW w:w="1160" w:type="dxa"/>
            <w:vAlign w:val="bottom"/>
            <w:tcBorders>
              <w:bottom w:val="single" w:sz="8" w:color="auto"/>
            </w:tcBorders>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4,721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1,825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2,705</w:t>
            </w:r>
          </w:p>
        </w:tc>
      </w:tr>
      <w:tr>
        <w:trPr>
          <w:trHeight w:val="20"/>
        </w:trPr>
        <w:tc>
          <w:tcPr>
            <w:tcW w:w="57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76"/>
        </w:trPr>
        <w:tc>
          <w:tcPr>
            <w:tcW w:w="5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below market leases, lessee</w:t>
            </w:r>
          </w:p>
        </w:tc>
        <w:tc>
          <w:tcPr>
            <w:tcW w:w="116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Amortization of above market leases, lessee</w:t>
            </w:r>
          </w:p>
        </w:tc>
        <w:tc>
          <w:tcPr>
            <w:tcW w:w="1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57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increase in rental expense</w:t>
            </w:r>
          </w:p>
        </w:tc>
        <w:tc>
          <w:tcPr>
            <w:tcW w:w="1160" w:type="dxa"/>
            <w:vAlign w:val="bottom"/>
            <w:tcBorders>
              <w:bottom w:val="single" w:sz="8" w:color="auto"/>
            </w:tcBorders>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120</w:t>
            </w:r>
          </w:p>
        </w:tc>
      </w:tr>
      <w:tr>
        <w:trPr>
          <w:trHeight w:val="20"/>
        </w:trPr>
        <w:tc>
          <w:tcPr>
            <w:tcW w:w="57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remaining weighted average amortization period for our acquired lease assets and acquired lease liabilities: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0" w:type="dxa"/>
            <w:vAlign w:val="bottom"/>
          </w:tcPr>
          <w:p>
            <w:pPr>
              <w:spacing w:after="0"/>
              <w:rPr>
                <w:sz w:val="16"/>
                <w:szCs w:val="16"/>
                <w:color w:val="auto"/>
              </w:rPr>
            </w:pPr>
          </w:p>
        </w:tc>
        <w:tc>
          <w:tcPr>
            <w:tcW w:w="18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December 31, 2017</w:t>
            </w:r>
          </w:p>
        </w:tc>
      </w:tr>
      <w:tr>
        <w:trPr>
          <w:trHeight w:val="121"/>
        </w:trPr>
        <w:tc>
          <w:tcPr>
            <w:tcW w:w="9600" w:type="dxa"/>
            <w:vAlign w:val="bottom"/>
          </w:tcPr>
          <w:p>
            <w:pPr>
              <w:spacing w:after="0"/>
              <w:rPr>
                <w:sz w:val="10"/>
                <w:szCs w:val="10"/>
                <w:color w:val="auto"/>
              </w:rPr>
            </w:pPr>
          </w:p>
        </w:tc>
        <w:tc>
          <w:tcPr>
            <w:tcW w:w="1820" w:type="dxa"/>
            <w:vAlign w:val="bottom"/>
          </w:tcPr>
          <w:p>
            <w:pPr>
              <w:spacing w:after="0"/>
              <w:rPr>
                <w:sz w:val="10"/>
                <w:szCs w:val="10"/>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Above market leases, lessor</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years</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Below market leases, lessee</w:t>
            </w:r>
          </w:p>
        </w:tc>
        <w:tc>
          <w:tcPr>
            <w:tcW w:w="1820" w:type="dxa"/>
            <w:vAlign w:val="bottom"/>
          </w:tcPr>
          <w:p>
            <w:pPr>
              <w:jc w:val="right"/>
              <w:spacing w:after="0"/>
              <w:rPr>
                <w:sz w:val="20"/>
                <w:szCs w:val="20"/>
                <w:color w:val="auto"/>
              </w:rPr>
            </w:pPr>
            <w:r>
              <w:rPr>
                <w:rFonts w:ascii="Arial" w:cs="Arial" w:eastAsia="Arial" w:hAnsi="Arial"/>
                <w:sz w:val="18"/>
                <w:szCs w:val="18"/>
                <w:color w:val="auto"/>
              </w:rPr>
              <w:t>41.6 years</w:t>
            </w:r>
          </w:p>
        </w:tc>
      </w:tr>
      <w:tr>
        <w:trPr>
          <w:trHeight w:val="27"/>
        </w:trPr>
        <w:tc>
          <w:tcPr>
            <w:tcW w:w="96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Below market leases, lessor</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 years</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Above market leases, lessee</w:t>
            </w:r>
          </w:p>
        </w:tc>
        <w:tc>
          <w:tcPr>
            <w:tcW w:w="1820" w:type="dxa"/>
            <w:vAlign w:val="bottom"/>
          </w:tcPr>
          <w:p>
            <w:pPr>
              <w:jc w:val="right"/>
              <w:spacing w:after="0"/>
              <w:rPr>
                <w:sz w:val="20"/>
                <w:szCs w:val="20"/>
                <w:color w:val="auto"/>
              </w:rPr>
            </w:pPr>
            <w:r>
              <w:rPr>
                <w:rFonts w:ascii="Arial" w:cs="Arial" w:eastAsia="Arial" w:hAnsi="Arial"/>
                <w:sz w:val="18"/>
                <w:szCs w:val="18"/>
                <w:color w:val="auto"/>
              </w:rPr>
              <w:t>16.9 years</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for acquired in-place leases during the next five years and thereafter, assuming no early lease terminations,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Acquired Lease Assets</w:t>
            </w:r>
          </w:p>
        </w:tc>
        <w:tc>
          <w:tcPr>
            <w:tcW w:w="18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Acquired Lease Liabilities</w:t>
            </w:r>
          </w:p>
        </w:tc>
      </w:tr>
      <w:tr>
        <w:trPr>
          <w:trHeight w:val="250"/>
        </w:trPr>
        <w:tc>
          <w:tcPr>
            <w:tcW w:w="374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21"/>
                <w:szCs w:val="21"/>
                <w:color w:val="auto"/>
              </w:rPr>
            </w:pPr>
          </w:p>
        </w:tc>
      </w:tr>
      <w:tr>
        <w:trPr>
          <w:trHeight w:val="256"/>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39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2018</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4"/>
              <w:spacing w:after="0"/>
              <w:rPr>
                <w:sz w:val="20"/>
                <w:szCs w:val="20"/>
                <w:color w:val="auto"/>
              </w:rPr>
            </w:pPr>
            <w:r>
              <w:rPr>
                <w:rFonts w:ascii="Arial" w:cs="Arial" w:eastAsia="Arial" w:hAnsi="Arial"/>
                <w:sz w:val="18"/>
                <w:szCs w:val="18"/>
                <w:color w:val="auto"/>
              </w:rPr>
              <w:t>5,810</w:t>
            </w:r>
          </w:p>
        </w:tc>
        <w:tc>
          <w:tcPr>
            <w:tcW w:w="100" w:type="dxa"/>
            <w:vAlign w:val="bottom"/>
          </w:tcPr>
          <w:p>
            <w:pPr>
              <w:spacing w:after="0"/>
              <w:rPr>
                <w:sz w:val="21"/>
                <w:szCs w:val="21"/>
                <w:color w:val="auto"/>
              </w:rPr>
            </w:pPr>
          </w:p>
        </w:tc>
        <w:tc>
          <w:tcPr>
            <w:tcW w:w="760" w:type="dxa"/>
            <w:vAlign w:val="bottom"/>
          </w:tcPr>
          <w:p>
            <w:pPr>
              <w:jc w:val="right"/>
              <w:ind w:right="556"/>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9,990</w:t>
            </w:r>
          </w:p>
        </w:tc>
      </w:tr>
      <w:tr>
        <w:trPr>
          <w:trHeight w:val="27"/>
        </w:trPr>
        <w:tc>
          <w:tcPr>
            <w:tcW w:w="3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3,829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9,488</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2020</w:t>
            </w:r>
          </w:p>
        </w:tc>
        <w:tc>
          <w:tcPr>
            <w:tcW w:w="3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34"/>
              <w:spacing w:after="0"/>
              <w:rPr>
                <w:sz w:val="20"/>
                <w:szCs w:val="20"/>
                <w:color w:val="auto"/>
              </w:rPr>
            </w:pPr>
            <w:r>
              <w:rPr>
                <w:rFonts w:ascii="Arial" w:cs="Arial" w:eastAsia="Arial" w:hAnsi="Arial"/>
                <w:sz w:val="18"/>
                <w:szCs w:val="18"/>
                <w:color w:val="auto"/>
              </w:rPr>
              <w:t>3,182</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8,494</w:t>
            </w:r>
          </w:p>
        </w:tc>
      </w:tr>
      <w:tr>
        <w:trPr>
          <w:trHeight w:val="27"/>
        </w:trPr>
        <w:tc>
          <w:tcPr>
            <w:tcW w:w="3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2,804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7,869</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2022</w:t>
            </w:r>
          </w:p>
        </w:tc>
        <w:tc>
          <w:tcPr>
            <w:tcW w:w="3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34"/>
              <w:spacing w:after="0"/>
              <w:rPr>
                <w:sz w:val="20"/>
                <w:szCs w:val="20"/>
                <w:color w:val="auto"/>
              </w:rPr>
            </w:pPr>
            <w:r>
              <w:rPr>
                <w:rFonts w:ascii="Arial" w:cs="Arial" w:eastAsia="Arial" w:hAnsi="Arial"/>
                <w:sz w:val="18"/>
                <w:szCs w:val="18"/>
                <w:color w:val="auto"/>
              </w:rPr>
              <w:t>2,381</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7,484</w:t>
            </w:r>
          </w:p>
        </w:tc>
      </w:tr>
      <w:tr>
        <w:trPr>
          <w:trHeight w:val="27"/>
        </w:trPr>
        <w:tc>
          <w:tcPr>
            <w:tcW w:w="3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39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35,880</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101,568</w:t>
            </w:r>
          </w:p>
        </w:tc>
      </w:tr>
      <w:tr>
        <w:trPr>
          <w:trHeight w:val="236"/>
        </w:trPr>
        <w:tc>
          <w:tcPr>
            <w:tcW w:w="37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53,886</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144,893</w:t>
            </w:r>
          </w:p>
        </w:tc>
      </w:tr>
      <w:tr>
        <w:trPr>
          <w:trHeight w:val="27"/>
        </w:trPr>
        <w:tc>
          <w:tcPr>
            <w:tcW w:w="3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3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655"/>
        </w:trPr>
        <w:tc>
          <w:tcPr>
            <w:tcW w:w="3740" w:type="dxa"/>
            <w:vAlign w:val="bottom"/>
          </w:tcPr>
          <w:p>
            <w:pPr>
              <w:spacing w:after="0"/>
              <w:rPr>
                <w:sz w:val="24"/>
                <w:szCs w:val="24"/>
                <w:color w:val="auto"/>
              </w:rPr>
            </w:pPr>
          </w:p>
        </w:tc>
        <w:tc>
          <w:tcPr>
            <w:tcW w:w="4100" w:type="dxa"/>
            <w:vAlign w:val="bottom"/>
            <w:gridSpan w:val="2"/>
          </w:tcPr>
          <w:p>
            <w:pPr>
              <w:jc w:val="right"/>
              <w:ind w:right="1870"/>
              <w:spacing w:after="0"/>
              <w:rPr>
                <w:sz w:val="20"/>
                <w:szCs w:val="20"/>
                <w:color w:val="auto"/>
              </w:rPr>
            </w:pPr>
            <w:r>
              <w:rPr>
                <w:rFonts w:ascii="Arial" w:cs="Arial" w:eastAsia="Arial" w:hAnsi="Arial"/>
                <w:sz w:val="18"/>
                <w:szCs w:val="18"/>
                <w:color w:val="auto"/>
              </w:rPr>
              <w:t>F-19</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December 31, 2017 and 2016:</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3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Principal Balance as of December 31,</w:t>
            </w:r>
          </w:p>
        </w:tc>
        <w:tc>
          <w:tcPr>
            <w:tcW w:w="120" w:type="dxa"/>
            <w:vAlign w:val="bottom"/>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Stated Interest Rate as of</w:t>
            </w:r>
          </w:p>
        </w:tc>
        <w:tc>
          <w:tcPr>
            <w:tcW w:w="1920" w:type="dxa"/>
            <w:vAlign w:val="bottom"/>
          </w:tcPr>
          <w:p>
            <w:pPr>
              <w:jc w:val="right"/>
              <w:ind w:right="60"/>
              <w:spacing w:after="0"/>
              <w:rPr>
                <w:sz w:val="20"/>
                <w:szCs w:val="20"/>
                <w:color w:val="auto"/>
              </w:rPr>
            </w:pPr>
            <w:r>
              <w:rPr>
                <w:rFonts w:ascii="Arial" w:cs="Arial" w:eastAsia="Arial" w:hAnsi="Arial"/>
                <w:sz w:val="14"/>
                <w:szCs w:val="14"/>
                <w:b w:val="1"/>
                <w:bCs w:val="1"/>
                <w:color w:val="auto"/>
              </w:rPr>
              <w:t>Stated Maturity Date as of</w:t>
            </w:r>
          </w:p>
        </w:tc>
      </w:tr>
      <w:tr>
        <w:trPr>
          <w:trHeight w:val="190"/>
        </w:trPr>
        <w:tc>
          <w:tcPr>
            <w:tcW w:w="5260" w:type="dxa"/>
            <w:vAlign w:val="bottom"/>
            <w:gridSpan w:val="2"/>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260" w:type="dxa"/>
            <w:vAlign w:val="bottom"/>
          </w:tcPr>
          <w:p>
            <w:pPr>
              <w:spacing w:after="0"/>
              <w:rPr>
                <w:sz w:val="16"/>
                <w:szCs w:val="16"/>
                <w:color w:val="auto"/>
              </w:rPr>
            </w:pPr>
          </w:p>
        </w:tc>
        <w:tc>
          <w:tcPr>
            <w:tcW w:w="900" w:type="dxa"/>
            <w:vAlign w:val="bottom"/>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December 31, 2017</w:t>
            </w:r>
          </w:p>
        </w:tc>
        <w:tc>
          <w:tcPr>
            <w:tcW w:w="1920" w:type="dxa"/>
            <w:vAlign w:val="bottom"/>
          </w:tcPr>
          <w:p>
            <w:pPr>
              <w:jc w:val="right"/>
              <w:ind w:right="300"/>
              <w:spacing w:after="0"/>
              <w:rPr>
                <w:sz w:val="20"/>
                <w:szCs w:val="20"/>
                <w:color w:val="auto"/>
              </w:rPr>
            </w:pPr>
            <w:r>
              <w:rPr>
                <w:rFonts w:ascii="Arial" w:cs="Arial" w:eastAsia="Arial" w:hAnsi="Arial"/>
                <w:sz w:val="14"/>
                <w:szCs w:val="14"/>
                <w:b w:val="1"/>
                <w:bCs w:val="1"/>
                <w:color w:val="auto"/>
              </w:rPr>
              <w:t>December 31, 2017</w:t>
            </w:r>
          </w:p>
        </w:tc>
      </w:tr>
      <w:tr>
        <w:trPr>
          <w:trHeight w:val="79"/>
        </w:trPr>
        <w:tc>
          <w:tcPr>
            <w:tcW w:w="4680" w:type="dxa"/>
            <w:vAlign w:val="bottom"/>
            <w:tcBorders>
              <w:bottom w:val="single" w:sz="8" w:color="auto"/>
            </w:tcBorders>
          </w:tcPr>
          <w:p>
            <w:pPr>
              <w:spacing w:after="0"/>
              <w:rPr>
                <w:sz w:val="6"/>
                <w:szCs w:val="6"/>
                <w:color w:val="auto"/>
              </w:rPr>
            </w:pPr>
          </w:p>
        </w:tc>
        <w:tc>
          <w:tcPr>
            <w:tcW w:w="58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gridSpan w:val="3"/>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r>
      <w:tr>
        <w:trPr>
          <w:trHeight w:val="243"/>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w:t>
            </w:r>
          </w:p>
        </w:tc>
        <w:tc>
          <w:tcPr>
            <w:tcW w:w="2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4"/>
            <w:shd w:val="clear" w:color="auto" w:fill="CCEEFF"/>
          </w:tcPr>
          <w:p>
            <w:pPr>
              <w:jc w:val="right"/>
              <w:ind w:right="419"/>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The Grove at Shrewsbury (West)</w:t>
            </w: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10,545</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10,792</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6.38%</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March 1, 2018</w:t>
            </w:r>
          </w:p>
        </w:tc>
      </w:tr>
      <w:tr>
        <w:trPr>
          <w:trHeight w:val="33"/>
        </w:trPr>
        <w:tc>
          <w:tcPr>
            <w:tcW w:w="4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Rollingwood Apartments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20,820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21,283</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May 1, 2019</w:t>
            </w: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The Shops at Sunset Place</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66,603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68,634</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5.62%</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September 1, 2020</w:t>
            </w:r>
          </w:p>
        </w:tc>
      </w:tr>
      <w:tr>
        <w:trPr>
          <w:trHeight w:val="33"/>
        </w:trPr>
        <w:tc>
          <w:tcPr>
            <w:tcW w:w="4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29th Place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4,553</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31, 2021</w:t>
            </w: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Sylmar Towne Center</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17,362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5.39%</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June 6, 2021</w:t>
            </w:r>
          </w:p>
        </w:tc>
      </w:tr>
      <w:tr>
        <w:trPr>
          <w:trHeight w:val="33"/>
        </w:trPr>
        <w:tc>
          <w:tcPr>
            <w:tcW w:w="4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Plaza Del Sol</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December 1, 2021</w:t>
            </w: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THE AVENUE at White Marsh</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52,705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52,705</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January 1, 2022</w:t>
            </w:r>
          </w:p>
        </w:tc>
      </w:tr>
      <w:tr>
        <w:trPr>
          <w:trHeight w:val="33"/>
        </w:trPr>
        <w:tc>
          <w:tcPr>
            <w:tcW w:w="4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Montrose Crossing</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71,054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72,726</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10, 2022</w:t>
            </w: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Azalea</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November 1, 2025</w:t>
            </w:r>
          </w:p>
        </w:tc>
      </w:tr>
      <w:tr>
        <w:trPr>
          <w:trHeight w:val="33"/>
        </w:trPr>
        <w:tc>
          <w:tcPr>
            <w:tcW w:w="4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Bell Gardens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13,184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2026</w:t>
            </w: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Plaza El Segundo</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175,000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June 5, 2027</w:t>
            </w:r>
          </w:p>
        </w:tc>
      </w:tr>
      <w:tr>
        <w:trPr>
          <w:trHeight w:val="33"/>
        </w:trPr>
        <w:tc>
          <w:tcPr>
            <w:tcW w:w="4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The Grove at Shrewsbury (East)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43,600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42,536</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September 1, 2027</w:t>
            </w: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Brook 35</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11,500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11,500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July 1, 2029</w:t>
            </w:r>
          </w:p>
        </w:tc>
      </w:tr>
      <w:tr>
        <w:trPr>
          <w:trHeight w:val="33"/>
        </w:trPr>
        <w:tc>
          <w:tcPr>
            <w:tcW w:w="4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Chelsea</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6,268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6,576</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2031</w:t>
            </w:r>
          </w:p>
        </w:tc>
      </w:tr>
      <w:tr>
        <w:trPr>
          <w:trHeight w:val="217"/>
        </w:trPr>
        <w:tc>
          <w:tcPr>
            <w:tcW w:w="5260" w:type="dxa"/>
            <w:vAlign w:val="bottom"/>
            <w:gridSpan w:val="2"/>
          </w:tcPr>
          <w:p>
            <w:pPr>
              <w:ind w:left="700"/>
              <w:spacing w:after="0"/>
              <w:rPr>
                <w:sz w:val="20"/>
                <w:szCs w:val="20"/>
                <w:color w:val="auto"/>
              </w:rPr>
            </w:pPr>
            <w:r>
              <w:rPr>
                <w:rFonts w:ascii="Arial" w:cs="Arial" w:eastAsia="Arial" w:hAnsi="Arial"/>
                <w:sz w:val="16"/>
                <w:szCs w:val="16"/>
                <w:color w:val="auto"/>
              </w:rPr>
              <w:t>Subtotal</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491,561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466,305</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Net unamortized premium and debt issuance costs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4,812</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spacing w:after="0"/>
              <w:rPr>
                <w:sz w:val="23"/>
                <w:szCs w:val="23"/>
                <w:color w:val="auto"/>
              </w:rPr>
            </w:pPr>
          </w:p>
        </w:tc>
      </w:tr>
      <w:tr>
        <w:trPr>
          <w:trHeight w:val="217"/>
        </w:trPr>
        <w:tc>
          <w:tcPr>
            <w:tcW w:w="5260" w:type="dxa"/>
            <w:vAlign w:val="bottom"/>
            <w:gridSpan w:val="2"/>
          </w:tcPr>
          <w:p>
            <w:pPr>
              <w:ind w:left="700"/>
              <w:spacing w:after="0"/>
              <w:rPr>
                <w:sz w:val="20"/>
                <w:szCs w:val="20"/>
                <w:color w:val="auto"/>
              </w:rPr>
            </w:pPr>
            <w:r>
              <w:rPr>
                <w:rFonts w:ascii="Arial" w:cs="Arial" w:eastAsia="Arial" w:hAnsi="Arial"/>
                <w:sz w:val="16"/>
                <w:szCs w:val="16"/>
                <w:color w:val="auto"/>
              </w:rPr>
              <w:t>Total mortgages payable</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491,505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471,117</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46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r>
      <w:tr>
        <w:trPr>
          <w:trHeight w:val="243"/>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Notes payable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Term loan</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6"/>
                <w:szCs w:val="16"/>
                <w:color w:val="auto"/>
              </w:rPr>
              <w:t>LIBOR + 0.90%</w:t>
            </w:r>
          </w:p>
        </w:tc>
        <w:tc>
          <w:tcPr>
            <w:tcW w:w="1920" w:type="dxa"/>
            <w:vAlign w:val="bottom"/>
          </w:tcPr>
          <w:p>
            <w:pPr>
              <w:jc w:val="right"/>
              <w:spacing w:after="0"/>
              <w:rPr>
                <w:sz w:val="20"/>
                <w:szCs w:val="20"/>
                <w:color w:val="auto"/>
              </w:rPr>
            </w:pPr>
            <w:r>
              <w:rPr>
                <w:rFonts w:ascii="Arial" w:cs="Arial" w:eastAsia="Arial" w:hAnsi="Arial"/>
                <w:sz w:val="16"/>
                <w:szCs w:val="16"/>
                <w:color w:val="auto"/>
              </w:rPr>
              <w:t>November 21, 2018</w:t>
            </w:r>
          </w:p>
        </w:tc>
      </w:tr>
      <w:tr>
        <w:trPr>
          <w:trHeight w:val="33"/>
        </w:trPr>
        <w:tc>
          <w:tcPr>
            <w:tcW w:w="4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Revolving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LIBOR + 0.825%</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20, 2020</w:t>
            </w: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Various</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4,819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5,247</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11.31%</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Various through 2028</w:t>
            </w:r>
          </w:p>
        </w:tc>
      </w:tr>
      <w:tr>
        <w:trPr>
          <w:trHeight w:val="33"/>
        </w:trPr>
        <w:tc>
          <w:tcPr>
            <w:tcW w:w="46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r>
      <w:tr>
        <w:trPr>
          <w:trHeight w:val="230"/>
        </w:trPr>
        <w:tc>
          <w:tcPr>
            <w:tcW w:w="526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320,819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280,247</w:t>
            </w:r>
          </w:p>
        </w:tc>
        <w:tc>
          <w:tcPr>
            <w:tcW w:w="1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spacing w:after="0"/>
              <w:rPr>
                <w:sz w:val="19"/>
                <w:szCs w:val="19"/>
                <w:color w:val="auto"/>
              </w:rPr>
            </w:pPr>
          </w:p>
        </w:tc>
      </w:tr>
      <w:tr>
        <w:trPr>
          <w:trHeight w:val="237"/>
        </w:trPr>
        <w:tc>
          <w:tcPr>
            <w:tcW w:w="5260" w:type="dxa"/>
            <w:vAlign w:val="bottom"/>
            <w:gridSpan w:val="2"/>
          </w:tcPr>
          <w:p>
            <w:pPr>
              <w:ind w:left="920"/>
              <w:spacing w:after="0"/>
              <w:rPr>
                <w:sz w:val="20"/>
                <w:szCs w:val="20"/>
                <w:color w:val="auto"/>
              </w:rPr>
            </w:pPr>
            <w:r>
              <w:rPr>
                <w:rFonts w:ascii="Arial" w:cs="Arial" w:eastAsia="Arial" w:hAnsi="Arial"/>
                <w:sz w:val="16"/>
                <w:szCs w:val="16"/>
                <w:color w:val="auto"/>
              </w:rPr>
              <w:t>Net unamortized debt issuance costs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(1,096)</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3"/>
        </w:trPr>
        <w:tc>
          <w:tcPr>
            <w:tcW w:w="46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Total notes payable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320,265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279,151</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03"/>
        </w:trPr>
        <w:tc>
          <w:tcPr>
            <w:tcW w:w="5260" w:type="dxa"/>
            <w:vAlign w:val="bottom"/>
            <w:gridSpan w:val="2"/>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60"/>
        </w:trPr>
        <w:tc>
          <w:tcPr>
            <w:tcW w:w="4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20" w:type="dxa"/>
            <w:vAlign w:val="bottom"/>
          </w:tcPr>
          <w:p>
            <w:pPr>
              <w:spacing w:after="0"/>
              <w:rPr>
                <w:sz w:val="5"/>
                <w:szCs w:val="5"/>
                <w:color w:val="auto"/>
              </w:rPr>
            </w:pPr>
          </w:p>
        </w:tc>
      </w:tr>
      <w:tr>
        <w:trPr>
          <w:trHeight w:val="25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5.90% notes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1, 2020</w:t>
            </w: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2.55% notes</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January 15, 2021</w:t>
            </w:r>
          </w:p>
        </w:tc>
      </w:tr>
      <w:tr>
        <w:trPr>
          <w:trHeight w:val="33"/>
        </w:trPr>
        <w:tc>
          <w:tcPr>
            <w:tcW w:w="4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3.00% notes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2022</w:t>
            </w: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2.75% notes</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June 1, 2023</w:t>
            </w:r>
          </w:p>
        </w:tc>
      </w:tr>
      <w:tr>
        <w:trPr>
          <w:trHeight w:val="33"/>
        </w:trPr>
        <w:tc>
          <w:tcPr>
            <w:tcW w:w="4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3.95% notes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2024</w:t>
            </w: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7.48% debentures</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29,200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29,200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August 15, 2026</w:t>
            </w:r>
          </w:p>
        </w:tc>
      </w:tr>
      <w:tr>
        <w:trPr>
          <w:trHeight w:val="33"/>
        </w:trPr>
        <w:tc>
          <w:tcPr>
            <w:tcW w:w="4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3.25% notes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475,000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15, 2027</w:t>
            </w: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6.82% medium term notes</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6.82%</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August 1, 2027</w:t>
            </w:r>
          </w:p>
        </w:tc>
      </w:tr>
      <w:tr>
        <w:trPr>
          <w:trHeight w:val="33"/>
        </w:trPr>
        <w:tc>
          <w:tcPr>
            <w:tcW w:w="4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4.50% notes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December 1, 2044</w:t>
            </w:r>
          </w:p>
        </w:tc>
      </w:tr>
      <w:tr>
        <w:trPr>
          <w:trHeight w:val="237"/>
        </w:trPr>
        <w:tc>
          <w:tcPr>
            <w:tcW w:w="5260" w:type="dxa"/>
            <w:vAlign w:val="bottom"/>
            <w:gridSpan w:val="2"/>
          </w:tcPr>
          <w:p>
            <w:pPr>
              <w:ind w:left="380"/>
              <w:spacing w:after="0"/>
              <w:rPr>
                <w:sz w:val="20"/>
                <w:szCs w:val="20"/>
                <w:color w:val="auto"/>
              </w:rPr>
            </w:pPr>
            <w:r>
              <w:rPr>
                <w:rFonts w:ascii="Arial" w:cs="Arial" w:eastAsia="Arial" w:hAnsi="Arial"/>
                <w:sz w:val="16"/>
                <w:szCs w:val="16"/>
                <w:color w:val="auto"/>
              </w:rPr>
              <w:t>3.625% notes</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3.625%</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August 1, 2046</w:t>
            </w:r>
          </w:p>
        </w:tc>
      </w:tr>
      <w:tr>
        <w:trPr>
          <w:trHeight w:val="33"/>
        </w:trPr>
        <w:tc>
          <w:tcPr>
            <w:tcW w:w="46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r>
      <w:tr>
        <w:trPr>
          <w:trHeight w:val="230"/>
        </w:trPr>
        <w:tc>
          <w:tcPr>
            <w:tcW w:w="526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2,419,200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1,994,200</w:t>
            </w:r>
          </w:p>
        </w:tc>
        <w:tc>
          <w:tcPr>
            <w:tcW w:w="1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spacing w:after="0"/>
              <w:rPr>
                <w:sz w:val="19"/>
                <w:szCs w:val="19"/>
                <w:color w:val="auto"/>
              </w:rPr>
            </w:pPr>
          </w:p>
        </w:tc>
      </w:tr>
      <w:tr>
        <w:trPr>
          <w:trHeight w:val="237"/>
        </w:trPr>
        <w:tc>
          <w:tcPr>
            <w:tcW w:w="5260" w:type="dxa"/>
            <w:vAlign w:val="bottom"/>
            <w:gridSpan w:val="2"/>
          </w:tcPr>
          <w:p>
            <w:pPr>
              <w:ind w:left="920"/>
              <w:spacing w:after="0"/>
              <w:rPr>
                <w:sz w:val="20"/>
                <w:szCs w:val="20"/>
                <w:color w:val="auto"/>
              </w:rPr>
            </w:pPr>
            <w:r>
              <w:rPr>
                <w:rFonts w:ascii="Arial" w:cs="Arial" w:eastAsia="Arial" w:hAnsi="Arial"/>
                <w:sz w:val="16"/>
                <w:szCs w:val="16"/>
                <w:color w:val="auto"/>
              </w:rPr>
              <w:t>Net unamortized discount and debt issuance costs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(17,760)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(17,606)</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3"/>
        </w:trPr>
        <w:tc>
          <w:tcPr>
            <w:tcW w:w="46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Total senior notes and debentures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2,401,440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1,976,594</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03"/>
        </w:trPr>
        <w:tc>
          <w:tcPr>
            <w:tcW w:w="5260" w:type="dxa"/>
            <w:vAlign w:val="bottom"/>
            <w:gridSpan w:val="2"/>
          </w:tcPr>
          <w:p>
            <w:pPr>
              <w:ind w:left="40"/>
              <w:spacing w:after="0"/>
              <w:rPr>
                <w:sz w:val="20"/>
                <w:szCs w:val="20"/>
                <w:color w:val="auto"/>
              </w:rPr>
            </w:pPr>
            <w:r>
              <w:rPr>
                <w:rFonts w:ascii="Arial" w:cs="Arial" w:eastAsia="Arial" w:hAnsi="Arial"/>
                <w:sz w:val="16"/>
                <w:szCs w:val="16"/>
                <w:b w:val="1"/>
                <w:bCs w:val="1"/>
                <w:color w:val="auto"/>
              </w:rPr>
              <w:t>Capital lease obligations</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60"/>
        </w:trPr>
        <w:tc>
          <w:tcPr>
            <w:tcW w:w="4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20" w:type="dxa"/>
            <w:vAlign w:val="bottom"/>
          </w:tcPr>
          <w:p>
            <w:pPr>
              <w:spacing w:after="0"/>
              <w:rPr>
                <w:sz w:val="5"/>
                <w:szCs w:val="5"/>
                <w:color w:val="auto"/>
              </w:rPr>
            </w:pPr>
          </w:p>
        </w:tc>
      </w:tr>
      <w:tr>
        <w:trPr>
          <w:trHeight w:val="270"/>
        </w:trPr>
        <w:tc>
          <w:tcPr>
            <w:tcW w:w="52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Various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71,556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71,590</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Various</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2106</w:t>
            </w:r>
          </w:p>
        </w:tc>
      </w:tr>
      <w:tr>
        <w:trPr>
          <w:trHeight w:val="217"/>
        </w:trPr>
        <w:tc>
          <w:tcPr>
            <w:tcW w:w="526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debt and capital lease obligations</w:t>
            </w:r>
          </w:p>
        </w:tc>
        <w:tc>
          <w:tcPr>
            <w:tcW w:w="26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3,284,766</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2,798,452</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0"/>
        </w:trPr>
        <w:tc>
          <w:tcPr>
            <w:tcW w:w="4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6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June 5, 2017 we refinanced the $175.0 million mortgage loan on Plaza El Segundo at a face amount of $125.0 million and repaid the remaining $50.0 million at par. The new mortgage loan bears interest at 3.83% and matures on June 5, 2027.</w:t>
      </w:r>
    </w:p>
    <w:p>
      <w:pPr>
        <w:spacing w:after="0" w:line="3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On June 23, 2017, we issued $400.0 million aggregate principal amount of fixed rate senior unsecured notes in two separate series. We issued $300.0 million of 3.25% notes that mature on July 15, 2027, which were offered at 99.083% of the principal amount, with a yield to maturity of 3.358%. Additionally, we issued $100.0 million of 4.50% notes due December 1, 2044. The 4.50% notes were offered at 105.760% of the principal amount, with a yield to maturity of 4.143%, and have the same terms and are of the same series as the senior notes first issued on November 14, 2014. Our net proceeds from the June note offering after net issuance premium, underwriting fees and other costs was approximately $399.5 million.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26" w:right="239" w:bottom="779" w:gutter="0" w:footer="0" w:header="0"/>
        </w:sectPr>
      </w:pPr>
    </w:p>
    <w:bookmarkStart w:id="78" w:name="page79"/>
    <w:bookmarkEnd w:id="78"/>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connection with the acquisition of six shopping centers in Los Angeles County, California on August 2, 2017 (as further discussed in Note 3), we assumed mortgage loans with a face amount of $79.4 million and a fair value of $80.1 million. The mortgage loans are secured by the individual properties with the following contractual terms: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40" w:type="dxa"/>
            <w:vAlign w:val="bottom"/>
          </w:tcPr>
          <w:p>
            <w:pPr>
              <w:spacing w:after="0"/>
              <w:rPr>
                <w:sz w:val="18"/>
                <w:szCs w:val="18"/>
                <w:color w:val="auto"/>
              </w:rPr>
            </w:pPr>
          </w:p>
        </w:tc>
        <w:tc>
          <w:tcPr>
            <w:tcW w:w="1360" w:type="dxa"/>
            <w:vAlign w:val="bottom"/>
          </w:tcPr>
          <w:p>
            <w:pPr>
              <w:jc w:val="center"/>
              <w:ind w:left="396"/>
              <w:spacing w:after="0"/>
              <w:rPr>
                <w:sz w:val="20"/>
                <w:szCs w:val="20"/>
                <w:color w:val="auto"/>
              </w:rPr>
            </w:pPr>
            <w:r>
              <w:rPr>
                <w:rFonts w:ascii="Arial" w:cs="Arial" w:eastAsia="Arial" w:hAnsi="Arial"/>
                <w:sz w:val="16"/>
                <w:szCs w:val="16"/>
                <w:b w:val="1"/>
                <w:bCs w:val="1"/>
                <w:color w:val="auto"/>
                <w:w w:val="94"/>
              </w:rPr>
              <w:t>Principal</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2"/>
          </w:tcPr>
          <w:p>
            <w:pPr>
              <w:ind w:left="360"/>
              <w:spacing w:after="0"/>
              <w:rPr>
                <w:sz w:val="20"/>
                <w:szCs w:val="20"/>
                <w:color w:val="auto"/>
              </w:rPr>
            </w:pPr>
            <w:r>
              <w:rPr>
                <w:rFonts w:ascii="Arial" w:cs="Arial" w:eastAsia="Arial" w:hAnsi="Arial"/>
                <w:sz w:val="16"/>
                <w:szCs w:val="16"/>
                <w:b w:val="1"/>
                <w:bCs w:val="1"/>
                <w:color w:val="auto"/>
              </w:rPr>
              <w:t>Stated Interest Rate</w:t>
            </w:r>
          </w:p>
        </w:tc>
        <w:tc>
          <w:tcPr>
            <w:tcW w:w="1820" w:type="dxa"/>
            <w:vAlign w:val="bottom"/>
          </w:tcPr>
          <w:p>
            <w:pPr>
              <w:jc w:val="right"/>
              <w:ind w:right="332"/>
              <w:spacing w:after="0"/>
              <w:rPr>
                <w:sz w:val="20"/>
                <w:szCs w:val="20"/>
                <w:color w:val="auto"/>
              </w:rPr>
            </w:pPr>
            <w:r>
              <w:rPr>
                <w:rFonts w:ascii="Arial" w:cs="Arial" w:eastAsia="Arial" w:hAnsi="Arial"/>
                <w:sz w:val="16"/>
                <w:szCs w:val="16"/>
                <w:b w:val="1"/>
                <w:bCs w:val="1"/>
                <w:color w:val="auto"/>
              </w:rPr>
              <w:t>Maturity Date</w:t>
            </w:r>
          </w:p>
        </w:tc>
      </w:tr>
      <w:tr>
        <w:trPr>
          <w:trHeight w:val="33"/>
        </w:trPr>
        <w:tc>
          <w:tcPr>
            <w:tcW w:w="54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5440" w:type="dxa"/>
            <w:vAlign w:val="bottom"/>
          </w:tcPr>
          <w:p>
            <w:pPr>
              <w:spacing w:after="0"/>
              <w:rPr>
                <w:sz w:val="20"/>
                <w:szCs w:val="20"/>
                <w:color w:val="auto"/>
              </w:rPr>
            </w:pPr>
          </w:p>
        </w:tc>
        <w:tc>
          <w:tcPr>
            <w:tcW w:w="1360" w:type="dxa"/>
            <w:vAlign w:val="bottom"/>
          </w:tcPr>
          <w:p>
            <w:pPr>
              <w:jc w:val="center"/>
              <w:ind w:left="396"/>
              <w:spacing w:after="0"/>
              <w:rPr>
                <w:sz w:val="20"/>
                <w:szCs w:val="20"/>
                <w:color w:val="auto"/>
              </w:rPr>
            </w:pPr>
            <w:r>
              <w:rPr>
                <w:rFonts w:ascii="Arial" w:cs="Arial" w:eastAsia="Arial" w:hAnsi="Arial"/>
                <w:sz w:val="16"/>
                <w:szCs w:val="16"/>
                <w:b w:val="1"/>
                <w:bCs w:val="1"/>
                <w:color w:val="auto"/>
                <w:w w:val="93"/>
              </w:rPr>
              <w:t>(in millions)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3"/>
        </w:trPr>
        <w:tc>
          <w:tcPr>
            <w:tcW w:w="5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Sylmar Towne Center</w:t>
            </w:r>
          </w:p>
        </w:tc>
        <w:tc>
          <w:tcPr>
            <w:tcW w:w="1360" w:type="dxa"/>
            <w:vAlign w:val="bottom"/>
            <w:tcBorders>
              <w:bottom w:val="single" w:sz="8" w:color="CCEEFF"/>
            </w:tcBorders>
            <w:shd w:val="clear" w:color="auto" w:fill="CCEEFF"/>
          </w:tcPr>
          <w:p>
            <w:pPr>
              <w:jc w:val="right"/>
              <w:ind w:right="11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June 6, 2021</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Plaza Del Sol</w:t>
            </w:r>
          </w:p>
        </w:tc>
        <w:tc>
          <w:tcPr>
            <w:tcW w:w="136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December 1, 2021</w:t>
            </w:r>
          </w:p>
        </w:tc>
      </w:tr>
      <w:tr>
        <w:trPr>
          <w:trHeight w:val="27"/>
        </w:trPr>
        <w:tc>
          <w:tcPr>
            <w:tcW w:w="5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Azalea</w:t>
            </w:r>
          </w:p>
        </w:tc>
        <w:tc>
          <w:tcPr>
            <w:tcW w:w="1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November 1, 2025</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Bell Gardens</w:t>
            </w:r>
          </w:p>
        </w:tc>
        <w:tc>
          <w:tcPr>
            <w:tcW w:w="136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13.3</w:t>
            </w:r>
          </w:p>
        </w:tc>
        <w:tc>
          <w:tcPr>
            <w:tcW w:w="12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August 1, 2026</w:t>
            </w:r>
          </w:p>
        </w:tc>
      </w:tr>
    </w:tbl>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31, 2017, we refinanced the $41.8 million mortgage loan on The Grove at Shrewsbury (East) at a face amount of $43.6 million. The new mortgage loan bears interest at 3.77% and matures on September 1, 2027.</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21, 2017, we issued $175.0 million aggregate principal amount of 3.25% senior unsecured notes due July 15, 2027. The notes have the same terms and are of the same series as the $300.0 million senior notes issued on June 23, 2017. The notes were offered at 99.404% of the principal amount, with a yield to maturity of 3.323%. Our net proceeds from the December note offering after issuance discount, underwriting fees and other costs were approximately $172.5 million. The proceeds were used on December 31, 2017 to repay our $150.0 million 5.90% notes prior to the original maturity date of April 1, 2020. The redemption price of $164.1 million included a make-whole premium of $11.9 million and accrued but unpaid interest of $2.2 million. The make-whole premium is included in "early extinguishment of debt" in 2017.</w:t>
      </w:r>
    </w:p>
    <w:p>
      <w:pPr>
        <w:spacing w:after="0" w:line="5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During 2017, 2016 and 2015, the maximum amount of borrowings outstanding under our $800.0 million revolving credit facility was $344.0 million, $251.5 million and $324.0 million, respectively. The weighted average amount of borrowings outstanding was $147.5 million, $77.3 million and $109.7 million, respectively, and the weighted average interest rate, before amortization of debt fees, was 1.9%, 1.3% and 1.1%, respectively. The revolving credit facility requires an annual facility fee of $1.0 million. At December 31, 2017, our revolving credit facility had $41.0 million outstanding, and had no balance outstanding at December 31, 2016.</w:t>
      </w:r>
    </w:p>
    <w:p>
      <w:pPr>
        <w:spacing w:after="0" w:line="5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Our revolving credit facility, term loan, and certain notes require us to comply with various financial covenants, including the maintenance of minimum shareholders’ equity and debt coverage ratios and a maximum ratio of debt to net worth. As of December 31, 2017, we were in compliance with all default related debt covenants.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Scheduled principal payments on mortgages payable, notes payable, senior notes and debentures as of December 31, 2017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3"/>
              </w:rPr>
              <w:t>Mortgages</w:t>
            </w:r>
          </w:p>
        </w:tc>
        <w:tc>
          <w:tcPr>
            <w:tcW w:w="300" w:type="dxa"/>
            <w:vAlign w:val="bottom"/>
          </w:tcPr>
          <w:p>
            <w:pPr>
              <w:spacing w:after="0"/>
              <w:rPr>
                <w:sz w:val="14"/>
                <w:szCs w:val="14"/>
                <w:color w:val="auto"/>
              </w:rPr>
            </w:pPr>
          </w:p>
        </w:tc>
        <w:tc>
          <w:tcPr>
            <w:tcW w:w="1180" w:type="dxa"/>
            <w:vAlign w:val="bottom"/>
          </w:tcPr>
          <w:p>
            <w:pPr>
              <w:jc w:val="right"/>
              <w:ind w:right="495"/>
              <w:spacing w:after="0"/>
              <w:rPr>
                <w:sz w:val="20"/>
                <w:szCs w:val="20"/>
                <w:color w:val="auto"/>
              </w:rPr>
            </w:pPr>
            <w:r>
              <w:rPr>
                <w:rFonts w:ascii="Arial" w:cs="Arial" w:eastAsia="Arial" w:hAnsi="Arial"/>
                <w:sz w:val="14"/>
                <w:szCs w:val="14"/>
                <w:b w:val="1"/>
                <w:bCs w:val="1"/>
                <w:color w:val="auto"/>
              </w:rPr>
              <w:t>Notes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Senior Notes and</w:t>
            </w:r>
          </w:p>
        </w:tc>
        <w:tc>
          <w:tcPr>
            <w:tcW w:w="300" w:type="dxa"/>
            <w:vAlign w:val="bottom"/>
          </w:tcPr>
          <w:p>
            <w:pPr>
              <w:spacing w:after="0"/>
              <w:rPr>
                <w:sz w:val="14"/>
                <w:szCs w:val="14"/>
                <w:color w:val="auto"/>
              </w:rPr>
            </w:pPr>
          </w:p>
        </w:tc>
        <w:tc>
          <w:tcPr>
            <w:tcW w:w="118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860"/>
              <w:spacing w:after="0"/>
              <w:rPr>
                <w:sz w:val="20"/>
                <w:szCs w:val="20"/>
                <w:color w:val="auto"/>
              </w:rPr>
            </w:pPr>
            <w:r>
              <w:rPr>
                <w:rFonts w:ascii="Arial" w:cs="Arial" w:eastAsia="Arial" w:hAnsi="Arial"/>
                <w:sz w:val="14"/>
                <w:szCs w:val="14"/>
                <w:b w:val="1"/>
                <w:bCs w:val="1"/>
                <w:color w:val="auto"/>
                <w:w w:val="90"/>
              </w:rPr>
              <w:t>Payable</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Payable</w:t>
            </w: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Debentures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Principal</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2018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16,228</w:t>
            </w:r>
          </w:p>
        </w:tc>
        <w:tc>
          <w:tcPr>
            <w:tcW w:w="5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275,506</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w w:val="99"/>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291,734</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2019</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25,820</w:t>
            </w:r>
          </w:p>
        </w:tc>
        <w:tc>
          <w:tcPr>
            <w:tcW w:w="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563</w:t>
            </w: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26,383</w:t>
            </w: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65,539</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41,624</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107,163</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30,541</w:t>
            </w:r>
          </w:p>
        </w:tc>
        <w:tc>
          <w:tcPr>
            <w:tcW w:w="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694</w:t>
            </w: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281,235</w:t>
            </w: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117,018</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771</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367,789</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236,415</w:t>
            </w:r>
          </w:p>
        </w:tc>
        <w:tc>
          <w:tcPr>
            <w:tcW w:w="5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1,661</w:t>
            </w:r>
          </w:p>
        </w:tc>
        <w:tc>
          <w:tcPr>
            <w:tcW w:w="5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1,919,200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2,157,276</w:t>
            </w:r>
          </w:p>
        </w:tc>
        <w:tc>
          <w:tcPr>
            <w:tcW w:w="5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66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491,561</w:t>
            </w:r>
          </w:p>
        </w:tc>
        <w:tc>
          <w:tcPr>
            <w:tcW w:w="5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320,819</w:t>
            </w:r>
          </w:p>
        </w:tc>
        <w:tc>
          <w:tcPr>
            <w:tcW w:w="5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2,419,200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3,231,580</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$275.0 million unsecured term loan matures on November 21, 2018, subject to a one-year extension at our option.</w:t>
      </w:r>
    </w:p>
    <w:p>
      <w:pPr>
        <w:spacing w:after="0" w:line="8"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$800.0 million revolving credit facility matures on April 20, 2020, subject to two six-month extensions at our option. As of December 31, 2017, there was $41.0 million outstanding under this credit facility.</w:t>
      </w:r>
    </w:p>
    <w:p>
      <w:pPr>
        <w:ind w:left="660" w:right="900" w:hanging="328"/>
        <w:spacing w:after="0" w:line="260"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total debt maturities differ from the total reported on the consolidated balance sheet as of December 31, 2017 due to the unamortized premium/(discount) and debt issuance costs on mortgage loans, notes payable, and senior notes.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6" w:right="23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and their present value for property under capital leases as of December 31, 2017, are as follows: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(In thousands)</w:t>
            </w:r>
          </w:p>
        </w:tc>
      </w:tr>
      <w:tr>
        <w:trPr>
          <w:trHeight w:val="256"/>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5,800</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5,800</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5,800</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5,800</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5,810</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142,425</w:t>
            </w:r>
          </w:p>
        </w:tc>
      </w:tr>
      <w:tr>
        <w:trPr>
          <w:trHeight w:val="236"/>
        </w:trPr>
        <w:tc>
          <w:tcPr>
            <w:tcW w:w="100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171,435</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amount representing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(99,879)</w:t>
            </w:r>
          </w:p>
        </w:tc>
      </w:tr>
      <w:tr>
        <w:trPr>
          <w:trHeight w:val="236"/>
        </w:trPr>
        <w:tc>
          <w:tcPr>
            <w:tcW w:w="10060" w:type="dxa"/>
            <w:vAlign w:val="bottom"/>
          </w:tcPr>
          <w:p>
            <w:pPr>
              <w:ind w:left="40"/>
              <w:spacing w:after="0"/>
              <w:rPr>
                <w:sz w:val="20"/>
                <w:szCs w:val="20"/>
                <w:color w:val="auto"/>
              </w:rPr>
            </w:pPr>
            <w:r>
              <w:rPr>
                <w:rFonts w:ascii="Arial" w:cs="Arial" w:eastAsia="Arial" w:hAnsi="Arial"/>
                <w:sz w:val="18"/>
                <w:szCs w:val="18"/>
                <w:color w:val="auto"/>
              </w:rPr>
              <w:t>Present value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71,556</w:t>
            </w:r>
          </w:p>
        </w:tc>
      </w:tr>
      <w:tr>
        <w:trPr>
          <w:trHeight w:val="27"/>
        </w:trPr>
        <w:tc>
          <w:tcPr>
            <w:tcW w:w="10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10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6—FAIR VALUE OF FINANCIAL INSTRUMENTS</w:t>
      </w:r>
    </w:p>
    <w:p>
      <w:pPr>
        <w:spacing w:after="0" w:line="9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 fair value measurement is based on the assumptions that market participants would use in pricing an asset or liability in an orderly transaction. The hierarchy for inputs used in measuring fair value are as follows:</w:t>
      </w:r>
    </w:p>
    <w:p>
      <w:pPr>
        <w:spacing w:after="0" w:line="116" w:lineRule="exact"/>
        <w:rPr>
          <w:sz w:val="20"/>
          <w:szCs w:val="20"/>
          <w:color w:val="auto"/>
        </w:rPr>
      </w:pPr>
    </w:p>
    <w:p>
      <w:pPr>
        <w:ind w:left="580" w:hanging="545"/>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Level 1 Inputs—quoted prices in active markets for identical assets or liabilities</w:t>
      </w:r>
    </w:p>
    <w:p>
      <w:pPr>
        <w:spacing w:after="0" w:line="197" w:lineRule="exact"/>
        <w:rPr>
          <w:rFonts w:ascii="Arial" w:cs="Arial" w:eastAsia="Arial" w:hAnsi="Arial"/>
          <w:sz w:val="18"/>
          <w:szCs w:val="18"/>
          <w:color w:val="auto"/>
        </w:rPr>
      </w:pPr>
    </w:p>
    <w:p>
      <w:pPr>
        <w:ind w:left="580" w:hanging="545"/>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Level 2 Inputs—observable inputs other than quoted prices in active markets for identical assets and liabilities</w:t>
      </w:r>
    </w:p>
    <w:p>
      <w:pPr>
        <w:spacing w:after="0" w:line="197" w:lineRule="exact"/>
        <w:rPr>
          <w:rFonts w:ascii="Arial" w:cs="Arial" w:eastAsia="Arial" w:hAnsi="Arial"/>
          <w:sz w:val="18"/>
          <w:szCs w:val="18"/>
          <w:color w:val="auto"/>
        </w:rPr>
      </w:pPr>
    </w:p>
    <w:p>
      <w:pPr>
        <w:ind w:left="580" w:right="3200" w:hanging="545"/>
        <w:spacing w:after="0" w:line="277"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Level 3 Inputs—prices or valuation techniques that require inputs that are both significant to the fair value measurement and unobservable</w:t>
      </w:r>
    </w:p>
    <w:p>
      <w:pPr>
        <w:spacing w:after="0" w:line="143" w:lineRule="exact"/>
        <w:rPr>
          <w:sz w:val="20"/>
          <w:szCs w:val="20"/>
          <w:color w:val="auto"/>
        </w:rPr>
      </w:pPr>
    </w:p>
    <w:p>
      <w:pPr>
        <w:ind w:right="80"/>
        <w:spacing w:after="0" w:line="307"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for disclosure purposes, the level within which the fair value measurement is categorized is based on the lowest level input that is significant to the fair value measurement.</w:t>
      </w:r>
    </w:p>
    <w:p>
      <w:pPr>
        <w:spacing w:after="0" w:line="1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2"/>
        </w:trPr>
        <w:tc>
          <w:tcPr>
            <w:tcW w:w="5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341"/>
              <w:spacing w:after="0" w:line="152"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3"/>
                <w:szCs w:val="13"/>
                <w:color w:val="auto"/>
              </w:rPr>
            </w:pPr>
          </w:p>
        </w:tc>
        <w:tc>
          <w:tcPr>
            <w:tcW w:w="980" w:type="dxa"/>
            <w:vAlign w:val="bottom"/>
          </w:tcPr>
          <w:p>
            <w:pPr>
              <w:jc w:val="right"/>
              <w:ind w:right="321"/>
              <w:spacing w:after="0" w:line="152" w:lineRule="exact"/>
              <w:rPr>
                <w:sz w:val="20"/>
                <w:szCs w:val="20"/>
                <w:color w:val="auto"/>
              </w:rPr>
            </w:pPr>
            <w:r>
              <w:rPr>
                <w:rFonts w:ascii="Arial" w:cs="Arial" w:eastAsia="Arial" w:hAnsi="Arial"/>
                <w:sz w:val="14"/>
                <w:szCs w:val="14"/>
                <w:b w:val="1"/>
                <w:bCs w:val="1"/>
                <w:color w:val="auto"/>
                <w:w w:val="97"/>
              </w:rPr>
              <w:t>Carrying</w:t>
            </w:r>
          </w:p>
        </w:tc>
        <w:tc>
          <w:tcPr>
            <w:tcW w:w="340" w:type="dxa"/>
            <w:vAlign w:val="bottom"/>
          </w:tcPr>
          <w:p>
            <w:pPr>
              <w:spacing w:after="0"/>
              <w:rPr>
                <w:sz w:val="13"/>
                <w:szCs w:val="13"/>
                <w:color w:val="auto"/>
              </w:rPr>
            </w:pPr>
          </w:p>
        </w:tc>
        <w:tc>
          <w:tcPr>
            <w:tcW w:w="11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and notes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811,770</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824,419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750,268</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760,260</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Senior notes and debentures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61"/>
              <w:spacing w:after="0"/>
              <w:rPr>
                <w:sz w:val="20"/>
                <w:szCs w:val="20"/>
                <w:color w:val="auto"/>
              </w:rPr>
            </w:pPr>
            <w:r>
              <w:rPr>
                <w:rFonts w:ascii="Arial" w:cs="Arial" w:eastAsia="Arial" w:hAnsi="Arial"/>
                <w:sz w:val="18"/>
                <w:szCs w:val="18"/>
                <w:color w:val="auto"/>
              </w:rPr>
              <w:t>2,401,440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2,498,445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41"/>
              <w:spacing w:after="0"/>
              <w:rPr>
                <w:sz w:val="20"/>
                <w:szCs w:val="20"/>
                <w:color w:val="auto"/>
              </w:rPr>
            </w:pPr>
            <w:r>
              <w:rPr>
                <w:rFonts w:ascii="Arial" w:cs="Arial" w:eastAsia="Arial" w:hAnsi="Arial"/>
                <w:sz w:val="18"/>
                <w:szCs w:val="18"/>
                <w:color w:val="auto"/>
              </w:rPr>
              <w:t>1,976,594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2,015,973</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of December 31, 2017, we have two interest rate swap agreements with a notional amount of $275.0 million that are measured at fair value on a recurring basis. The interest rate swap agreements fix the variable portion of our $275.0 million term loan at 1.72% through November 1, 2018. 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December 31, 2017 was an asset of less than$0.1 million and is included in "prepaid expenses and other assets" on our consolidated balance sheets, and at December 31, 2016 was a liability of $2.6 million, and is included in "accounts payable and accrued expenses." The value of our interest rate swaps increased $2.6 million and $1.5 million (including $1.8 million and $3.5 million respectively, reclassified from other comprehensive income/(loss) to earnings) for 2017 and 2016, respectively. These changes in value are included in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6" w:right="23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"accumulated other comprehensive income (loss)." A summary of our financial assets/(liabilities) that are measured at fair value on a recurring basis, by level within the fair value hierarchy is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December 31, 2017</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December 31, 2016</w:t>
            </w:r>
          </w:p>
        </w:tc>
        <w:tc>
          <w:tcPr>
            <w:tcW w:w="780" w:type="dxa"/>
            <w:vAlign w:val="bottom"/>
            <w:tcBorders>
              <w:bottom w:val="single" w:sz="8" w:color="auto"/>
            </w:tcBorders>
          </w:tcPr>
          <w:p>
            <w:pPr>
              <w:spacing w:after="0"/>
              <w:rPr>
                <w:sz w:val="16"/>
                <w:szCs w:val="16"/>
                <w:color w:val="auto"/>
              </w:rPr>
            </w:pPr>
          </w:p>
        </w:tc>
      </w:tr>
      <w:tr>
        <w:trPr>
          <w:trHeight w:val="263"/>
        </w:trPr>
        <w:tc>
          <w:tcPr>
            <w:tcW w:w="286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Total</w:t>
            </w:r>
          </w:p>
        </w:tc>
      </w:tr>
      <w:tr>
        <w:trPr>
          <w:trHeight w:val="250"/>
        </w:trPr>
        <w:tc>
          <w:tcPr>
            <w:tcW w:w="28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720" w:type="dxa"/>
            <w:vAlign w:val="bottom"/>
            <w:gridSpan w:val="4"/>
          </w:tcPr>
          <w:p>
            <w:pPr>
              <w:ind w:left="28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9"/>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(2,577)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w:t>
            </w:r>
          </w:p>
        </w:tc>
      </w:tr>
      <w:tr>
        <w:trPr>
          <w:trHeight w:val="27"/>
        </w:trPr>
        <w:tc>
          <w:tcPr>
            <w:tcW w:w="28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7—COMMITMENTS AND CONTINGENCIES</w:t>
      </w:r>
    </w:p>
    <w:p>
      <w:pPr>
        <w:spacing w:after="0" w:line="9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16"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Other than as described below,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w:t>
      </w:r>
    </w:p>
    <w:p>
      <w:pPr>
        <w:spacing w:after="0" w:line="3" w:lineRule="exact"/>
        <w:rPr>
          <w:sz w:val="20"/>
          <w:szCs w:val="20"/>
          <w:color w:val="auto"/>
        </w:rPr>
      </w:pPr>
    </w:p>
    <w:p>
      <w:pPr>
        <w:ind w:right="140" w:firstLine="8"/>
        <w:spacing w:after="0" w:line="260" w:lineRule="auto"/>
        <w:tabs>
          <w:tab w:leader="none" w:pos="2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 owner of the properties due to certain matters relating to the operation of the properties by the tenant, and (2) where appropriate, due to certain matters relating to the ownership of the properties prior to their acquisition by us.</w:t>
      </w:r>
    </w:p>
    <w:p>
      <w:pPr>
        <w:spacing w:after="0" w:line="13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November 2016, we were included as a defendant in a class action lawsuit, in the circuit court for Montgomery County, Maryland, related to predatory towing by a third party company we had retained to provide towing services at several of our properties in Montgomery County, Maryland. We, individually and collectively with other members of the more than 500 property owner defendant class, have undertaken numerous legal actions to challenge property owner liability in this case, including challenging the certification of the class as a matter of law; however, all of these legal actions have been unsuccessful. Given the costs and risks of continuing litigation on this matter, we elected to participate in a settlement for which our share is approximately $0.4 million. We expect that this settlement amount will be reimbursed by insurance. The settlement did not cover liability for certain tows that were included in the lawsuit that the defendant class believes cannot be pursued because of the statute of limitations. Accordingly, we do not believe we should have any additional liability for these remaining tows; however, if we are unsuccessful in dismissing these tows from the litigation, our liability would be approximately $0.2 million assuming payment on the same terms as the settlement.</w:t>
      </w:r>
    </w:p>
    <w:p>
      <w:pPr>
        <w:spacing w:after="0" w:line="1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are self-insured for general liability costs up to predetermined retained amounts per claim, and we believe that we maintain adequate accruals to cover our retained liability. We currently do not maintain third party stop-loss insurance policies to cover liability costs in excess of predetermined retained amounts. Our accrual for self-insurance liability is determined by management and is based on claims filed and an estimate of claims incurred but not yet reported. Management considers a number of factors, including third-party actuarial analysis, previous experience in our portfolio, and future increases in costs of claims, when making these determinations. If our liability costs exceed these accruals, it will reduce our net income.</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reserve for estimated losses, if any, associated with warranties given to a buyer at the time real estate is sold or other potential liabilities relating to that sale, taking any insurance policies into account. These warranties may extend up to ten years and require significant judgment. If changes in facts and circumstances indicate that warranty reserves are understated, we will accrue additional reserves at such time a liability has been incurred and the costs can be reasonably estimated. Warranty reserves are released once the legal liability period has expired or all related work has been substantially completed. During 2016, the legal liability period relating to our latent defect warranty on condominiums sold at Santana Row expired. Upon expiration, we released the remaining $4.9 million warranty reserve which is included in "gain on sale of real estate and change in control of interests" in the consolidated statement of comprehensive income for the year ended December 31, 2016.</w:t>
      </w:r>
    </w:p>
    <w:p>
      <w:pPr>
        <w:spacing w:after="0" w:line="1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At December 31, 2017 and 2016, our reserves for general liability costs were $3.3 million and $2.8 million, respectively, and are included in “accounts payable and accrued expenses” in our consolidated balance sheets. Any potential losses which exceed our estimates would result in a decrease in our net income. During 2017 and 2016, we made payments from these reserves of $1.4 million and $2.0 million, respectively. Although we consider the reserve to be adequate, there can be no assurance that the reserve will prove to be adequate over-time to cover losses due to the difference between the assumptions used to estimate the reserve and actual losses.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6" w:right="23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we had letters of credit outstanding of approximately $1.3 million.</w:t>
      </w:r>
    </w:p>
    <w:p>
      <w:pPr>
        <w:spacing w:after="0" w:line="17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of December 31, 2017 in connection with capital improvement, development, and redevelopment projects, the Trust has contractual obligations of approximately $326.6 million.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We are obligated under ground lease agreements on several shopping centers requiring minimum annual payments as follows, as of December 31, 2017:</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(In thousands)</w:t>
            </w:r>
          </w:p>
        </w:tc>
      </w:tr>
      <w:tr>
        <w:trPr>
          <w:trHeight w:val="256"/>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4,583</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4,737</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4,749</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4,757</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4,873</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188,132</w:t>
            </w:r>
          </w:p>
        </w:tc>
      </w:tr>
      <w:tr>
        <w:trPr>
          <w:trHeight w:val="236"/>
        </w:trPr>
        <w:tc>
          <w:tcPr>
            <w:tcW w:w="100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211,831</w:t>
            </w:r>
          </w:p>
        </w:tc>
      </w:tr>
      <w:tr>
        <w:trPr>
          <w:trHeight w:val="27"/>
        </w:trPr>
        <w:tc>
          <w:tcPr>
            <w:tcW w:w="10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10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master lease for Mercer Mall includes a fixed purchase price option for $55 million in 2023. If we fail to exercise our purchase option, the owner of Mercer Mall has a put option which would require us to purchase Mercer Mall for $60 million in 2025.</w:t>
      </w:r>
    </w:p>
    <w:p>
      <w:pPr>
        <w:spacing w:after="0" w:line="3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the terms of the Congressional Plaza partnership agreement, a minority partner has the right to require us and the other minority partner to purchase its 26.63% interest in Congressional Plaza at the interest’s then-current fair market value. If the other minority partner defaults in their obligation, we must purchase the full interest. Based on management’s current estimate of fair market value as of December 31, 2017, our estimated maximum liability upon exercise of the put option would range from approximately $81 million to $85 million.</w:t>
      </w:r>
    </w:p>
    <w:p>
      <w:pPr>
        <w:spacing w:after="0" w:line="5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 master lease for Melville Mall includes a fixed purchase price option in 2021 for $5 million. If we fail to exercise our purchase option, the owner of Melville Mall has a put option which would require us to purchase Melville Mall in 2023 for $5 million.</w:t>
      </w:r>
    </w:p>
    <w:p>
      <w:pPr>
        <w:spacing w:after="0" w:line="3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other member in Montrose Crossing has the right to require us to purchase all of its 10.1% interest in Montrose Crossing at the interest's then-current fair market value. If the other member fails to exercise its put option, we have the right to purchase its interest on or after December 27, 2021 at fair market value. Based on management’s current estimate of fair market value as of December 31, 2017, our estimated maximum liability upon exercise of the put option would range from approximately $12 million to $13 million.</w:t>
      </w:r>
    </w:p>
    <w:p>
      <w:pPr>
        <w:spacing w:after="0" w:line="5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Two of the members in Plaza El Segundo have the right to require us to purchase their 10.0% and 11.8% ownership interests at the interests' then-current fair market value. If the members fail to exercise their put options, we have the right to purchase each of their interests on or after December 30, 2026 at fair market value. Based on management’s current estimate of fair market value as of December 31, 2017, our estimated maximum liability upon exercise of the put option would range from approximately $26 million to $29 million.</w:t>
      </w:r>
    </w:p>
    <w:p>
      <w:pPr>
        <w:spacing w:after="0" w:line="5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Effective January 1, 2017, the other member in The Grove at Shrewsbury and Brook 35 has the right to require us to purchase all of its approximately 4.8% interest in The Grove at Shrewsbury and approximately 8.8% interest in Brook 35 at the interests' then-current fair market value. Based on management's current estimate of fair market value as of December 31, 2017, our estimated maximum liability upon exercise of the put option would range from $9 million to $10 million.</w:t>
      </w:r>
    </w:p>
    <w:p>
      <w:pPr>
        <w:spacing w:after="0" w:line="5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Under the terms of certain partnership agreements, the partners have the right to exchange their operating partnership units for cash or the same number of our common shares, at our option. A total of 787,962 downREIT operating partnership units are outstanding which have a total fair value of $104.6 million, based on our closing stock price on December 31, 2017.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8—SHAREHOLDERS’ EQUITY</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have a Dividend Reinvestment Plan (the “Plan”), whereby shareholders may use their dividends and optional cash payments to purchase shares. In 2017, 2016 and 2015, 17,911 shares, 15,619 shares and 16,524 shares, respectively, were issued under the Plan.</w:t>
      </w:r>
    </w:p>
    <w:p>
      <w:pPr>
        <w:spacing w:after="0" w:line="3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September 29, 2017, we issued 6,000,000 Depository Shares, each representing 1/1000th interest of 5.0% Series C Cumulative Redeemable Preferred Share, par value $0.01 per share ("Series C Preferred Shares"), at the liquidation preference of $25.00 per depository share (or $25,000 per Series C Preferred share) in an underwritten public offering. The Series C</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26" w:right="2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Preferred Shares accrue dividends at a rate of 5.0% of the $25,000 liquidation preference per year and are redeemable at our option on or after September 29, 2022. Additionally, they are not convertible and holders of these shares generally have no voting rights, unless we fail to pay dividends for six or more quarters. The net proceeds after underwriting fees and other costs were approximately $145.0 million.</w:t>
      </w:r>
    </w:p>
    <w:p>
      <w:pPr>
        <w:spacing w:after="0" w:line="18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As of December 31, 2017, 2016, and 2015, we had 399,896 shares of 5.417% Series 1 Cumulative Convertible Preferred Shares (“Series 1 Preferred Shares”) outstanding that have a liquidation preference of $25 per share and par value $0.01 per share. The Series 1 Preferred Shares accrue dividends at a rate of</w:t>
      </w:r>
    </w:p>
    <w:p>
      <w:pPr>
        <w:spacing w:after="0" w:line="1"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5.417% per year and are convertible at any time by the holders to our common shares at a conversion rate of $104.69 per share. The Series 1 Preferred Shares are also convertible under certain circumstances at our election. The holders of the Series 1 Preferred Shares have no voting rights.</w:t>
      </w:r>
    </w:p>
    <w:p>
      <w:pPr>
        <w:spacing w:after="0" w:line="2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November 4, 2016, we replaced our existing at-the-market (“ATM”) equity program with a new ATM equity program in which we may from time to time offer and sell common shares having an aggregate offering price of up to $400.0 million. We intend to use the net proceeds to fund potential acquisition opportunities, fund our development and redevelopment pipeline, repay amounts of outstanding under our revolving credit facility and/or for general corporate purposes. For the year ended December 31, 2017, we issued 826,517 common shares at a weighted average price per share of $132.56 for net cash proceeds of $108.3 million and paid $1.1 million in commissions and $0.2 million in additional offering expenses related to the sales of these common shares. For the year ended December 31, 2016, we issued 1,156,571 common shares at a weighted average price per share of $152.92 for net cash proceeds of $174.8 million and paid $1.8 million in commissions and $0.2 million in additional offering expenses related to the sales of these common shares. As of December 31, 2017, we had the capacity to issue up to $261.3 million in common shares under our ATM equity program.</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9—DIVIDENDS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263"/>
        </w:trPr>
        <w:tc>
          <w:tcPr>
            <w:tcW w:w="53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6"/>
              </w:rPr>
              <w:t>2017</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2016</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2015</w:t>
            </w:r>
          </w:p>
        </w:tc>
        <w:tc>
          <w:tcPr>
            <w:tcW w:w="680" w:type="dxa"/>
            <w:vAlign w:val="bottom"/>
            <w:tcBorders>
              <w:bottom w:val="single" w:sz="8" w:color="auto"/>
            </w:tcBorders>
          </w:tcPr>
          <w:p>
            <w:pPr>
              <w:spacing w:after="0"/>
              <w:rPr>
                <w:sz w:val="22"/>
                <w:szCs w:val="22"/>
                <w:color w:val="auto"/>
              </w:rPr>
            </w:pPr>
          </w:p>
        </w:tc>
      </w:tr>
      <w:tr>
        <w:trPr>
          <w:trHeight w:val="263"/>
        </w:trPr>
        <w:tc>
          <w:tcPr>
            <w:tcW w:w="53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4"/>
              </w:rPr>
              <w:t>Declared</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7"/>
              </w:rPr>
              <w:t>Declared</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Declared</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Paid</w:t>
            </w:r>
          </w:p>
        </w:tc>
      </w:tr>
      <w:tr>
        <w:trPr>
          <w:trHeight w:val="24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3.960</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3.550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5.417% Series 1 Cumulative Convertible Preferred shares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1.354</w:t>
            </w:r>
          </w:p>
        </w:tc>
        <w:tc>
          <w:tcPr>
            <w:tcW w:w="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1.354</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1.354</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1.354</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 Series C Cumulative Redeemable Preferred shares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0.368</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0"/>
        </w:trPr>
        <w:tc>
          <w:tcPr>
            <w:tcW w:w="5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134" w:lineRule="exact"/>
        <w:rPr>
          <w:sz w:val="20"/>
          <w:szCs w:val="20"/>
          <w:color w:val="auto"/>
        </w:rPr>
      </w:pPr>
    </w:p>
    <w:p>
      <w:pPr>
        <w:ind w:right="4700" w:firstLine="35"/>
        <w:spacing w:after="0" w:line="539" w:lineRule="auto"/>
        <w:tabs>
          <w:tab w:leader="none" w:pos="281" w:val="left"/>
        </w:tabs>
        <w:numPr>
          <w:ilvl w:val="0"/>
          <w:numId w:val="63"/>
        </w:numPr>
        <w:rPr>
          <w:rFonts w:ascii="Arial" w:cs="Arial" w:eastAsia="Arial" w:hAnsi="Arial"/>
          <w:sz w:val="17"/>
          <w:szCs w:val="17"/>
          <w:color w:val="auto"/>
        </w:rPr>
      </w:pPr>
      <w:r>
        <w:rPr>
          <w:rFonts w:ascii="Arial" w:cs="Arial" w:eastAsia="Arial" w:hAnsi="Arial"/>
          <w:sz w:val="17"/>
          <w:szCs w:val="17"/>
          <w:color w:val="auto"/>
        </w:rPr>
        <w:t>Amount represents dividends per depository share, each representing 1/1000th of a share. A summary of the income tax status of dividends per share paid is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3"/>
        </w:trPr>
        <w:tc>
          <w:tcPr>
            <w:tcW w:w="70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24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Ordinary dividend</w:t>
            </w:r>
          </w:p>
        </w:tc>
        <w:tc>
          <w:tcPr>
            <w:tcW w:w="860" w:type="dxa"/>
            <w:vAlign w:val="bottom"/>
          </w:tcPr>
          <w:p>
            <w:pPr>
              <w:jc w:val="right"/>
              <w:ind w:right="654"/>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3.940</w:t>
            </w:r>
          </w:p>
        </w:tc>
        <w:tc>
          <w:tcPr>
            <w:tcW w:w="5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3.800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3.515</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gain</w:t>
            </w:r>
          </w:p>
        </w:tc>
        <w:tc>
          <w:tcPr>
            <w:tcW w:w="8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0.035</w:t>
            </w:r>
          </w:p>
        </w:tc>
      </w:tr>
      <w:tr>
        <w:trPr>
          <w:trHeight w:val="236"/>
        </w:trPr>
        <w:tc>
          <w:tcPr>
            <w:tcW w:w="7080" w:type="dxa"/>
            <w:vAlign w:val="bottom"/>
          </w:tcPr>
          <w:p>
            <w:pPr>
              <w:spacing w:after="0"/>
              <w:rPr>
                <w:sz w:val="20"/>
                <w:szCs w:val="20"/>
                <w:color w:val="auto"/>
              </w:rPr>
            </w:pPr>
          </w:p>
        </w:tc>
        <w:tc>
          <w:tcPr>
            <w:tcW w:w="8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3.940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3.800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3.550</w:t>
            </w:r>
          </w:p>
        </w:tc>
      </w:tr>
      <w:tr>
        <w:trPr>
          <w:trHeight w:val="67"/>
        </w:trPr>
        <w:tc>
          <w:tcPr>
            <w:tcW w:w="708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0"/>
        </w:trPr>
        <w:tc>
          <w:tcPr>
            <w:tcW w:w="7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5.417% Series 1 Cumulative Convertible Preferred shares</w:t>
            </w:r>
          </w:p>
        </w:tc>
        <w:tc>
          <w:tcPr>
            <w:tcW w:w="8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Ordinary dividend</w:t>
            </w:r>
          </w:p>
        </w:tc>
        <w:tc>
          <w:tcPr>
            <w:tcW w:w="860" w:type="dxa"/>
            <w:vAlign w:val="bottom"/>
          </w:tcPr>
          <w:p>
            <w:pPr>
              <w:jc w:val="right"/>
              <w:ind w:right="654"/>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1.354</w:t>
            </w:r>
          </w:p>
        </w:tc>
        <w:tc>
          <w:tcPr>
            <w:tcW w:w="5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1.340</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gain</w:t>
            </w:r>
          </w:p>
        </w:tc>
        <w:tc>
          <w:tcPr>
            <w:tcW w:w="8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0.014</w:t>
            </w:r>
          </w:p>
        </w:tc>
      </w:tr>
      <w:tr>
        <w:trPr>
          <w:trHeight w:val="236"/>
        </w:trPr>
        <w:tc>
          <w:tcPr>
            <w:tcW w:w="7080" w:type="dxa"/>
            <w:vAlign w:val="bottom"/>
          </w:tcPr>
          <w:p>
            <w:pPr>
              <w:spacing w:after="0"/>
              <w:rPr>
                <w:sz w:val="20"/>
                <w:szCs w:val="20"/>
                <w:color w:val="auto"/>
              </w:rPr>
            </w:pPr>
          </w:p>
        </w:tc>
        <w:tc>
          <w:tcPr>
            <w:tcW w:w="8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1.354</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1.354</w:t>
            </w:r>
          </w:p>
        </w:tc>
      </w:tr>
      <w:tr>
        <w:trPr>
          <w:trHeight w:val="27"/>
        </w:trPr>
        <w:tc>
          <w:tcPr>
            <w:tcW w:w="70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November 1, 2017, the Trustees declared a quarterly cash dividend of $1.00 per common share, payable January 16, 2018 to common shareholders of record on January 2,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26" w:right="23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10—OPERATING LEASES</w:t>
      </w:r>
    </w:p>
    <w:p>
      <w:pPr>
        <w:spacing w:after="0" w:line="9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At December 31, 2017, our 104 predominantly retail shopping center and mixed-use properties are located in 12 states and the District of Columbia. There are approximately 3,000 leases with tenants providing a wide range of retail products and services. These tenants range from sole proprietorships to national retailers; no one tenant or corporate group of tenants accounts for more than 2.9% of annualized base rent.</w:t>
      </w:r>
    </w:p>
    <w:p>
      <w:pPr>
        <w:spacing w:after="0" w:line="129"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Our leases with commercial property and residential tenants are classified as operating leases. Commercial property leases generally range from three to ten years (certain leases with anchor tenants may be longer), and in addition to minimum rents, may provide for percentage rents based on the tenant’s level of sales achieved and cost recoveries for the tenant’s share of certain operating costs. Leases on apartments are generally for a period of 1 year or less.</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December 31, 2017, minimum future commercial property rentals from noncancelable operating leases, before any reserve for uncollectible amounts and assuming no early lease terminations, at our operating properties are as follows: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(In thousands)</w:t>
            </w:r>
          </w:p>
        </w:tc>
      </w:tr>
      <w:tr>
        <w:trPr>
          <w:trHeight w:val="256"/>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593,461</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537,822</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474,369</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401,869</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328,302</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1,402,509</w:t>
            </w:r>
          </w:p>
        </w:tc>
      </w:tr>
      <w:tr>
        <w:trPr>
          <w:trHeight w:val="236"/>
        </w:trPr>
        <w:tc>
          <w:tcPr>
            <w:tcW w:w="100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3,738,332</w:t>
            </w:r>
          </w:p>
        </w:tc>
      </w:tr>
      <w:tr>
        <w:trPr>
          <w:trHeight w:val="27"/>
        </w:trPr>
        <w:tc>
          <w:tcPr>
            <w:tcW w:w="10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10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11—COMPONENTS OF RENTAL INCOME AND EXPENSE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rents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Retail and commercial</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Residential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 reimbursement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Percentage rent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rental income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Minimum rents include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Straight-line rents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amortization of above and below market leases</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left="14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27495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0">
                      <a:extLst>
                        <a:ext uri="{28A0092B-C50C-407E-A947-70E740481C1C}"/>
                      </a:extLst>
                    </a:blip>
                    <a:srcRect/>
                    <a:stretch>
                      <a:fillRect/>
                    </a:stretch>
                  </pic:blipFill>
                  <pic:spPr bwMode="auto">
                    <a:xfrm>
                      <a:off x="0" y="0"/>
                      <a:ext cx="274955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190"/>
        </w:trPr>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525"/>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585,178</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549,552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509,825</w:t>
            </w:r>
          </w:p>
        </w:tc>
      </w:tr>
      <w:tr>
        <w:trPr>
          <w:trHeight w:val="270"/>
        </w:trPr>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55,416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49,465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42,797</w:t>
            </w:r>
          </w:p>
        </w:tc>
      </w:tr>
      <w:tr>
        <w:trPr>
          <w:trHeight w:val="270"/>
        </w:trPr>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171,528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158,042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148,110</w:t>
            </w:r>
          </w:p>
        </w:tc>
      </w:tr>
      <w:tr>
        <w:trPr>
          <w:trHeight w:val="270"/>
        </w:trPr>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11,148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10,977</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11,911</w:t>
            </w:r>
          </w:p>
        </w:tc>
      </w:tr>
      <w:tr>
        <w:trPr>
          <w:trHeight w:val="270"/>
        </w:trPr>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18,191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18,547</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15,169</w:t>
            </w:r>
          </w:p>
        </w:tc>
      </w:tr>
      <w:tr>
        <w:trPr>
          <w:trHeight w:val="27"/>
        </w:trPr>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6"/>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841,461</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786,583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727,812</w:t>
            </w:r>
          </w:p>
        </w:tc>
      </w:tr>
      <w:tr>
        <w:trPr>
          <w:trHeight w:val="27"/>
        </w:trPr>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743"/>
        </w:trPr>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63"/>
        </w:trPr>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190"/>
        </w:trPr>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5"/>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12.9</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7.6</w:t>
            </w:r>
          </w:p>
        </w:tc>
      </w:tr>
      <w:tr>
        <w:trPr>
          <w:trHeight w:val="270"/>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-2192020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-1849755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-1506855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-153670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60" w:space="720"/>
            <w:col w:w="4340"/>
          </w:cols>
          <w:pgMar w:left="240" w:top="126" w:right="239" w:bottom="1440" w:gutter="0" w:footer="0" w:header="0"/>
          <w:type w:val="continuous"/>
        </w:sectPr>
      </w:pPr>
    </w:p>
    <w:p>
      <w:pPr>
        <w:spacing w:after="0" w:line="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420"/>
          </w:cols>
          <w:pgMar w:left="240" w:top="126" w:right="239" w:bottom="1440" w:gutter="0" w:footer="0" w:header="0"/>
          <w:type w:val="continuous"/>
        </w:sectPr>
      </w:pPr>
    </w:p>
    <w:bookmarkStart w:id="84" w:name="page85"/>
    <w:bookmarkEnd w:id="84"/>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expenses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Repairs and maintenance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67,996</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64,942</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62,420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Utilities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25,763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24,968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23,003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 fees and costs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22,297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20,823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18,639</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Payroll</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13,832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12,673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Marketing</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8,520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9,046</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Insurance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7,762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7,758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7,875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Ground rent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Bad debt expense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2,591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2,375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12,547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10,229</w:t>
            </w:r>
          </w:p>
        </w:tc>
        <w:tc>
          <w:tcPr>
            <w:tcW w:w="0" w:type="dxa"/>
            <w:vAlign w:val="bottom"/>
          </w:tcPr>
          <w:p>
            <w:pPr>
              <w:spacing w:after="0"/>
              <w:rPr>
                <w:sz w:val="1"/>
                <w:szCs w:val="1"/>
                <w:color w:val="auto"/>
              </w:rPr>
            </w:pPr>
          </w:p>
        </w:tc>
      </w:tr>
      <w:tr>
        <w:trPr>
          <w:trHeight w:val="236"/>
        </w:trPr>
        <w:tc>
          <w:tcPr>
            <w:tcW w:w="7080" w:type="dxa"/>
            <w:vAlign w:val="bottom"/>
          </w:tcPr>
          <w:p>
            <w:pPr>
              <w:ind w:left="40"/>
              <w:spacing w:after="0"/>
              <w:rPr>
                <w:sz w:val="20"/>
                <w:szCs w:val="20"/>
                <w:color w:val="auto"/>
              </w:rPr>
            </w:pPr>
            <w:r>
              <w:rPr>
                <w:rFonts w:ascii="Arial" w:cs="Arial" w:eastAsia="Arial" w:hAnsi="Arial"/>
                <w:sz w:val="18"/>
                <w:szCs w:val="18"/>
                <w:color w:val="auto"/>
              </w:rPr>
              <w:t>Total rental expenses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164,890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158,326</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147,593</w:t>
            </w:r>
          </w:p>
        </w:tc>
        <w:tc>
          <w:tcPr>
            <w:tcW w:w="0" w:type="dxa"/>
            <w:vAlign w:val="bottom"/>
          </w:tcPr>
          <w:p>
            <w:pPr>
              <w:spacing w:after="0"/>
              <w:rPr>
                <w:sz w:val="1"/>
                <w:szCs w:val="1"/>
                <w:color w:val="auto"/>
              </w:rPr>
            </w:pPr>
          </w:p>
        </w:tc>
      </w:tr>
      <w:tr>
        <w:trPr>
          <w:trHeight w:val="27"/>
        </w:trPr>
        <w:tc>
          <w:tcPr>
            <w:tcW w:w="7080" w:type="dxa"/>
            <w:vAlign w:val="bottom"/>
            <w:vMerge w:val="restart"/>
          </w:tcPr>
          <w:p>
            <w:pPr>
              <w:spacing w:after="0"/>
              <w:rPr>
                <w:sz w:val="20"/>
                <w:szCs w:val="20"/>
                <w:color w:val="auto"/>
              </w:rPr>
            </w:pPr>
            <w:r>
              <w:rPr>
                <w:rFonts w:ascii="Arial" w:cs="Arial" w:eastAsia="Arial" w:hAnsi="Arial"/>
                <w:sz w:val="18"/>
                <w:szCs w:val="18"/>
                <w:b w:val="1"/>
                <w:bCs w:val="1"/>
                <w:color w:val="auto"/>
              </w:rPr>
              <w:t>NOTE 12—SHARE-BASED COMPENSATION PLANS</w:t>
            </w: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080" w:type="dxa"/>
            <w:vAlign w:val="bottom"/>
          </w:tcPr>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0"/>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gridSpan w:val="3"/>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Grants of common shares and options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12,371</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11,227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12,074</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Capitalized share-based compensation</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10,986</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9,917</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11,206</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December 31, 2017, we have grants outstanding under two share-based compensation plans. In May 2010, our shareholders approved the 2010 Performance Incentive Plan, as amended (the "2010 Plan”), which authorized the grant of share options, common shares and other share-based awards for up to 2,450,000 common shares of beneficial interest. Our 2001 Long Term Incentive Plan (the “2001 Plan”), which expired in May 2010, authorized the grant of share options, common shares and other share-based awards of 3,250,000 common shares of beneficial interest.</w:t>
      </w:r>
    </w:p>
    <w:p>
      <w:pPr>
        <w:spacing w:after="0" w:line="116"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Option awards under both plans are required to have an exercise price at least equal to the closing trading price of our common shares on the date of grant. Options and restricted share awards under these plans generally vest over three to seven years and option awards typically have a ten-year contractual term. We pay dividends on unvested shares. Certain options and share awards provide for accelerated vesting if there is a change in control. Additionally, the vesting on certain option and share awards can accelerate in part or in full upon retirement based on the age of the retiree or upon termination without cause.</w:t>
      </w:r>
    </w:p>
    <w:p>
      <w:pPr>
        <w:spacing w:after="0" w:line="102"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fair value of each option award is estimated on the date of grant using the Black-Scholes model. Expected volatilities, term, dividend yields, employee exercises and estimated forfeitures are primarily based on historical data. The risk-free interest rate is based on the U.S. Treasury yield curve in effect at the time of grant. The fair value of each share award is determined based on the closing trading price of our common shares on the grant date. No options were granted in 2017 and 2015.</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weighted-average assumption used to value options granted in 2016:</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7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77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3680" w:type="dxa"/>
            <w:vAlign w:val="bottom"/>
          </w:tcPr>
          <w:p>
            <w:pPr>
              <w:spacing w:after="0"/>
              <w:rPr>
                <w:sz w:val="2"/>
                <w:szCs w:val="2"/>
                <w:color w:val="auto"/>
              </w:rPr>
            </w:pPr>
          </w:p>
        </w:tc>
        <w:tc>
          <w:tcPr>
            <w:tcW w:w="774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7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Risk free interest rate</w:t>
            </w:r>
          </w:p>
        </w:tc>
        <w:tc>
          <w:tcPr>
            <w:tcW w:w="7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86"/>
        </w:trPr>
        <w:tc>
          <w:tcPr>
            <w:tcW w:w="3680" w:type="dxa"/>
            <w:vAlign w:val="bottom"/>
          </w:tcPr>
          <w:p>
            <w:pPr>
              <w:spacing w:after="0"/>
              <w:rPr>
                <w:sz w:val="24"/>
                <w:szCs w:val="24"/>
                <w:color w:val="auto"/>
              </w:rPr>
            </w:pPr>
          </w:p>
        </w:tc>
        <w:tc>
          <w:tcPr>
            <w:tcW w:w="7740" w:type="dxa"/>
            <w:vAlign w:val="bottom"/>
          </w:tcPr>
          <w:p>
            <w:pPr>
              <w:jc w:val="right"/>
              <w:ind w:right="5450"/>
              <w:spacing w:after="0"/>
              <w:rPr>
                <w:sz w:val="20"/>
                <w:szCs w:val="20"/>
                <w:color w:val="auto"/>
              </w:rPr>
            </w:pPr>
            <w:r>
              <w:rPr>
                <w:rFonts w:ascii="Arial" w:cs="Arial" w:eastAsia="Arial" w:hAnsi="Arial"/>
                <w:sz w:val="18"/>
                <w:szCs w:val="18"/>
                <w:color w:val="auto"/>
              </w:rPr>
              <w:t>F-27</w:t>
            </w:r>
          </w:p>
        </w:tc>
      </w:tr>
    </w:tbl>
    <w:p>
      <w:pPr>
        <w:sectPr>
          <w:pgSz w:w="11900" w:h="16838" w:orient="portrait"/>
          <w:cols w:equalWidth="0" w:num="1">
            <w:col w:w="11420"/>
          </w:cols>
          <w:pgMar w:left="240" w:top="126" w:right="23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option activity for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74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36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740" w:type="dxa"/>
            <w:vAlign w:val="bottom"/>
            <w:gridSpan w:val="2"/>
          </w:tcPr>
          <w:p>
            <w:pPr>
              <w:ind w:left="620"/>
              <w:spacing w:after="0" w:line="149" w:lineRule="exact"/>
              <w:rPr>
                <w:sz w:val="20"/>
                <w:szCs w:val="20"/>
                <w:color w:val="auto"/>
              </w:rPr>
            </w:pPr>
            <w:r>
              <w:rPr>
                <w:rFonts w:ascii="Arial" w:cs="Arial" w:eastAsia="Arial" w:hAnsi="Arial"/>
                <w:sz w:val="14"/>
                <w:szCs w:val="14"/>
                <w:b w:val="1"/>
                <w:bCs w:val="1"/>
                <w:color w:val="auto"/>
              </w:rPr>
              <w:t>Under</w:t>
            </w:r>
          </w:p>
        </w:tc>
        <w:tc>
          <w:tcPr>
            <w:tcW w:w="30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36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162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Contractual Term</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 years)</w:t>
            </w:r>
          </w:p>
        </w:tc>
        <w:tc>
          <w:tcPr>
            <w:tcW w:w="240" w:type="dxa"/>
            <w:vAlign w:val="bottom"/>
          </w:tcPr>
          <w:p>
            <w:pPr>
              <w:spacing w:after="0"/>
              <w:rPr>
                <w:sz w:val="21"/>
                <w:szCs w:val="21"/>
                <w:color w:val="auto"/>
              </w:rPr>
            </w:pPr>
          </w:p>
        </w:tc>
        <w:tc>
          <w:tcPr>
            <w:tcW w:w="1360" w:type="dxa"/>
            <w:vAlign w:val="bottom"/>
          </w:tcPr>
          <w:p>
            <w:pPr>
              <w:jc w:val="center"/>
              <w:ind w:right="162"/>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259,119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56.66</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Granted</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(152,634)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65.37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106,485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44.18</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9,451</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December 31, 2017</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vMerge w:val="continue"/>
          </w:tcPr>
          <w:p>
            <w:pPr>
              <w:spacing w:after="0"/>
              <w:rPr>
                <w:sz w:val="19"/>
                <w:szCs w:val="19"/>
                <w:color w:val="auto"/>
              </w:rPr>
            </w:pP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105,939</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43.62</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22"/>
              <w:spacing w:after="0"/>
              <w:rPr>
                <w:sz w:val="20"/>
                <w:szCs w:val="20"/>
                <w:color w:val="auto"/>
              </w:rPr>
            </w:pPr>
            <w:r>
              <w:rPr>
                <w:rFonts w:ascii="Arial" w:cs="Arial" w:eastAsia="Arial" w:hAnsi="Arial"/>
                <w:sz w:val="18"/>
                <w:szCs w:val="18"/>
                <w:color w:val="auto"/>
              </w:rPr>
              <w:t>9,451</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 weighted-average grant-date fair value of options granted in 2016 was $19.52 per share. The total cash received from options exercised during 2017, 2016 and 2015 was $10.0 million, $4.5 million and $2.0 million, respectively. The total intrinsic value of options exercised during the years ended December 31, 2017, 2016 and 2015 was $10.7 million, $4.2 million and $2.1 million,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restricted share activity for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center"/>
              <w:ind w:right="98"/>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8"/>
        </w:trPr>
        <w:tc>
          <w:tcPr>
            <w:tcW w:w="8120" w:type="dxa"/>
            <w:vAlign w:val="bottom"/>
          </w:tcPr>
          <w:p>
            <w:pPr>
              <w:spacing w:after="0"/>
              <w:rPr>
                <w:sz w:val="12"/>
                <w:szCs w:val="12"/>
                <w:color w:val="auto"/>
              </w:rPr>
            </w:pPr>
          </w:p>
        </w:tc>
        <w:tc>
          <w:tcPr>
            <w:tcW w:w="160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8"/>
              </w:rPr>
              <w:t>Grant-Date Fair</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2016</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217,353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142.70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109,815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139.31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131.55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(2,293)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142.09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2017</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237,171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120"/>
        <w:spacing w:after="0" w:line="341" w:lineRule="auto"/>
        <w:rPr>
          <w:sz w:val="20"/>
          <w:szCs w:val="20"/>
          <w:color w:val="auto"/>
        </w:rPr>
      </w:pPr>
      <w:r>
        <w:rPr>
          <w:rFonts w:ascii="Arial" w:cs="Arial" w:eastAsia="Arial" w:hAnsi="Arial"/>
          <w:sz w:val="16"/>
          <w:szCs w:val="16"/>
          <w:color w:val="auto"/>
        </w:rPr>
        <w:t>The weighted-average grant-date fair value of stock awarded in 2017, 2016 and 2015 was $139.31, $152.70 and $141.08, respectively. The total vesting-date fair value of shares vested during the year ended December 31, 2017, 2016 and 2015, was $12.5 million, $13.8 million and $26.1 million, respectively.</w:t>
      </w:r>
    </w:p>
    <w:p>
      <w:pPr>
        <w:spacing w:after="0" w:line="7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As of December 31, 2017, there was $17.6 million of total unrecognized compensation cost related to unvested share-based compensation arrangements (i.e. options and unvested shares) granted under our plans. This cost is expected to be recognized over the next 6.4 years with a weighted-average period of 2.2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Subsequent to December 31, 2017, common shares were awarded under various compensation plans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4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Date</w:t>
            </w:r>
          </w:p>
        </w:tc>
        <w:tc>
          <w:tcPr>
            <w:tcW w:w="1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Award</w:t>
            </w:r>
          </w:p>
        </w:tc>
        <w:tc>
          <w:tcPr>
            <w:tcW w:w="14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Vesting Term</w:t>
            </w:r>
          </w:p>
        </w:tc>
        <w:tc>
          <w:tcPr>
            <w:tcW w:w="140" w:type="dxa"/>
            <w:vAlign w:val="bottom"/>
            <w:tcBorders>
              <w:bottom w:val="single" w:sz="8" w:color="CCEEFF"/>
            </w:tcBorders>
          </w:tcPr>
          <w:p>
            <w:pPr>
              <w:spacing w:after="0"/>
              <w:rPr>
                <w:sz w:val="16"/>
                <w:szCs w:val="16"/>
                <w:color w:val="auto"/>
              </w:rPr>
            </w:pPr>
          </w:p>
        </w:tc>
        <w:tc>
          <w:tcPr>
            <w:tcW w:w="318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Beneficiary</w:t>
            </w:r>
          </w:p>
        </w:tc>
      </w:tr>
      <w:tr>
        <w:trPr>
          <w:trHeight w:val="249"/>
        </w:trPr>
        <w:tc>
          <w:tcPr>
            <w:tcW w:w="2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2, 2018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5,416</w:t>
            </w:r>
          </w:p>
        </w:tc>
        <w:tc>
          <w:tcPr>
            <w:tcW w:w="2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Shares</w:t>
            </w: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Immediate</w:t>
            </w:r>
          </w:p>
        </w:tc>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Trustees</w:t>
            </w:r>
          </w:p>
        </w:tc>
      </w:tr>
      <w:tr>
        <w:trPr>
          <w:trHeight w:val="243"/>
        </w:trPr>
        <w:tc>
          <w:tcPr>
            <w:tcW w:w="2280" w:type="dxa"/>
            <w:vAlign w:val="bottom"/>
            <w:gridSpan w:val="2"/>
          </w:tcPr>
          <w:p>
            <w:pPr>
              <w:ind w:left="40"/>
              <w:spacing w:after="0"/>
              <w:rPr>
                <w:sz w:val="20"/>
                <w:szCs w:val="20"/>
                <w:color w:val="auto"/>
              </w:rPr>
            </w:pPr>
            <w:r>
              <w:rPr>
                <w:rFonts w:ascii="Arial" w:cs="Arial" w:eastAsia="Arial" w:hAnsi="Arial"/>
                <w:sz w:val="18"/>
                <w:szCs w:val="18"/>
                <w:color w:val="auto"/>
              </w:rPr>
              <w:t>February 7, 2018</w:t>
            </w:r>
          </w:p>
        </w:tc>
        <w:tc>
          <w:tcPr>
            <w:tcW w:w="1080" w:type="dxa"/>
            <w:vAlign w:val="bottom"/>
          </w:tcPr>
          <w:p>
            <w:pPr>
              <w:jc w:val="right"/>
              <w:spacing w:after="0"/>
              <w:rPr>
                <w:sz w:val="20"/>
                <w:szCs w:val="20"/>
                <w:color w:val="auto"/>
              </w:rPr>
            </w:pPr>
            <w:r>
              <w:rPr>
                <w:rFonts w:ascii="Arial" w:cs="Arial" w:eastAsia="Arial" w:hAnsi="Arial"/>
                <w:sz w:val="18"/>
                <w:szCs w:val="18"/>
                <w:color w:val="auto"/>
              </w:rPr>
              <w:t>92,552</w:t>
            </w:r>
          </w:p>
        </w:tc>
        <w:tc>
          <w:tcPr>
            <w:tcW w:w="2460" w:type="dxa"/>
            <w:vAlign w:val="bottom"/>
            <w:gridSpan w:val="2"/>
          </w:tcPr>
          <w:p>
            <w:pPr>
              <w:ind w:left="80"/>
              <w:spacing w:after="0"/>
              <w:rPr>
                <w:sz w:val="20"/>
                <w:szCs w:val="20"/>
                <w:color w:val="auto"/>
              </w:rPr>
            </w:pPr>
            <w:r>
              <w:rPr>
                <w:rFonts w:ascii="Arial" w:cs="Arial" w:eastAsia="Arial" w:hAnsi="Arial"/>
                <w:sz w:val="18"/>
                <w:szCs w:val="18"/>
                <w:color w:val="auto"/>
              </w:rPr>
              <w:t>Restricted shares</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3-4 years</w:t>
            </w:r>
          </w:p>
        </w:tc>
        <w:tc>
          <w:tcPr>
            <w:tcW w:w="3180" w:type="dxa"/>
            <w:vAlign w:val="bottom"/>
          </w:tcPr>
          <w:p>
            <w:pPr>
              <w:ind w:left="20"/>
              <w:spacing w:after="0"/>
              <w:rPr>
                <w:sz w:val="20"/>
                <w:szCs w:val="20"/>
                <w:color w:val="auto"/>
              </w:rPr>
            </w:pPr>
            <w:r>
              <w:rPr>
                <w:rFonts w:ascii="Arial" w:cs="Arial" w:eastAsia="Arial" w:hAnsi="Arial"/>
                <w:sz w:val="18"/>
                <w:szCs w:val="18"/>
                <w:color w:val="auto"/>
              </w:rPr>
              <w:t>Officers and key employees</w:t>
            </w:r>
          </w:p>
        </w:tc>
      </w:tr>
      <w:tr>
        <w:trPr>
          <w:trHeight w:val="27"/>
        </w:trPr>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43"/>
        </w:trPr>
        <w:tc>
          <w:tcPr>
            <w:tcW w:w="2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February 7, 2018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Options</w:t>
            </w:r>
          </w:p>
        </w:tc>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 years</w:t>
            </w:r>
          </w:p>
        </w:tc>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Officers and key employees</w:t>
            </w:r>
          </w:p>
        </w:tc>
      </w:tr>
      <w:tr>
        <w:trPr>
          <w:trHeight w:val="27"/>
        </w:trPr>
        <w:tc>
          <w:tcPr>
            <w:tcW w:w="2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13—SAVINGS AND RETIREMENT PLANS</w:t>
      </w:r>
    </w:p>
    <w:p>
      <w:pPr>
        <w:spacing w:after="0" w:line="9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a savings and retirement plan in accordance with the provisions of Section 401(k) of the Code. Generally, employees can elect, at their discretion, to contribute a portion of their compensation up to a maximum of $18,000 for 2017, 2016, and 2015. Under the plan, we contribute 50% of each employee’s elective deferrals up to 5% of eligible earnings. In addition, we may make discretionary contributions within the limits of deductibility set forth by the Code. Our full-time employees are immediately eligible to become plan participants. Employees are eligible to receive matching contributions immediately on their participation; however, these matching payments will not vest until their third anniversary of employment. Our expense for the years ended December 31, 2017, 2016 and 2015 was approximately $632,000, $602,000 and $504,000, respectively.</w:t>
      </w:r>
    </w:p>
    <w:p>
      <w:pPr>
        <w:spacing w:after="0" w:line="12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non-qualified deferred compensation plan for our officers and certain other employees was established in 1994 that allows the participants to defer a portion of their income. As of December 31, 2017 and 2016, we are liable to participants for approximately $12.8 million and $10.5 million, respectively, under this plan. Although this is an unfunded plan, we have purchased certain investments to match this obligation. Our obligation under this plan and the related investments are both included in the accompanying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26" w:right="23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14—EARNINGS PER SHARE</w:t>
      </w:r>
    </w:p>
    <w:p>
      <w:pPr>
        <w:spacing w:after="0" w:line="94"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2017, 2016, and 2015 we had 0.2 million weighted average unvested shares outstanding,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dilutive EPS calculation, dilutive stock options were calculated using the treasury stock method consistent with prior periods. There were 682 anti-dilutive stock options in 2017, and no anti-dilutive stock options in 2016 or 2015. The conversions of downREIT operating partnership units and 5.417% Series 1 Cumulative Convertible Preferred Shares are anti-dilutive for all periods presented and accordingly, have been excluded from the weighted average common shares used to compute diluted EPS.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center"/>
              <w:ind w:left="533"/>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0"/>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60" w:type="dxa"/>
            <w:vAlign w:val="bottom"/>
            <w:gridSpan w:val="7"/>
          </w:tcPr>
          <w:p>
            <w:pPr>
              <w:jc w:val="center"/>
              <w:ind w:right="171"/>
              <w:spacing w:after="0"/>
              <w:rPr>
                <w:sz w:val="20"/>
                <w:szCs w:val="20"/>
                <w:color w:val="auto"/>
              </w:rPr>
            </w:pPr>
            <w:r>
              <w:rPr>
                <w:rFonts w:ascii="Arial" w:cs="Arial" w:eastAsia="Arial" w:hAnsi="Arial"/>
                <w:sz w:val="14"/>
                <w:szCs w:val="14"/>
                <w:b w:val="1"/>
                <w:bCs w:val="1"/>
                <w:color w:val="auto"/>
                <w:w w:val="91"/>
              </w:rPr>
              <w:t>(In thousands, except per share data)</w:t>
            </w:r>
          </w:p>
        </w:tc>
        <w:tc>
          <w:tcPr>
            <w:tcW w:w="0" w:type="dxa"/>
            <w:vAlign w:val="bottom"/>
          </w:tcPr>
          <w:p>
            <w:pPr>
              <w:spacing w:after="0"/>
              <w:rPr>
                <w:sz w:val="1"/>
                <w:szCs w:val="1"/>
                <w:color w:val="auto"/>
              </w:rPr>
            </w:pPr>
          </w:p>
        </w:tc>
      </w:tr>
      <w:tr>
        <w:trPr>
          <w:trHeight w:val="255"/>
        </w:trPr>
        <w:tc>
          <w:tcPr>
            <w:tcW w:w="7780" w:type="dxa"/>
            <w:vAlign w:val="bottom"/>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219,948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226,425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190,094</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Less: Preferred share dividends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Income from continuing operations attributable to 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(8,205)</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Less: Earnings allocated to unvested shares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208,882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217,534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180,551</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2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77,632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31,133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28,330</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 basic and 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286,514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248,667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208,881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DENOMINATOR</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72,117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70,877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68,797</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6"/>
        </w:trPr>
        <w:tc>
          <w:tcPr>
            <w:tcW w:w="778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72,233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71,049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68,981</w:t>
            </w:r>
          </w:p>
        </w:tc>
        <w:tc>
          <w:tcPr>
            <w:tcW w:w="0" w:type="dxa"/>
            <w:vAlign w:val="bottom"/>
          </w:tcPr>
          <w:p>
            <w:pPr>
              <w:spacing w:after="0"/>
              <w:rPr>
                <w:sz w:val="1"/>
                <w:szCs w:val="1"/>
                <w:color w:val="auto"/>
              </w:rPr>
            </w:pPr>
          </w:p>
        </w:tc>
      </w:tr>
      <w:tr>
        <w:trPr>
          <w:trHeight w:val="67"/>
        </w:trPr>
        <w:tc>
          <w:tcPr>
            <w:tcW w:w="77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77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EARNINGS PER COMMON SHARE, BASIC</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available for common shareholders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available for common shareholders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Income from continuing operations attributable to the Trust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8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212,282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218,777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181,889</w:t>
            </w:r>
          </w:p>
        </w:tc>
        <w:tc>
          <w:tcPr>
            <w:tcW w:w="0" w:type="dxa"/>
            <w:vAlign w:val="bottom"/>
          </w:tcPr>
          <w:p>
            <w:pPr>
              <w:spacing w:after="0"/>
              <w:rPr>
                <w:sz w:val="1"/>
                <w:szCs w:val="1"/>
                <w:color w:val="auto"/>
              </w:rPr>
            </w:pPr>
          </w:p>
        </w:tc>
      </w:tr>
      <w:tr>
        <w:trPr>
          <w:trHeight w:val="917"/>
        </w:trPr>
        <w:tc>
          <w:tcPr>
            <w:tcW w:w="7780" w:type="dxa"/>
            <w:vAlign w:val="bottom"/>
          </w:tcPr>
          <w:p>
            <w:pPr>
              <w:ind w:left="5540"/>
              <w:spacing w:after="0"/>
              <w:rPr>
                <w:sz w:val="20"/>
                <w:szCs w:val="20"/>
                <w:color w:val="auto"/>
              </w:rPr>
            </w:pPr>
            <w:r>
              <w:rPr>
                <w:rFonts w:ascii="Arial" w:cs="Arial" w:eastAsia="Arial" w:hAnsi="Arial"/>
                <w:sz w:val="18"/>
                <w:szCs w:val="18"/>
                <w:color w:val="auto"/>
              </w:rPr>
              <w:t>F-29</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87" w:name="page88"/>
    <w:bookmarkEnd w:id="87"/>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15—SELECTED QUARTERLY FINANCIAL DATA (UNAUDITED)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Summarized quarterly financial data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center"/>
              <w:ind w:right="194"/>
              <w:spacing w:after="0"/>
              <w:rPr>
                <w:sz w:val="20"/>
                <w:szCs w:val="20"/>
                <w:color w:val="auto"/>
              </w:rPr>
            </w:pPr>
            <w:r>
              <w:rPr>
                <w:rFonts w:ascii="Arial" w:cs="Arial" w:eastAsia="Arial" w:hAnsi="Arial"/>
                <w:sz w:val="14"/>
                <w:szCs w:val="14"/>
                <w:b w:val="1"/>
                <w:bCs w:val="1"/>
                <w:color w:val="auto"/>
                <w:w w:val="98"/>
              </w:rPr>
              <w:t>First</w:t>
            </w:r>
          </w:p>
        </w:tc>
        <w:tc>
          <w:tcPr>
            <w:tcW w:w="300" w:type="dxa"/>
            <w:vAlign w:val="bottom"/>
          </w:tcPr>
          <w:p>
            <w:pPr>
              <w:spacing w:after="0"/>
              <w:rPr>
                <w:sz w:val="14"/>
                <w:szCs w:val="14"/>
                <w:color w:val="auto"/>
              </w:rPr>
            </w:pPr>
          </w:p>
        </w:tc>
        <w:tc>
          <w:tcPr>
            <w:tcW w:w="1180" w:type="dxa"/>
            <w:vAlign w:val="bottom"/>
          </w:tcPr>
          <w:p>
            <w:pPr>
              <w:jc w:val="center"/>
              <w:ind w:right="135"/>
              <w:spacing w:after="0"/>
              <w:rPr>
                <w:sz w:val="20"/>
                <w:szCs w:val="20"/>
                <w:color w:val="auto"/>
              </w:rPr>
            </w:pPr>
            <w:r>
              <w:rPr>
                <w:rFonts w:ascii="Arial" w:cs="Arial" w:eastAsia="Arial" w:hAnsi="Arial"/>
                <w:sz w:val="14"/>
                <w:szCs w:val="14"/>
                <w:b w:val="1"/>
                <w:bCs w:val="1"/>
                <w:color w:val="auto"/>
                <w:w w:val="86"/>
              </w:rPr>
              <w:t>Second</w:t>
            </w:r>
          </w:p>
        </w:tc>
        <w:tc>
          <w:tcPr>
            <w:tcW w:w="360" w:type="dxa"/>
            <w:vAlign w:val="bottom"/>
          </w:tcPr>
          <w:p>
            <w:pPr>
              <w:spacing w:after="0"/>
              <w:rPr>
                <w:sz w:val="14"/>
                <w:szCs w:val="14"/>
                <w:color w:val="auto"/>
              </w:rPr>
            </w:pPr>
          </w:p>
        </w:tc>
        <w:tc>
          <w:tcPr>
            <w:tcW w:w="1100" w:type="dxa"/>
            <w:vAlign w:val="bottom"/>
          </w:tcPr>
          <w:p>
            <w:pPr>
              <w:jc w:val="center"/>
              <w:ind w:right="214"/>
              <w:spacing w:after="0"/>
              <w:rPr>
                <w:sz w:val="20"/>
                <w:szCs w:val="20"/>
                <w:color w:val="auto"/>
              </w:rPr>
            </w:pPr>
            <w:r>
              <w:rPr>
                <w:rFonts w:ascii="Arial" w:cs="Arial" w:eastAsia="Arial" w:hAnsi="Arial"/>
                <w:sz w:val="14"/>
                <w:szCs w:val="14"/>
                <w:b w:val="1"/>
                <w:bCs w:val="1"/>
                <w:color w:val="auto"/>
              </w:rPr>
              <w:t>Third</w:t>
            </w:r>
          </w:p>
        </w:tc>
        <w:tc>
          <w:tcPr>
            <w:tcW w:w="380" w:type="dxa"/>
            <w:vAlign w:val="bottom"/>
          </w:tcPr>
          <w:p>
            <w:pPr>
              <w:spacing w:after="0"/>
              <w:rPr>
                <w:sz w:val="14"/>
                <w:szCs w:val="14"/>
                <w:color w:val="auto"/>
              </w:rPr>
            </w:pPr>
          </w:p>
        </w:tc>
        <w:tc>
          <w:tcPr>
            <w:tcW w:w="1080" w:type="dxa"/>
            <w:vAlign w:val="bottom"/>
          </w:tcPr>
          <w:p>
            <w:pPr>
              <w:jc w:val="center"/>
              <w:ind w:right="194"/>
              <w:spacing w:after="0"/>
              <w:rPr>
                <w:sz w:val="20"/>
                <w:szCs w:val="20"/>
                <w:color w:val="auto"/>
              </w:rPr>
            </w:pPr>
            <w:r>
              <w:rPr>
                <w:rFonts w:ascii="Arial" w:cs="Arial" w:eastAsia="Arial" w:hAnsi="Arial"/>
                <w:sz w:val="14"/>
                <w:szCs w:val="14"/>
                <w:b w:val="1"/>
                <w:bCs w:val="1"/>
                <w:color w:val="auto"/>
                <w:w w:val="99"/>
              </w:rPr>
              <w:t>Fourth</w:t>
            </w:r>
          </w:p>
        </w:tc>
      </w:tr>
      <w:tr>
        <w:trPr>
          <w:trHeight w:val="192"/>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8"/>
              </w:rPr>
              <w:t>Quarter</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8"/>
              </w:rPr>
              <w:t>Quarter</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Quarter</w:t>
            </w:r>
          </w:p>
        </w:tc>
      </w:tr>
      <w:tr>
        <w:trPr>
          <w:trHeight w:val="196"/>
        </w:trPr>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40" w:type="dxa"/>
            <w:vAlign w:val="bottom"/>
            <w:gridSpan w:val="3"/>
          </w:tcPr>
          <w:p>
            <w:pPr>
              <w:jc w:val="right"/>
              <w:ind w:right="214"/>
              <w:spacing w:after="0"/>
              <w:rPr>
                <w:sz w:val="20"/>
                <w:szCs w:val="20"/>
                <w:color w:val="auto"/>
              </w:rPr>
            </w:pPr>
            <w:r>
              <w:rPr>
                <w:rFonts w:ascii="Arial" w:cs="Arial" w:eastAsia="Arial" w:hAnsi="Arial"/>
                <w:sz w:val="14"/>
                <w:szCs w:val="14"/>
                <w:b w:val="1"/>
                <w:bCs w:val="1"/>
                <w:color w:val="auto"/>
                <w:w w:val="93"/>
              </w:rPr>
              <w:t>(In thousands, except per share data)</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207,389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208,049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217,953</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223,957</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81,544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83,090</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84,497</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83,157</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Net income(1)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58,070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78,133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108,882</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52,785</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56,190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76,291</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106,777</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50,656</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56,055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76,156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106,600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48,645</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share—basic(1)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0.78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1.05</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0.67</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Earnings per common share—diluted(1)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0.78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1.05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1.47</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0.67</w:t>
            </w:r>
          </w:p>
        </w:tc>
      </w:tr>
      <w:tr>
        <w:trPr>
          <w:trHeight w:val="180"/>
        </w:trPr>
        <w:tc>
          <w:tcPr>
            <w:tcW w:w="5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center"/>
              <w:ind w:right="194"/>
              <w:spacing w:after="0"/>
              <w:rPr>
                <w:sz w:val="20"/>
                <w:szCs w:val="20"/>
                <w:color w:val="auto"/>
              </w:rPr>
            </w:pPr>
            <w:r>
              <w:rPr>
                <w:rFonts w:ascii="Arial" w:cs="Arial" w:eastAsia="Arial" w:hAnsi="Arial"/>
                <w:sz w:val="14"/>
                <w:szCs w:val="14"/>
                <w:b w:val="1"/>
                <w:bCs w:val="1"/>
                <w:color w:val="auto"/>
                <w:w w:val="98"/>
              </w:rPr>
              <w:t>First</w:t>
            </w:r>
          </w:p>
        </w:tc>
        <w:tc>
          <w:tcPr>
            <w:tcW w:w="300" w:type="dxa"/>
            <w:vAlign w:val="bottom"/>
          </w:tcPr>
          <w:p>
            <w:pPr>
              <w:spacing w:after="0"/>
              <w:rPr>
                <w:sz w:val="15"/>
                <w:szCs w:val="15"/>
                <w:color w:val="auto"/>
              </w:rPr>
            </w:pPr>
          </w:p>
        </w:tc>
        <w:tc>
          <w:tcPr>
            <w:tcW w:w="1180" w:type="dxa"/>
            <w:vAlign w:val="bottom"/>
          </w:tcPr>
          <w:p>
            <w:pPr>
              <w:jc w:val="center"/>
              <w:ind w:right="135"/>
              <w:spacing w:after="0"/>
              <w:rPr>
                <w:sz w:val="20"/>
                <w:szCs w:val="20"/>
                <w:color w:val="auto"/>
              </w:rPr>
            </w:pPr>
            <w:r>
              <w:rPr>
                <w:rFonts w:ascii="Arial" w:cs="Arial" w:eastAsia="Arial" w:hAnsi="Arial"/>
                <w:sz w:val="14"/>
                <w:szCs w:val="14"/>
                <w:b w:val="1"/>
                <w:bCs w:val="1"/>
                <w:color w:val="auto"/>
                <w:w w:val="86"/>
              </w:rPr>
              <w:t>Second</w:t>
            </w:r>
          </w:p>
        </w:tc>
        <w:tc>
          <w:tcPr>
            <w:tcW w:w="360" w:type="dxa"/>
            <w:vAlign w:val="bottom"/>
          </w:tcPr>
          <w:p>
            <w:pPr>
              <w:spacing w:after="0"/>
              <w:rPr>
                <w:sz w:val="15"/>
                <w:szCs w:val="15"/>
                <w:color w:val="auto"/>
              </w:rPr>
            </w:pPr>
          </w:p>
        </w:tc>
        <w:tc>
          <w:tcPr>
            <w:tcW w:w="1100" w:type="dxa"/>
            <w:vAlign w:val="bottom"/>
          </w:tcPr>
          <w:p>
            <w:pPr>
              <w:jc w:val="center"/>
              <w:ind w:right="214"/>
              <w:spacing w:after="0"/>
              <w:rPr>
                <w:sz w:val="20"/>
                <w:szCs w:val="20"/>
                <w:color w:val="auto"/>
              </w:rPr>
            </w:pPr>
            <w:r>
              <w:rPr>
                <w:rFonts w:ascii="Arial" w:cs="Arial" w:eastAsia="Arial" w:hAnsi="Arial"/>
                <w:sz w:val="14"/>
                <w:szCs w:val="14"/>
                <w:b w:val="1"/>
                <w:bCs w:val="1"/>
                <w:color w:val="auto"/>
              </w:rPr>
              <w:t>Third</w:t>
            </w:r>
          </w:p>
        </w:tc>
        <w:tc>
          <w:tcPr>
            <w:tcW w:w="380" w:type="dxa"/>
            <w:vAlign w:val="bottom"/>
          </w:tcPr>
          <w:p>
            <w:pPr>
              <w:spacing w:after="0"/>
              <w:rPr>
                <w:sz w:val="15"/>
                <w:szCs w:val="15"/>
                <w:color w:val="auto"/>
              </w:rPr>
            </w:pPr>
          </w:p>
        </w:tc>
        <w:tc>
          <w:tcPr>
            <w:tcW w:w="1080" w:type="dxa"/>
            <w:vAlign w:val="bottom"/>
          </w:tcPr>
          <w:p>
            <w:pPr>
              <w:jc w:val="center"/>
              <w:ind w:right="194"/>
              <w:spacing w:after="0"/>
              <w:rPr>
                <w:sz w:val="20"/>
                <w:szCs w:val="20"/>
                <w:color w:val="auto"/>
              </w:rPr>
            </w:pPr>
            <w:r>
              <w:rPr>
                <w:rFonts w:ascii="Arial" w:cs="Arial" w:eastAsia="Arial" w:hAnsi="Arial"/>
                <w:sz w:val="14"/>
                <w:szCs w:val="14"/>
                <w:b w:val="1"/>
                <w:bCs w:val="1"/>
                <w:color w:val="auto"/>
                <w:w w:val="99"/>
              </w:rPr>
              <w:t>Fourth</w:t>
            </w:r>
          </w:p>
        </w:tc>
      </w:tr>
      <w:tr>
        <w:trPr>
          <w:trHeight w:val="192"/>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8"/>
              </w:rPr>
              <w:t>Quarter</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8"/>
              </w:rPr>
              <w:t>Quarter</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Quarter</w:t>
            </w:r>
          </w:p>
        </w:tc>
      </w:tr>
      <w:tr>
        <w:trPr>
          <w:trHeight w:val="196"/>
        </w:trPr>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40" w:type="dxa"/>
            <w:vAlign w:val="bottom"/>
            <w:gridSpan w:val="3"/>
          </w:tcPr>
          <w:p>
            <w:pPr>
              <w:jc w:val="right"/>
              <w:ind w:right="214"/>
              <w:spacing w:after="0"/>
              <w:rPr>
                <w:sz w:val="20"/>
                <w:szCs w:val="20"/>
                <w:color w:val="auto"/>
              </w:rPr>
            </w:pPr>
            <w:r>
              <w:rPr>
                <w:rFonts w:ascii="Arial" w:cs="Arial" w:eastAsia="Arial" w:hAnsi="Arial"/>
                <w:sz w:val="14"/>
                <w:szCs w:val="14"/>
                <w:b w:val="1"/>
                <w:bCs w:val="1"/>
                <w:color w:val="auto"/>
                <w:w w:val="93"/>
              </w:rPr>
              <w:t>(In thousands, except per share data)</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198,344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197,981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201,157</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204,109</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76,922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80,135</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80,461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83,477</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Net income(2)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79,063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58,898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61,198</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59,724</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76,955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55,941</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58,977</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58,037</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76,820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55,806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58,841</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57,902</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share—basic(2)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0.79</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0.82</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0.81</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Earnings per common share—diluted(2)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1.10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0.78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0.82</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0.80</w:t>
            </w:r>
          </w:p>
        </w:tc>
      </w:tr>
    </w:tbl>
    <w:p>
      <w:pPr>
        <w:spacing w:after="0" w:line="228" w:lineRule="exact"/>
        <w:rPr>
          <w:sz w:val="20"/>
          <w:szCs w:val="20"/>
          <w:color w:val="auto"/>
        </w:rPr>
      </w:pPr>
    </w:p>
    <w:p>
      <w:pPr>
        <w:ind w:left="660" w:right="20" w:hanging="652"/>
        <w:spacing w:after="0" w:line="267"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Second quarter 2017 includes a $15.4 million gain related to the sale of three ground lease parcels at our Assembly Row property in Somerville, Massachusetts. Third quarter 2017 includes a $50.8 million gain on sale of real estate from our 150 Post Street and North Lake Commons properties. Fourth quarter 2017 includes a $6.5 million gain related to the sale of a parcel of land at our Bethesda Row property. Additionally, second, third, and fourth quarter 2017 include net percentage-of-completion gains of $3.3 million, $0.6 million, and $1.5 million, respectively, related to condominiums under binding contract at our Assembly Row property. All of these transactions are further discussed in Note 3. Fourth quarter 2017 includes a $12.3 million early extinguishment of debt charge as further discussed in Note 5.</w:t>
      </w:r>
    </w:p>
    <w:p>
      <w:pPr>
        <w:spacing w:after="0" w:line="4" w:lineRule="exact"/>
        <w:rPr>
          <w:rFonts w:ascii="Arial" w:cs="Arial" w:eastAsia="Arial" w:hAnsi="Arial"/>
          <w:sz w:val="17"/>
          <w:szCs w:val="17"/>
          <w:color w:val="auto"/>
        </w:rPr>
      </w:pPr>
    </w:p>
    <w:p>
      <w:pPr>
        <w:ind w:left="660" w:right="20" w:hanging="652"/>
        <w:spacing w:after="0" w:line="255"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First quarter 2016 includes a $25.7 million gain on change in control of interests from our Clarion Partners acquisition as further discussed in Note 3. Third quarter 2016 includes a $4.9 million gain on sale from the reversal of our warranty reserve on condominiums sold at Santana Row as further discussed in Note 7.</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26" w:right="239" w:bottom="1440" w:gutter="0" w:footer="0" w:header="0"/>
        </w:sectPr>
      </w:pPr>
    </w:p>
    <w:bookmarkStart w:id="88" w:name="page89"/>
    <w:bookmarkEnd w:id="88"/>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00" w:type="dxa"/>
            <w:vAlign w:val="bottom"/>
          </w:tcPr>
          <w:p>
            <w:pPr>
              <w:ind w:left="40"/>
              <w:spacing w:after="0"/>
              <w:rPr>
                <w:sz w:val="20"/>
                <w:szCs w:val="20"/>
                <w:color w:val="auto"/>
              </w:rPr>
            </w:pPr>
            <w:r>
              <w:rPr>
                <w:rFonts w:ascii="Arial" w:cs="Arial" w:eastAsia="Arial" w:hAnsi="Arial"/>
                <w:sz w:val="13"/>
                <w:szCs w:val="13"/>
                <w:b w:val="1"/>
                <w:bCs w:val="1"/>
                <w:color w:val="auto"/>
              </w:rPr>
              <w:t>COLUMN A</w:t>
            </w:r>
          </w:p>
        </w:tc>
        <w:tc>
          <w:tcPr>
            <w:tcW w:w="5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B</w:t>
            </w: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C</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COLUMN D</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COLUMN E</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F</w:t>
            </w: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COLUMN G</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COLUMN H</w:t>
            </w:r>
          </w:p>
        </w:tc>
        <w:tc>
          <w:tcPr>
            <w:tcW w:w="760" w:type="dxa"/>
            <w:vAlign w:val="bottom"/>
          </w:tcPr>
          <w:p>
            <w:pPr>
              <w:ind w:left="4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44"/>
        </w:trPr>
        <w:tc>
          <w:tcPr>
            <w:tcW w:w="12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53"/>
        </w:trPr>
        <w:tc>
          <w:tcPr>
            <w:tcW w:w="1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5"/>
          </w:tcPr>
          <w:p>
            <w:pPr>
              <w:jc w:val="center"/>
              <w:spacing w:after="0"/>
              <w:rPr>
                <w:sz w:val="20"/>
                <w:szCs w:val="20"/>
                <w:color w:val="auto"/>
              </w:rPr>
            </w:pPr>
            <w:r>
              <w:rPr>
                <w:rFonts w:ascii="Arial" w:cs="Arial" w:eastAsia="Arial" w:hAnsi="Arial"/>
                <w:sz w:val="13"/>
                <w:szCs w:val="13"/>
                <w:b w:val="1"/>
                <w:bCs w:val="1"/>
                <w:color w:val="auto"/>
                <w:w w:val="87"/>
              </w:rPr>
              <w:t>Gross amount at which carried at</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3"/>
          </w:tcPr>
          <w:p>
            <w:pPr>
              <w:ind w:left="240"/>
              <w:spacing w:after="0" w:line="135" w:lineRule="exact"/>
              <w:rPr>
                <w:sz w:val="20"/>
                <w:szCs w:val="20"/>
                <w:color w:val="auto"/>
              </w:rPr>
            </w:pPr>
            <w:r>
              <w:rPr>
                <w:rFonts w:ascii="Arial" w:cs="Arial" w:eastAsia="Arial" w:hAnsi="Arial"/>
                <w:sz w:val="13"/>
                <w:szCs w:val="13"/>
                <w:b w:val="1"/>
                <w:bCs w:val="1"/>
                <w:color w:val="auto"/>
              </w:rPr>
              <w:t>Initial cost to company</w:t>
            </w:r>
          </w:p>
        </w:tc>
        <w:tc>
          <w:tcPr>
            <w:tcW w:w="120" w:type="dxa"/>
            <w:vAlign w:val="bottom"/>
          </w:tcPr>
          <w:p>
            <w:pPr>
              <w:spacing w:after="0"/>
              <w:rPr>
                <w:sz w:val="11"/>
                <w:szCs w:val="11"/>
                <w:color w:val="auto"/>
              </w:rPr>
            </w:pPr>
          </w:p>
        </w:tc>
        <w:tc>
          <w:tcPr>
            <w:tcW w:w="8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Cost</w:t>
            </w:r>
          </w:p>
        </w:tc>
        <w:tc>
          <w:tcPr>
            <w:tcW w:w="780" w:type="dxa"/>
            <w:vAlign w:val="bottom"/>
          </w:tcPr>
          <w:p>
            <w:pPr>
              <w:spacing w:after="0"/>
              <w:rPr>
                <w:sz w:val="11"/>
                <w:szCs w:val="11"/>
                <w:color w:val="auto"/>
              </w:rPr>
            </w:pPr>
          </w:p>
        </w:tc>
        <w:tc>
          <w:tcPr>
            <w:tcW w:w="10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close of period</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90"/>
              </w:rPr>
              <w:t>depreciation</w:t>
            </w:r>
          </w:p>
        </w:tc>
        <w:tc>
          <w:tcPr>
            <w:tcW w:w="0" w:type="dxa"/>
            <w:vAlign w:val="bottom"/>
          </w:tcPr>
          <w:p>
            <w:pPr>
              <w:spacing w:after="0"/>
              <w:rPr>
                <w:sz w:val="1"/>
                <w:szCs w:val="1"/>
                <w:color w:val="auto"/>
              </w:rPr>
            </w:pPr>
          </w:p>
        </w:tc>
      </w:tr>
      <w:tr>
        <w:trPr>
          <w:trHeight w:val="54"/>
        </w:trPr>
        <w:tc>
          <w:tcPr>
            <w:tcW w:w="1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860" w:type="dxa"/>
            <w:vAlign w:val="bottom"/>
            <w:gridSpan w:val="2"/>
            <w:vMerge w:val="restart"/>
          </w:tcPr>
          <w:p>
            <w:pPr>
              <w:jc w:val="center"/>
              <w:ind w:right="120"/>
              <w:spacing w:after="0" w:line="117" w:lineRule="exact"/>
              <w:rPr>
                <w:sz w:val="20"/>
                <w:szCs w:val="20"/>
                <w:color w:val="auto"/>
              </w:rPr>
            </w:pPr>
            <w:r>
              <w:rPr>
                <w:rFonts w:ascii="Arial" w:cs="Arial" w:eastAsia="Arial" w:hAnsi="Arial"/>
                <w:sz w:val="13"/>
                <w:szCs w:val="13"/>
                <w:b w:val="1"/>
                <w:bCs w:val="1"/>
                <w:color w:val="auto"/>
                <w:w w:val="90"/>
              </w:rPr>
              <w:t>Capitalized</w:t>
            </w: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ind w:left="40"/>
              <w:spacing w:after="0" w:line="117" w:lineRule="exact"/>
              <w:rPr>
                <w:sz w:val="20"/>
                <w:szCs w:val="20"/>
                <w:color w:val="auto"/>
              </w:rPr>
            </w:pPr>
            <w:r>
              <w:rPr>
                <w:rFonts w:ascii="Arial" w:cs="Arial" w:eastAsia="Arial" w:hAnsi="Arial"/>
                <w:sz w:val="13"/>
                <w:szCs w:val="13"/>
                <w:b w:val="1"/>
                <w:bCs w:val="1"/>
                <w:color w:val="auto"/>
              </w:rPr>
              <w:t>Accumulated</w:t>
            </w: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5"/>
              </w:rPr>
              <w:t>in latest</w:t>
            </w:r>
          </w:p>
        </w:tc>
        <w:tc>
          <w:tcPr>
            <w:tcW w:w="0" w:type="dxa"/>
            <w:vAlign w:val="bottom"/>
          </w:tcPr>
          <w:p>
            <w:pPr>
              <w:spacing w:after="0"/>
              <w:rPr>
                <w:sz w:val="1"/>
                <w:szCs w:val="1"/>
                <w:color w:val="auto"/>
              </w:rPr>
            </w:pPr>
          </w:p>
        </w:tc>
      </w:tr>
      <w:tr>
        <w:trPr>
          <w:trHeight w:val="43"/>
        </w:trPr>
        <w:tc>
          <w:tcPr>
            <w:tcW w:w="1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Subsequent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Depreciation</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Date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income</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1"/>
              </w:rPr>
              <w:t>Building and</w:t>
            </w:r>
          </w:p>
        </w:tc>
        <w:tc>
          <w:tcPr>
            <w:tcW w:w="120" w:type="dxa"/>
            <w:vAlign w:val="bottom"/>
          </w:tcPr>
          <w:p>
            <w:pPr>
              <w:spacing w:after="0"/>
              <w:rPr>
                <w:sz w:val="11"/>
                <w:szCs w:val="11"/>
                <w:color w:val="auto"/>
              </w:rPr>
            </w:pP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to</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auto"/>
              </w:rPr>
              <w:t>and</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1"/>
              </w:rPr>
              <w:t>of</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Date</w:t>
            </w:r>
          </w:p>
        </w:tc>
        <w:tc>
          <w:tcPr>
            <w:tcW w:w="76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84"/>
              </w:rPr>
              <w:t>statements is</w:t>
            </w:r>
          </w:p>
        </w:tc>
        <w:tc>
          <w:tcPr>
            <w:tcW w:w="0" w:type="dxa"/>
            <w:vAlign w:val="bottom"/>
          </w:tcPr>
          <w:p>
            <w:pPr>
              <w:spacing w:after="0"/>
              <w:rPr>
                <w:sz w:val="1"/>
                <w:szCs w:val="1"/>
                <w:color w:val="auto"/>
              </w:rPr>
            </w:pPr>
          </w:p>
        </w:tc>
      </w:tr>
      <w:tr>
        <w:trPr>
          <w:trHeight w:val="174"/>
        </w:trPr>
        <w:tc>
          <w:tcPr>
            <w:tcW w:w="1200" w:type="dxa"/>
            <w:vAlign w:val="bottom"/>
          </w:tcPr>
          <w:p>
            <w:pPr>
              <w:ind w:left="40"/>
              <w:spacing w:after="0"/>
              <w:rPr>
                <w:sz w:val="20"/>
                <w:szCs w:val="20"/>
                <w:color w:val="auto"/>
              </w:rPr>
            </w:pPr>
            <w:r>
              <w:rPr>
                <w:rFonts w:ascii="Arial" w:cs="Arial" w:eastAsia="Arial" w:hAnsi="Arial"/>
                <w:sz w:val="13"/>
                <w:szCs w:val="13"/>
                <w:b w:val="1"/>
                <w:bCs w:val="1"/>
                <w:color w:val="auto"/>
              </w:rPr>
              <w:t>Descriptions</w:t>
            </w:r>
          </w:p>
        </w:tc>
        <w:tc>
          <w:tcPr>
            <w:tcW w:w="5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w w:val="97"/>
              </w:rPr>
              <w:t>Encumbrance</w:t>
            </w:r>
          </w:p>
        </w:tc>
        <w:tc>
          <w:tcPr>
            <w:tcW w:w="880" w:type="dxa"/>
            <w:vAlign w:val="bottom"/>
            <w:gridSpan w:val="2"/>
          </w:tcPr>
          <w:p>
            <w:pPr>
              <w:ind w:left="240"/>
              <w:spacing w:after="0"/>
              <w:rPr>
                <w:sz w:val="20"/>
                <w:szCs w:val="20"/>
                <w:color w:val="auto"/>
              </w:rPr>
            </w:pPr>
            <w:r>
              <w:rPr>
                <w:rFonts w:ascii="Arial" w:cs="Arial" w:eastAsia="Arial" w:hAnsi="Arial"/>
                <w:sz w:val="13"/>
                <w:szCs w:val="13"/>
                <w:b w:val="1"/>
                <w:bCs w:val="1"/>
                <w:color w:val="auto"/>
              </w:rPr>
              <w:t>Land</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w w:val="87"/>
              </w:rPr>
              <w:t>Improvements</w:t>
            </w:r>
          </w:p>
        </w:tc>
        <w:tc>
          <w:tcPr>
            <w:tcW w:w="120" w:type="dxa"/>
            <w:vAlign w:val="bottom"/>
          </w:tcPr>
          <w:p>
            <w:pPr>
              <w:spacing w:after="0"/>
              <w:rPr>
                <w:sz w:val="15"/>
                <w:szCs w:val="15"/>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Acquisition</w:t>
            </w:r>
          </w:p>
        </w:tc>
        <w:tc>
          <w:tcPr>
            <w:tcW w:w="780" w:type="dxa"/>
            <w:vAlign w:val="bottom"/>
          </w:tcPr>
          <w:p>
            <w:pPr>
              <w:jc w:val="right"/>
              <w:ind w:right="170"/>
              <w:spacing w:after="0"/>
              <w:rPr>
                <w:sz w:val="20"/>
                <w:szCs w:val="20"/>
                <w:color w:val="auto"/>
              </w:rPr>
            </w:pPr>
            <w:r>
              <w:rPr>
                <w:rFonts w:ascii="Arial" w:cs="Arial" w:eastAsia="Arial" w:hAnsi="Arial"/>
                <w:sz w:val="13"/>
                <w:szCs w:val="13"/>
                <w:b w:val="1"/>
                <w:bCs w:val="1"/>
                <w:color w:val="auto"/>
              </w:rPr>
              <w:t>Land</w:t>
            </w:r>
          </w:p>
        </w:tc>
        <w:tc>
          <w:tcPr>
            <w:tcW w:w="100" w:type="dxa"/>
            <w:vAlign w:val="bottom"/>
          </w:tcPr>
          <w:p>
            <w:pPr>
              <w:spacing w:after="0"/>
              <w:rPr>
                <w:sz w:val="15"/>
                <w:szCs w:val="15"/>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Improvements</w:t>
            </w:r>
          </w:p>
        </w:tc>
        <w:tc>
          <w:tcPr>
            <w:tcW w:w="600" w:type="dxa"/>
            <w:vAlign w:val="bottom"/>
          </w:tcPr>
          <w:p>
            <w:pPr>
              <w:jc w:val="right"/>
              <w:ind w:right="89"/>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Amortization</w:t>
            </w: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Construction</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Acquired</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57"/>
        </w:trPr>
        <w:tc>
          <w:tcPr>
            <w:tcW w:w="1200" w:type="dxa"/>
            <w:vAlign w:val="bottom"/>
            <w:tcBorders>
              <w:top w:val="single" w:sz="8" w:color="auto"/>
            </w:tcBorders>
            <w:shd w:val="clear" w:color="auto" w:fill="CCEEFF"/>
          </w:tcPr>
          <w:p>
            <w:pPr>
              <w:ind w:left="40"/>
              <w:spacing w:after="0" w:line="157" w:lineRule="exact"/>
              <w:rPr>
                <w:sz w:val="20"/>
                <w:szCs w:val="20"/>
                <w:color w:val="auto"/>
              </w:rPr>
            </w:pPr>
            <w:r>
              <w:rPr>
                <w:rFonts w:ascii="Arial" w:cs="Arial" w:eastAsia="Arial" w:hAnsi="Arial"/>
                <w:sz w:val="14"/>
                <w:szCs w:val="14"/>
                <w:color w:val="auto"/>
              </w:rPr>
              <w:t>29TH PLACE</w:t>
            </w:r>
          </w:p>
        </w:tc>
        <w:tc>
          <w:tcPr>
            <w:tcW w:w="5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VA</w:t>
            </w: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w w:val="91"/>
              </w:rPr>
              <w:t>$4,312</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   10,211</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   18,863</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   11,973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   10,195</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   30,852</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$ 41,047</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   12,144</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1975 - 2001</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5/30/2007</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00" w:type="dxa"/>
            <w:vAlign w:val="bottom"/>
          </w:tcPr>
          <w:p>
            <w:pPr>
              <w:ind w:left="40"/>
              <w:spacing w:after="0" w:line="157" w:lineRule="exact"/>
              <w:rPr>
                <w:sz w:val="20"/>
                <w:szCs w:val="20"/>
                <w:color w:val="auto"/>
              </w:rPr>
            </w:pPr>
            <w:r>
              <w:rPr>
                <w:rFonts w:ascii="Arial" w:cs="Arial" w:eastAsia="Arial" w:hAnsi="Arial"/>
                <w:sz w:val="14"/>
                <w:szCs w:val="14"/>
                <w:color w:val="auto"/>
              </w:rPr>
              <w:t>ANDORRA</w:t>
            </w: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00" w:type="dxa"/>
            <w:vAlign w:val="bottom"/>
          </w:tcPr>
          <w:p>
            <w:pPr>
              <w:ind w:left="40"/>
              <w:spacing w:after="0"/>
              <w:rPr>
                <w:sz w:val="20"/>
                <w:szCs w:val="20"/>
                <w:color w:val="auto"/>
              </w:rPr>
            </w:pPr>
            <w:r>
              <w:rPr>
                <w:rFonts w:ascii="Arial" w:cs="Arial" w:eastAsia="Arial" w:hAnsi="Arial"/>
                <w:sz w:val="14"/>
                <w:szCs w:val="14"/>
                <w:color w:val="auto"/>
              </w:rPr>
              <w:t>(Pennsylvania)</w:t>
            </w:r>
          </w:p>
        </w:tc>
        <w:tc>
          <w:tcPr>
            <w:tcW w:w="500" w:type="dxa"/>
            <w:vAlign w:val="bottom"/>
          </w:tcPr>
          <w:p>
            <w:pPr>
              <w:ind w:left="120"/>
              <w:spacing w:after="0"/>
              <w:rPr>
                <w:sz w:val="20"/>
                <w:szCs w:val="20"/>
                <w:color w:val="auto"/>
              </w:rPr>
            </w:pPr>
            <w:r>
              <w:rPr>
                <w:rFonts w:ascii="Arial" w:cs="Arial" w:eastAsia="Arial" w:hAnsi="Arial"/>
                <w:sz w:val="14"/>
                <w:szCs w:val="14"/>
                <w:color w:val="auto"/>
              </w:rPr>
              <w:t>PA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2,432</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12,346</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11,161</w:t>
            </w:r>
          </w:p>
        </w:tc>
        <w:tc>
          <w:tcPr>
            <w:tcW w:w="10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2,432</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23,507</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25,939</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19,028</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1953</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1/12/1988</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ASSEMBLY</w:t>
            </w:r>
          </w:p>
        </w:tc>
        <w:tc>
          <w:tcPr>
            <w:tcW w:w="5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ROW/ASSEMBLY</w:t>
            </w:r>
          </w:p>
        </w:tc>
        <w:tc>
          <w:tcPr>
            <w:tcW w:w="5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SQUARE</w:t>
            </w:r>
          </w:p>
        </w:tc>
        <w:tc>
          <w:tcPr>
            <w:tcW w:w="5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MARKETPLACE</w:t>
            </w:r>
          </w:p>
        </w:tc>
        <w:tc>
          <w:tcPr>
            <w:tcW w:w="5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2005, 2012-</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(Massachusetts)</w:t>
            </w:r>
          </w:p>
        </w:tc>
        <w:tc>
          <w:tcPr>
            <w:tcW w:w="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93,252</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34,196</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564,077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69,421</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622,104</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691,525</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43,659</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2005-2013</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00" w:type="dxa"/>
            <w:vAlign w:val="bottom"/>
          </w:tcPr>
          <w:p>
            <w:pPr>
              <w:ind w:left="40"/>
              <w:spacing w:after="0" w:line="157" w:lineRule="exact"/>
              <w:rPr>
                <w:sz w:val="20"/>
                <w:szCs w:val="20"/>
                <w:color w:val="auto"/>
              </w:rPr>
            </w:pPr>
            <w:r>
              <w:rPr>
                <w:rFonts w:ascii="Arial" w:cs="Arial" w:eastAsia="Arial" w:hAnsi="Arial"/>
                <w:sz w:val="14"/>
                <w:szCs w:val="14"/>
                <w:color w:val="auto"/>
              </w:rPr>
              <w:t>ATLANTIC</w:t>
            </w: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40"/>
              <w:spacing w:after="0" w:line="149" w:lineRule="exact"/>
              <w:rPr>
                <w:sz w:val="20"/>
                <w:szCs w:val="20"/>
                <w:color w:val="auto"/>
              </w:rPr>
            </w:pPr>
            <w:r>
              <w:rPr>
                <w:rFonts w:ascii="Arial" w:cs="Arial" w:eastAsia="Arial" w:hAnsi="Arial"/>
                <w:sz w:val="14"/>
                <w:szCs w:val="14"/>
                <w:color w:val="auto"/>
              </w:rPr>
              <w:t>PLAZA</w:t>
            </w: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00" w:type="dxa"/>
            <w:vAlign w:val="bottom"/>
          </w:tcPr>
          <w:p>
            <w:pPr>
              <w:ind w:left="40"/>
              <w:spacing w:after="0"/>
              <w:rPr>
                <w:sz w:val="20"/>
                <w:szCs w:val="20"/>
                <w:color w:val="auto"/>
              </w:rPr>
            </w:pPr>
            <w:r>
              <w:rPr>
                <w:rFonts w:ascii="Arial" w:cs="Arial" w:eastAsia="Arial" w:hAnsi="Arial"/>
                <w:sz w:val="14"/>
                <w:szCs w:val="14"/>
                <w:color w:val="auto"/>
              </w:rPr>
              <w:t>(Massachusetts)</w:t>
            </w:r>
          </w:p>
        </w:tc>
        <w:tc>
          <w:tcPr>
            <w:tcW w:w="500" w:type="dxa"/>
            <w:vAlign w:val="bottom"/>
          </w:tcPr>
          <w:p>
            <w:pPr>
              <w:ind w:left="120"/>
              <w:spacing w:after="0"/>
              <w:rPr>
                <w:sz w:val="20"/>
                <w:szCs w:val="20"/>
                <w:color w:val="auto"/>
              </w:rPr>
            </w:pPr>
            <w:r>
              <w:rPr>
                <w:rFonts w:ascii="Arial" w:cs="Arial" w:eastAsia="Arial" w:hAnsi="Arial"/>
                <w:sz w:val="14"/>
                <w:szCs w:val="14"/>
                <w:color w:val="auto"/>
              </w:rPr>
              <w:t>MA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6,293</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17,109</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2,325</w:t>
            </w:r>
          </w:p>
        </w:tc>
        <w:tc>
          <w:tcPr>
            <w:tcW w:w="10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6,293</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19,434</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25,727</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1,863</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1960</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1/13/2016</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AZALEA</w:t>
            </w:r>
          </w:p>
        </w:tc>
        <w:tc>
          <w:tcPr>
            <w:tcW w:w="5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w:t>
            </w: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39,609</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40,219</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67,117</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40,219</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67,121</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107,340</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1,049</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8/2/2017</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00" w:type="dxa"/>
            <w:vAlign w:val="bottom"/>
          </w:tcPr>
          <w:p>
            <w:pPr>
              <w:ind w:left="40"/>
              <w:spacing w:after="0" w:line="157" w:lineRule="exact"/>
              <w:rPr>
                <w:sz w:val="20"/>
                <w:szCs w:val="20"/>
                <w:color w:val="auto"/>
              </w:rPr>
            </w:pPr>
            <w:r>
              <w:rPr>
                <w:rFonts w:ascii="Arial" w:cs="Arial" w:eastAsia="Arial" w:hAnsi="Arial"/>
                <w:sz w:val="14"/>
                <w:szCs w:val="14"/>
                <w:color w:val="auto"/>
              </w:rPr>
              <w:t>BALA CYNWYD</w:t>
            </w: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00" w:type="dxa"/>
            <w:vAlign w:val="bottom"/>
          </w:tcPr>
          <w:p>
            <w:pPr>
              <w:ind w:left="40"/>
              <w:spacing w:after="0"/>
              <w:rPr>
                <w:sz w:val="20"/>
                <w:szCs w:val="20"/>
                <w:color w:val="auto"/>
              </w:rPr>
            </w:pPr>
            <w:r>
              <w:rPr>
                <w:rFonts w:ascii="Arial" w:cs="Arial" w:eastAsia="Arial" w:hAnsi="Arial"/>
                <w:sz w:val="14"/>
                <w:szCs w:val="14"/>
                <w:color w:val="auto"/>
              </w:rPr>
              <w:t>(Pennsylvania)</w:t>
            </w:r>
          </w:p>
        </w:tc>
        <w:tc>
          <w:tcPr>
            <w:tcW w:w="500" w:type="dxa"/>
            <w:vAlign w:val="bottom"/>
          </w:tcPr>
          <w:p>
            <w:pPr>
              <w:ind w:left="120"/>
              <w:spacing w:after="0"/>
              <w:rPr>
                <w:sz w:val="20"/>
                <w:szCs w:val="20"/>
                <w:color w:val="auto"/>
              </w:rPr>
            </w:pPr>
            <w:r>
              <w:rPr>
                <w:rFonts w:ascii="Arial" w:cs="Arial" w:eastAsia="Arial" w:hAnsi="Arial"/>
                <w:sz w:val="14"/>
                <w:szCs w:val="14"/>
                <w:color w:val="auto"/>
              </w:rPr>
              <w:t>PA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3,565</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14,466</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23,443</w:t>
            </w:r>
          </w:p>
        </w:tc>
        <w:tc>
          <w:tcPr>
            <w:tcW w:w="10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2,581</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38,893</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41,474</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20,299</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1955</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9/22/1993</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BARCROFT</w:t>
            </w:r>
          </w:p>
        </w:tc>
        <w:tc>
          <w:tcPr>
            <w:tcW w:w="5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1963, 1972,</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1/13/16 &amp;</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PLAZA (Virginia)</w:t>
            </w:r>
          </w:p>
        </w:tc>
        <w:tc>
          <w:tcPr>
            <w:tcW w:w="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12,617</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29,603</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3,279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12,617</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32,882</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45,499</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2,030</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1990, &amp; 2000</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11/7/16</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00" w:type="dxa"/>
            <w:vAlign w:val="bottom"/>
          </w:tcPr>
          <w:p>
            <w:pPr>
              <w:ind w:left="40"/>
              <w:spacing w:after="0" w:line="157" w:lineRule="exact"/>
              <w:rPr>
                <w:sz w:val="20"/>
                <w:szCs w:val="20"/>
                <w:color w:val="auto"/>
              </w:rPr>
            </w:pPr>
            <w:r>
              <w:rPr>
                <w:rFonts w:ascii="Arial" w:cs="Arial" w:eastAsia="Arial" w:hAnsi="Arial"/>
                <w:sz w:val="14"/>
                <w:szCs w:val="14"/>
                <w:color w:val="auto"/>
              </w:rPr>
              <w:t>BARRACKS</w:t>
            </w: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00" w:type="dxa"/>
            <w:vAlign w:val="bottom"/>
          </w:tcPr>
          <w:p>
            <w:pPr>
              <w:ind w:left="40"/>
              <w:spacing w:after="0"/>
              <w:rPr>
                <w:sz w:val="20"/>
                <w:szCs w:val="20"/>
                <w:color w:val="auto"/>
              </w:rPr>
            </w:pPr>
            <w:r>
              <w:rPr>
                <w:rFonts w:ascii="Arial" w:cs="Arial" w:eastAsia="Arial" w:hAnsi="Arial"/>
                <w:sz w:val="14"/>
                <w:szCs w:val="14"/>
                <w:color w:val="auto"/>
              </w:rPr>
              <w:t>ROAD (Virginia)</w:t>
            </w:r>
          </w:p>
        </w:tc>
        <w:tc>
          <w:tcPr>
            <w:tcW w:w="500" w:type="dxa"/>
            <w:vAlign w:val="bottom"/>
          </w:tcPr>
          <w:p>
            <w:pPr>
              <w:ind w:left="120"/>
              <w:spacing w:after="0"/>
              <w:rPr>
                <w:sz w:val="20"/>
                <w:szCs w:val="20"/>
                <w:color w:val="auto"/>
              </w:rPr>
            </w:pPr>
            <w:r>
              <w:rPr>
                <w:rFonts w:ascii="Arial" w:cs="Arial" w:eastAsia="Arial" w:hAnsi="Arial"/>
                <w:sz w:val="14"/>
                <w:szCs w:val="14"/>
                <w:color w:val="auto"/>
              </w:rPr>
              <w:t>VA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4,363</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16,459</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47,088</w:t>
            </w:r>
          </w:p>
        </w:tc>
        <w:tc>
          <w:tcPr>
            <w:tcW w:w="10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4,363</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63,547</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67,910</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42,077</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1958</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12/31/1985</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BELL GARDENS</w:t>
            </w:r>
          </w:p>
        </w:tc>
        <w:tc>
          <w:tcPr>
            <w:tcW w:w="5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1990, 2003,</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w:t>
            </w: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12,682</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18,021</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82,470</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18,021</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82,629</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100,650</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1,843</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8/2/2017</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12/31/93,</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6/2/97,</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1/20/06,</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9/25/08,</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40"/>
              <w:spacing w:after="0" w:line="149" w:lineRule="exact"/>
              <w:rPr>
                <w:sz w:val="20"/>
                <w:szCs w:val="20"/>
                <w:color w:val="auto"/>
              </w:rPr>
            </w:pPr>
            <w:r>
              <w:rPr>
                <w:rFonts w:ascii="Arial" w:cs="Arial" w:eastAsia="Arial" w:hAnsi="Arial"/>
                <w:sz w:val="14"/>
                <w:szCs w:val="14"/>
                <w:color w:val="auto"/>
              </w:rPr>
              <w:t>BETHESDA ROW</w:t>
            </w: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9/30/08, &amp;</w:t>
            </w:r>
          </w:p>
        </w:tc>
        <w:tc>
          <w:tcPr>
            <w:tcW w:w="100" w:type="dxa"/>
            <w:vAlign w:val="bottom"/>
          </w:tcPr>
          <w:p>
            <w:pPr>
              <w:spacing w:after="0"/>
              <w:rPr>
                <w:sz w:val="12"/>
                <w:szCs w:val="12"/>
                <w:color w:val="auto"/>
              </w:rPr>
            </w:pPr>
          </w:p>
        </w:tc>
        <w:tc>
          <w:tcPr>
            <w:tcW w:w="760" w:type="dxa"/>
            <w:vAlign w:val="bottom"/>
          </w:tcPr>
          <w:p>
            <w:pPr>
              <w:ind w:left="40"/>
              <w:spacing w:after="0" w:line="149" w:lineRule="exact"/>
              <w:rPr>
                <w:sz w:val="20"/>
                <w:szCs w:val="20"/>
                <w:color w:val="auto"/>
              </w:rPr>
            </w:pPr>
            <w:r>
              <w:rPr>
                <w:rFonts w:ascii="Arial" w:cs="Arial" w:eastAsia="Arial" w:hAnsi="Arial"/>
                <w:sz w:val="14"/>
                <w:szCs w:val="14"/>
                <w:color w:val="auto"/>
              </w:rPr>
              <w:t>35 - 50</w:t>
            </w:r>
          </w:p>
        </w:tc>
        <w:tc>
          <w:tcPr>
            <w:tcW w:w="0" w:type="dxa"/>
            <w:vAlign w:val="bottom"/>
          </w:tcPr>
          <w:p>
            <w:pPr>
              <w:spacing w:after="0"/>
              <w:rPr>
                <w:sz w:val="1"/>
                <w:szCs w:val="1"/>
                <w:color w:val="auto"/>
              </w:rPr>
            </w:pPr>
          </w:p>
        </w:tc>
      </w:tr>
      <w:tr>
        <w:trPr>
          <w:trHeight w:val="188"/>
        </w:trPr>
        <w:tc>
          <w:tcPr>
            <w:tcW w:w="1200" w:type="dxa"/>
            <w:vAlign w:val="bottom"/>
          </w:tcPr>
          <w:p>
            <w:pPr>
              <w:ind w:left="40"/>
              <w:spacing w:after="0"/>
              <w:rPr>
                <w:sz w:val="20"/>
                <w:szCs w:val="20"/>
                <w:color w:val="auto"/>
              </w:rPr>
            </w:pPr>
            <w:r>
              <w:rPr>
                <w:rFonts w:ascii="Arial" w:cs="Arial" w:eastAsia="Arial" w:hAnsi="Arial"/>
                <w:sz w:val="14"/>
                <w:szCs w:val="14"/>
                <w:color w:val="auto"/>
              </w:rPr>
              <w:t>(Maryland)</w:t>
            </w:r>
          </w:p>
        </w:tc>
        <w:tc>
          <w:tcPr>
            <w:tcW w:w="500" w:type="dxa"/>
            <w:vAlign w:val="bottom"/>
          </w:tcPr>
          <w:p>
            <w:pPr>
              <w:ind w:left="120"/>
              <w:spacing w:after="0"/>
              <w:rPr>
                <w:sz w:val="20"/>
                <w:szCs w:val="20"/>
                <w:color w:val="auto"/>
              </w:rPr>
            </w:pPr>
            <w:r>
              <w:rPr>
                <w:rFonts w:ascii="Arial" w:cs="Arial" w:eastAsia="Arial" w:hAnsi="Arial"/>
                <w:sz w:val="14"/>
                <w:szCs w:val="14"/>
                <w:color w:val="auto"/>
              </w:rPr>
              <w:t>MD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46,579</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35,406</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144,089</w:t>
            </w:r>
          </w:p>
        </w:tc>
        <w:tc>
          <w:tcPr>
            <w:tcW w:w="10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43,896</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182,178</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226,074</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73,883</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1945-2008</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12/27/10</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years</w:t>
            </w:r>
          </w:p>
        </w:tc>
        <w:tc>
          <w:tcPr>
            <w:tcW w:w="0" w:type="dxa"/>
            <w:vAlign w:val="bottom"/>
          </w:tcPr>
          <w:p>
            <w:pPr>
              <w:spacing w:after="0"/>
              <w:rPr>
                <w:sz w:val="1"/>
                <w:szCs w:val="1"/>
                <w:color w:val="auto"/>
              </w:rPr>
            </w:pPr>
          </w:p>
        </w:tc>
      </w:tr>
      <w:tr>
        <w:trPr>
          <w:trHeight w:val="163"/>
        </w:trPr>
        <w:tc>
          <w:tcPr>
            <w:tcW w:w="1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BRICK PLAZA</w:t>
            </w:r>
          </w:p>
        </w:tc>
        <w:tc>
          <w:tcPr>
            <w:tcW w:w="5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Jersey)</w:t>
            </w:r>
          </w:p>
        </w:tc>
        <w:tc>
          <w:tcPr>
            <w:tcW w:w="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NJ</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24,715</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51,757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3,945</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72,527</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76,472</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47,932</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1958</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12/28/1989</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00" w:type="dxa"/>
            <w:vAlign w:val="bottom"/>
          </w:tcPr>
          <w:p>
            <w:pPr>
              <w:ind w:left="40"/>
              <w:spacing w:after="0" w:line="157" w:lineRule="exact"/>
              <w:rPr>
                <w:sz w:val="20"/>
                <w:szCs w:val="20"/>
                <w:color w:val="auto"/>
              </w:rPr>
            </w:pPr>
            <w:r>
              <w:rPr>
                <w:rFonts w:ascii="Arial" w:cs="Arial" w:eastAsia="Arial" w:hAnsi="Arial"/>
                <w:sz w:val="14"/>
                <w:szCs w:val="14"/>
                <w:color w:val="auto"/>
              </w:rPr>
              <w:t>BRISTOL PLAZA</w:t>
            </w: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00" w:type="dxa"/>
            <w:vAlign w:val="bottom"/>
          </w:tcPr>
          <w:p>
            <w:pPr>
              <w:ind w:left="40"/>
              <w:spacing w:after="0"/>
              <w:rPr>
                <w:sz w:val="20"/>
                <w:szCs w:val="20"/>
                <w:color w:val="auto"/>
              </w:rPr>
            </w:pPr>
            <w:r>
              <w:rPr>
                <w:rFonts w:ascii="Arial" w:cs="Arial" w:eastAsia="Arial" w:hAnsi="Arial"/>
                <w:sz w:val="14"/>
                <w:szCs w:val="14"/>
                <w:color w:val="auto"/>
              </w:rPr>
              <w:t>(Connecticut)</w:t>
            </w:r>
          </w:p>
        </w:tc>
        <w:tc>
          <w:tcPr>
            <w:tcW w:w="500" w:type="dxa"/>
            <w:vAlign w:val="bottom"/>
          </w:tcPr>
          <w:p>
            <w:pPr>
              <w:ind w:left="120"/>
              <w:spacing w:after="0"/>
              <w:rPr>
                <w:sz w:val="20"/>
                <w:szCs w:val="20"/>
                <w:color w:val="auto"/>
              </w:rPr>
            </w:pPr>
            <w:r>
              <w:rPr>
                <w:rFonts w:ascii="Arial" w:cs="Arial" w:eastAsia="Arial" w:hAnsi="Arial"/>
                <w:sz w:val="14"/>
                <w:szCs w:val="14"/>
                <w:color w:val="auto"/>
              </w:rPr>
              <w:t>CT</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3,856</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15,959</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11,849</w:t>
            </w:r>
          </w:p>
        </w:tc>
        <w:tc>
          <w:tcPr>
            <w:tcW w:w="10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3,856</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27,808</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31,664</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17,680</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1959</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9/22/1995</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BROOK 35 (New</w:t>
            </w:r>
          </w:p>
        </w:tc>
        <w:tc>
          <w:tcPr>
            <w:tcW w:w="5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Jersey)</w:t>
            </w:r>
          </w:p>
        </w:tc>
        <w:tc>
          <w:tcPr>
            <w:tcW w:w="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NJ</w:t>
            </w: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11,263</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7,128</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38,355</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2,043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7,128</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40,398</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47,526</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5,494</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1986/2004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1/1/2014</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00" w:type="dxa"/>
            <w:vAlign w:val="bottom"/>
          </w:tcPr>
          <w:p>
            <w:pPr>
              <w:ind w:left="40"/>
              <w:spacing w:after="0" w:line="157" w:lineRule="exact"/>
              <w:rPr>
                <w:sz w:val="20"/>
                <w:szCs w:val="20"/>
                <w:color w:val="auto"/>
              </w:rPr>
            </w:pPr>
            <w:r>
              <w:rPr>
                <w:rFonts w:ascii="Arial" w:cs="Arial" w:eastAsia="Arial" w:hAnsi="Arial"/>
                <w:sz w:val="14"/>
                <w:szCs w:val="14"/>
                <w:color w:val="auto"/>
              </w:rPr>
              <w:t>CAMPUS PLAZA</w:t>
            </w: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00" w:type="dxa"/>
            <w:vAlign w:val="bottom"/>
          </w:tcPr>
          <w:p>
            <w:pPr>
              <w:ind w:left="40"/>
              <w:spacing w:after="0"/>
              <w:rPr>
                <w:sz w:val="20"/>
                <w:szCs w:val="20"/>
                <w:color w:val="auto"/>
              </w:rPr>
            </w:pPr>
            <w:r>
              <w:rPr>
                <w:rFonts w:ascii="Arial" w:cs="Arial" w:eastAsia="Arial" w:hAnsi="Arial"/>
                <w:sz w:val="14"/>
                <w:szCs w:val="14"/>
                <w:color w:val="auto"/>
              </w:rPr>
              <w:t>(Massachusetts)</w:t>
            </w:r>
          </w:p>
        </w:tc>
        <w:tc>
          <w:tcPr>
            <w:tcW w:w="500" w:type="dxa"/>
            <w:vAlign w:val="bottom"/>
          </w:tcPr>
          <w:p>
            <w:pPr>
              <w:ind w:left="120"/>
              <w:spacing w:after="0"/>
              <w:rPr>
                <w:sz w:val="20"/>
                <w:szCs w:val="20"/>
                <w:color w:val="auto"/>
              </w:rPr>
            </w:pPr>
            <w:r>
              <w:rPr>
                <w:rFonts w:ascii="Arial" w:cs="Arial" w:eastAsia="Arial" w:hAnsi="Arial"/>
                <w:sz w:val="14"/>
                <w:szCs w:val="14"/>
                <w:color w:val="auto"/>
              </w:rPr>
              <w:t>MA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16,710</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13,412</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16,710</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13,841</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30,551</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1,243</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1970</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1/13/2016</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CHELSEA</w:t>
            </w:r>
          </w:p>
        </w:tc>
        <w:tc>
          <w:tcPr>
            <w:tcW w:w="5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8/25/06,</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COMMONS</w:t>
            </w:r>
          </w:p>
        </w:tc>
        <w:tc>
          <w:tcPr>
            <w:tcW w:w="5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1/30/07, &amp;</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(Massachusetts)</w:t>
            </w:r>
          </w:p>
        </w:tc>
        <w:tc>
          <w:tcPr>
            <w:tcW w:w="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w:t>
            </w: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6,037</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9,417</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19,466</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14,015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9,396</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33,502</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42,898</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8,509</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1962/1969/2008</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7/16/08</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6" w:right="239" w:bottom="1440" w:gutter="0" w:footer="0" w:header="0"/>
        </w:sectPr>
      </w:pPr>
    </w:p>
    <w:bookmarkStart w:id="89" w:name="page90"/>
    <w:bookmarkEnd w:id="89"/>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60" w:type="dxa"/>
            <w:vAlign w:val="bottom"/>
          </w:tcPr>
          <w:p>
            <w:pPr>
              <w:ind w:left="40"/>
              <w:spacing w:after="0"/>
              <w:rPr>
                <w:sz w:val="20"/>
                <w:szCs w:val="20"/>
                <w:color w:val="auto"/>
              </w:rPr>
            </w:pPr>
            <w:r>
              <w:rPr>
                <w:rFonts w:ascii="Arial" w:cs="Arial" w:eastAsia="Arial" w:hAnsi="Arial"/>
                <w:sz w:val="13"/>
                <w:szCs w:val="13"/>
                <w:b w:val="1"/>
                <w:bCs w:val="1"/>
                <w:color w:val="auto"/>
              </w:rPr>
              <w:t>COLUMN A</w:t>
            </w:r>
          </w:p>
        </w:tc>
        <w:tc>
          <w:tcPr>
            <w:tcW w:w="5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B</w:t>
            </w: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COLUMN D</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COLUMN E</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F</w:t>
            </w: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COLUMN G</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COLUMN H</w:t>
            </w:r>
          </w:p>
        </w:tc>
        <w:tc>
          <w:tcPr>
            <w:tcW w:w="760" w:type="dxa"/>
            <w:vAlign w:val="bottom"/>
          </w:tcPr>
          <w:p>
            <w:pPr>
              <w:ind w:left="4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44"/>
        </w:trPr>
        <w:tc>
          <w:tcPr>
            <w:tcW w:w="126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53"/>
        </w:trPr>
        <w:tc>
          <w:tcPr>
            <w:tcW w:w="1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5"/>
          </w:tcPr>
          <w:p>
            <w:pPr>
              <w:jc w:val="center"/>
              <w:spacing w:after="0"/>
              <w:rPr>
                <w:sz w:val="20"/>
                <w:szCs w:val="20"/>
                <w:color w:val="auto"/>
              </w:rPr>
            </w:pPr>
            <w:r>
              <w:rPr>
                <w:rFonts w:ascii="Arial" w:cs="Arial" w:eastAsia="Arial" w:hAnsi="Arial"/>
                <w:sz w:val="13"/>
                <w:szCs w:val="13"/>
                <w:b w:val="1"/>
                <w:bCs w:val="1"/>
                <w:color w:val="auto"/>
                <w:w w:val="87"/>
              </w:rPr>
              <w:t>Gross amount at which carried at</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3"/>
          </w:tcPr>
          <w:p>
            <w:pPr>
              <w:ind w:left="240"/>
              <w:spacing w:after="0" w:line="135" w:lineRule="exact"/>
              <w:rPr>
                <w:sz w:val="20"/>
                <w:szCs w:val="20"/>
                <w:color w:val="auto"/>
              </w:rPr>
            </w:pPr>
            <w:r>
              <w:rPr>
                <w:rFonts w:ascii="Arial" w:cs="Arial" w:eastAsia="Arial" w:hAnsi="Arial"/>
                <w:sz w:val="13"/>
                <w:szCs w:val="13"/>
                <w:b w:val="1"/>
                <w:bCs w:val="1"/>
                <w:color w:val="auto"/>
              </w:rPr>
              <w:t>Initial cost to company</w:t>
            </w:r>
          </w:p>
        </w:tc>
        <w:tc>
          <w:tcPr>
            <w:tcW w:w="100" w:type="dxa"/>
            <w:vAlign w:val="bottom"/>
          </w:tcPr>
          <w:p>
            <w:pPr>
              <w:spacing w:after="0"/>
              <w:rPr>
                <w:sz w:val="11"/>
                <w:szCs w:val="11"/>
                <w:color w:val="auto"/>
              </w:rPr>
            </w:pPr>
          </w:p>
        </w:tc>
        <w:tc>
          <w:tcPr>
            <w:tcW w:w="8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Cost</w:t>
            </w:r>
          </w:p>
        </w:tc>
        <w:tc>
          <w:tcPr>
            <w:tcW w:w="780" w:type="dxa"/>
            <w:vAlign w:val="bottom"/>
          </w:tcPr>
          <w:p>
            <w:pPr>
              <w:spacing w:after="0"/>
              <w:rPr>
                <w:sz w:val="11"/>
                <w:szCs w:val="11"/>
                <w:color w:val="auto"/>
              </w:rPr>
            </w:pPr>
          </w:p>
        </w:tc>
        <w:tc>
          <w:tcPr>
            <w:tcW w:w="102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close of period</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90"/>
              </w:rPr>
              <w:t>depreciation</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60" w:type="dxa"/>
            <w:vAlign w:val="bottom"/>
            <w:gridSpan w:val="2"/>
            <w:vMerge w:val="restart"/>
          </w:tcPr>
          <w:p>
            <w:pPr>
              <w:jc w:val="center"/>
              <w:ind w:right="80"/>
              <w:spacing w:after="0" w:line="117" w:lineRule="exact"/>
              <w:rPr>
                <w:sz w:val="20"/>
                <w:szCs w:val="20"/>
                <w:color w:val="auto"/>
              </w:rPr>
            </w:pPr>
            <w:r>
              <w:rPr>
                <w:rFonts w:ascii="Arial" w:cs="Arial" w:eastAsia="Arial" w:hAnsi="Arial"/>
                <w:sz w:val="13"/>
                <w:szCs w:val="13"/>
                <w:b w:val="1"/>
                <w:bCs w:val="1"/>
                <w:color w:val="auto"/>
                <w:w w:val="90"/>
              </w:rPr>
              <w:t>Capitalized</w:t>
            </w: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ind w:left="40"/>
              <w:spacing w:after="0" w:line="117" w:lineRule="exact"/>
              <w:rPr>
                <w:sz w:val="20"/>
                <w:szCs w:val="20"/>
                <w:color w:val="auto"/>
              </w:rPr>
            </w:pPr>
            <w:r>
              <w:rPr>
                <w:rFonts w:ascii="Arial" w:cs="Arial" w:eastAsia="Arial" w:hAnsi="Arial"/>
                <w:sz w:val="13"/>
                <w:szCs w:val="13"/>
                <w:b w:val="1"/>
                <w:bCs w:val="1"/>
                <w:color w:val="auto"/>
              </w:rPr>
              <w:t>Accumulated</w:t>
            </w: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5"/>
              </w:rPr>
              <w:t>in latest</w:t>
            </w:r>
          </w:p>
        </w:tc>
        <w:tc>
          <w:tcPr>
            <w:tcW w:w="0" w:type="dxa"/>
            <w:vAlign w:val="bottom"/>
          </w:tcPr>
          <w:p>
            <w:pPr>
              <w:spacing w:after="0"/>
              <w:rPr>
                <w:sz w:val="1"/>
                <w:szCs w:val="1"/>
                <w:color w:val="auto"/>
              </w:rPr>
            </w:pPr>
          </w:p>
        </w:tc>
      </w:tr>
      <w:tr>
        <w:trPr>
          <w:trHeight w:val="43"/>
        </w:trPr>
        <w:tc>
          <w:tcPr>
            <w:tcW w:w="1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3"/>
              </w:rPr>
              <w:t>Subsequent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Depreciation</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Date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income</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Building and</w:t>
            </w:r>
          </w:p>
        </w:tc>
        <w:tc>
          <w:tcPr>
            <w:tcW w:w="100" w:type="dxa"/>
            <w:vAlign w:val="bottom"/>
          </w:tcPr>
          <w:p>
            <w:pPr>
              <w:spacing w:after="0"/>
              <w:rPr>
                <w:sz w:val="11"/>
                <w:szCs w:val="11"/>
                <w:color w:val="auto"/>
              </w:rPr>
            </w:pPr>
          </w:p>
        </w:tc>
        <w:tc>
          <w:tcPr>
            <w:tcW w:w="8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1"/>
              </w:rPr>
              <w:t>to</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auto"/>
              </w:rPr>
              <w:t>and</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1"/>
              </w:rPr>
              <w:t>of</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Date</w:t>
            </w:r>
          </w:p>
        </w:tc>
        <w:tc>
          <w:tcPr>
            <w:tcW w:w="76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84"/>
              </w:rPr>
              <w:t>statements is</w:t>
            </w:r>
          </w:p>
        </w:tc>
        <w:tc>
          <w:tcPr>
            <w:tcW w:w="0" w:type="dxa"/>
            <w:vAlign w:val="bottom"/>
          </w:tcPr>
          <w:p>
            <w:pPr>
              <w:spacing w:after="0"/>
              <w:rPr>
                <w:sz w:val="1"/>
                <w:szCs w:val="1"/>
                <w:color w:val="auto"/>
              </w:rPr>
            </w:pPr>
          </w:p>
        </w:tc>
      </w:tr>
      <w:tr>
        <w:trPr>
          <w:trHeight w:val="174"/>
        </w:trPr>
        <w:tc>
          <w:tcPr>
            <w:tcW w:w="1260" w:type="dxa"/>
            <w:vAlign w:val="bottom"/>
          </w:tcPr>
          <w:p>
            <w:pPr>
              <w:ind w:left="40"/>
              <w:spacing w:after="0"/>
              <w:rPr>
                <w:sz w:val="20"/>
                <w:szCs w:val="20"/>
                <w:color w:val="auto"/>
              </w:rPr>
            </w:pPr>
            <w:r>
              <w:rPr>
                <w:rFonts w:ascii="Arial" w:cs="Arial" w:eastAsia="Arial" w:hAnsi="Arial"/>
                <w:sz w:val="13"/>
                <w:szCs w:val="13"/>
                <w:b w:val="1"/>
                <w:bCs w:val="1"/>
                <w:color w:val="auto"/>
              </w:rPr>
              <w:t>Descriptions</w:t>
            </w:r>
          </w:p>
        </w:tc>
        <w:tc>
          <w:tcPr>
            <w:tcW w:w="5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Encumbrance</w:t>
            </w:r>
          </w:p>
        </w:tc>
        <w:tc>
          <w:tcPr>
            <w:tcW w:w="860" w:type="dxa"/>
            <w:vAlign w:val="bottom"/>
            <w:gridSpan w:val="2"/>
          </w:tcPr>
          <w:p>
            <w:pPr>
              <w:ind w:left="240"/>
              <w:spacing w:after="0"/>
              <w:rPr>
                <w:sz w:val="20"/>
                <w:szCs w:val="20"/>
                <w:color w:val="auto"/>
              </w:rPr>
            </w:pPr>
            <w:r>
              <w:rPr>
                <w:rFonts w:ascii="Arial" w:cs="Arial" w:eastAsia="Arial" w:hAnsi="Arial"/>
                <w:sz w:val="13"/>
                <w:szCs w:val="13"/>
                <w:b w:val="1"/>
                <w:bCs w:val="1"/>
                <w:color w:val="auto"/>
              </w:rPr>
              <w:t>Land</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9"/>
              </w:rPr>
              <w:t>Improvements</w:t>
            </w:r>
          </w:p>
        </w:tc>
        <w:tc>
          <w:tcPr>
            <w:tcW w:w="100" w:type="dxa"/>
            <w:vAlign w:val="bottom"/>
          </w:tcPr>
          <w:p>
            <w:pPr>
              <w:spacing w:after="0"/>
              <w:rPr>
                <w:sz w:val="15"/>
                <w:szCs w:val="15"/>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Acquisition</w:t>
            </w:r>
          </w:p>
        </w:tc>
        <w:tc>
          <w:tcPr>
            <w:tcW w:w="780" w:type="dxa"/>
            <w:vAlign w:val="bottom"/>
          </w:tcPr>
          <w:p>
            <w:pPr>
              <w:jc w:val="right"/>
              <w:ind w:right="169"/>
              <w:spacing w:after="0"/>
              <w:rPr>
                <w:sz w:val="20"/>
                <w:szCs w:val="20"/>
                <w:color w:val="auto"/>
              </w:rPr>
            </w:pPr>
            <w:r>
              <w:rPr>
                <w:rFonts w:ascii="Arial" w:cs="Arial" w:eastAsia="Arial" w:hAnsi="Arial"/>
                <w:sz w:val="13"/>
                <w:szCs w:val="13"/>
                <w:b w:val="1"/>
                <w:bCs w:val="1"/>
                <w:color w:val="auto"/>
              </w:rPr>
              <w:t>Land</w:t>
            </w:r>
          </w:p>
        </w:tc>
        <w:tc>
          <w:tcPr>
            <w:tcW w:w="100" w:type="dxa"/>
            <w:vAlign w:val="bottom"/>
          </w:tcPr>
          <w:p>
            <w:pPr>
              <w:spacing w:after="0"/>
              <w:rPr>
                <w:sz w:val="15"/>
                <w:szCs w:val="15"/>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Improvements</w:t>
            </w:r>
          </w:p>
        </w:tc>
        <w:tc>
          <w:tcPr>
            <w:tcW w:w="560" w:type="dxa"/>
            <w:vAlign w:val="bottom"/>
          </w:tcPr>
          <w:p>
            <w:pPr>
              <w:jc w:val="right"/>
              <w:ind w:right="69"/>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Amortization</w:t>
            </w: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Construction</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Acquired</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57"/>
        </w:trPr>
        <w:tc>
          <w:tcPr>
            <w:tcW w:w="126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5/4/15,</w:t>
            </w: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7/1/15,</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12/16/15,</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7/26/16,</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40"/>
              <w:spacing w:after="0" w:line="149" w:lineRule="exact"/>
              <w:rPr>
                <w:sz w:val="20"/>
                <w:szCs w:val="20"/>
                <w:color w:val="auto"/>
              </w:rPr>
            </w:pPr>
            <w:r>
              <w:rPr>
                <w:rFonts w:ascii="Arial" w:cs="Arial" w:eastAsia="Arial" w:hAnsi="Arial"/>
                <w:sz w:val="14"/>
                <w:szCs w:val="14"/>
                <w:color w:val="auto"/>
              </w:rPr>
              <w:t>COCOWALK</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1990/1994,</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6/30/17, &amp;</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(Florida)</w:t>
            </w:r>
          </w:p>
        </w:tc>
        <w:tc>
          <w:tcPr>
            <w:tcW w:w="520" w:type="dxa"/>
            <w:vAlign w:val="bottom"/>
          </w:tcPr>
          <w:p>
            <w:pPr>
              <w:ind w:left="140"/>
              <w:spacing w:after="0"/>
              <w:rPr>
                <w:sz w:val="20"/>
                <w:szCs w:val="20"/>
                <w:color w:val="auto"/>
              </w:rPr>
            </w:pPr>
            <w:r>
              <w:rPr>
                <w:rFonts w:ascii="Arial" w:cs="Arial" w:eastAsia="Arial" w:hAnsi="Arial"/>
                <w:sz w:val="14"/>
                <w:szCs w:val="14"/>
                <w:color w:val="auto"/>
              </w:rPr>
              <w:t>FL</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35,063</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71,476</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9,881</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34,406</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82,014</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116,420</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6,536</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1922-1973</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8/10/17</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COLORADO</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12/31/96 &amp;</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BLVD (California)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5,262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4,071</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10,184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5,262</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14,255</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19,517</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10,678</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1905-1988</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8/14/98</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w w:val="98"/>
              </w:rPr>
              <w:t>CONGRESSIONAL</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PLAZA (Maryland)</w:t>
            </w:r>
          </w:p>
        </w:tc>
        <w:tc>
          <w:tcPr>
            <w:tcW w:w="520" w:type="dxa"/>
            <w:vAlign w:val="bottom"/>
          </w:tcPr>
          <w:p>
            <w:pPr>
              <w:ind w:left="140"/>
              <w:spacing w:after="0"/>
              <w:rPr>
                <w:sz w:val="20"/>
                <w:szCs w:val="20"/>
                <w:color w:val="auto"/>
              </w:rPr>
            </w:pPr>
            <w:r>
              <w:rPr>
                <w:rFonts w:ascii="Arial" w:cs="Arial" w:eastAsia="Arial" w:hAnsi="Arial"/>
                <w:sz w:val="14"/>
                <w:szCs w:val="14"/>
                <w:color w:val="auto"/>
              </w:rPr>
              <w:t>MD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2,793</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7,424</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92,104</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1,020</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101,301</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102,321</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53,731</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1965/2003</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4/1/1965</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COURTHOUSE</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CENTER</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1,750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1,869</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1,532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1,750</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3,401</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5,151</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1,923</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12/17/1997</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rPr>
              <w:t>CROSSROADS</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(Illinois)</w:t>
            </w:r>
          </w:p>
        </w:tc>
        <w:tc>
          <w:tcPr>
            <w:tcW w:w="520" w:type="dxa"/>
            <w:vAlign w:val="bottom"/>
          </w:tcPr>
          <w:p>
            <w:pPr>
              <w:ind w:left="140"/>
              <w:spacing w:after="0"/>
              <w:rPr>
                <w:sz w:val="20"/>
                <w:szCs w:val="20"/>
                <w:color w:val="auto"/>
              </w:rPr>
            </w:pPr>
            <w:r>
              <w:rPr>
                <w:rFonts w:ascii="Arial" w:cs="Arial" w:eastAsia="Arial" w:hAnsi="Arial"/>
                <w:sz w:val="14"/>
                <w:szCs w:val="14"/>
                <w:color w:val="auto"/>
              </w:rPr>
              <w:t>IL</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4,635</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11,611</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16,882</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4,635</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28,493</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33,128</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16,494</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1959</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7/19/1993</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CROW CANYON</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COMMONS</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Late 1970's/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12/29/05 &amp;</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27,245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54,575</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8,525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27,245</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63,100</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90,345</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21,704</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1998/2006</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2/28/07</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rPr>
              <w:t>DARIEN</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(Connecticut)</w:t>
            </w:r>
          </w:p>
        </w:tc>
        <w:tc>
          <w:tcPr>
            <w:tcW w:w="520" w:type="dxa"/>
            <w:vAlign w:val="bottom"/>
          </w:tcPr>
          <w:p>
            <w:pPr>
              <w:ind w:left="140"/>
              <w:spacing w:after="0"/>
              <w:rPr>
                <w:sz w:val="20"/>
                <w:szCs w:val="20"/>
                <w:color w:val="auto"/>
              </w:rPr>
            </w:pPr>
            <w:r>
              <w:rPr>
                <w:rFonts w:ascii="Arial" w:cs="Arial" w:eastAsia="Arial" w:hAnsi="Arial"/>
                <w:sz w:val="14"/>
                <w:szCs w:val="14"/>
                <w:color w:val="auto"/>
              </w:rPr>
              <w:t>CT</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29,809</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18,302</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1,862</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29,809</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20,164</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49,973</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3,075</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1920-2009</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4/3/2013</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DEDHAM PLAZA</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12/31/93 &amp;</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(Massachusetts)</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14,841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12,918</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13,317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14,841</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26,235</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41,076</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15,380</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1959</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12/14/16</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5/30/08,</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40"/>
              <w:spacing w:after="0" w:line="149" w:lineRule="exact"/>
              <w:rPr>
                <w:sz w:val="20"/>
                <w:szCs w:val="20"/>
                <w:color w:val="auto"/>
              </w:rPr>
            </w:pPr>
            <w:r>
              <w:rPr>
                <w:rFonts w:ascii="Arial" w:cs="Arial" w:eastAsia="Arial" w:hAnsi="Arial"/>
                <w:sz w:val="14"/>
                <w:szCs w:val="14"/>
                <w:color w:val="auto"/>
              </w:rPr>
              <w:t>DEL MAR</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7/11/08, &amp;</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VILLAGE (Florida)</w:t>
            </w:r>
          </w:p>
        </w:tc>
        <w:tc>
          <w:tcPr>
            <w:tcW w:w="520" w:type="dxa"/>
            <w:vAlign w:val="bottom"/>
          </w:tcPr>
          <w:p>
            <w:pPr>
              <w:ind w:left="140"/>
              <w:spacing w:after="0"/>
              <w:rPr>
                <w:sz w:val="20"/>
                <w:szCs w:val="20"/>
                <w:color w:val="auto"/>
              </w:rPr>
            </w:pPr>
            <w:r>
              <w:rPr>
                <w:rFonts w:ascii="Arial" w:cs="Arial" w:eastAsia="Arial" w:hAnsi="Arial"/>
                <w:sz w:val="14"/>
                <w:szCs w:val="14"/>
                <w:color w:val="auto"/>
              </w:rPr>
              <w:t>FL</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15,624</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41,712</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8,057</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15,587</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49,806</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65,393</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20,432</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w w:val="94"/>
              </w:rPr>
              <w:t>1982/1994/2007</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10/14/14</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EAST BAY</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BRIDGE</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1994-2001,</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29,079</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138,035</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11,772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29,079</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149,807</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178,886</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25,229</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2011/2012</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12/21/2012</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rPr>
              <w:t>EASTGATE</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40"/>
              <w:spacing w:after="0" w:line="149" w:lineRule="exact"/>
              <w:rPr>
                <w:sz w:val="20"/>
                <w:szCs w:val="20"/>
                <w:color w:val="auto"/>
              </w:rPr>
            </w:pPr>
            <w:r>
              <w:rPr>
                <w:rFonts w:ascii="Arial" w:cs="Arial" w:eastAsia="Arial" w:hAnsi="Arial"/>
                <w:sz w:val="14"/>
                <w:szCs w:val="14"/>
                <w:color w:val="auto"/>
              </w:rPr>
              <w:t>CROSSING (North</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Carolina)</w:t>
            </w:r>
          </w:p>
        </w:tc>
        <w:tc>
          <w:tcPr>
            <w:tcW w:w="520" w:type="dxa"/>
            <w:vAlign w:val="bottom"/>
          </w:tcPr>
          <w:p>
            <w:pPr>
              <w:ind w:left="140"/>
              <w:spacing w:after="0"/>
              <w:rPr>
                <w:sz w:val="20"/>
                <w:szCs w:val="20"/>
                <w:color w:val="auto"/>
              </w:rPr>
            </w:pPr>
            <w:r>
              <w:rPr>
                <w:rFonts w:ascii="Arial" w:cs="Arial" w:eastAsia="Arial" w:hAnsi="Arial"/>
                <w:sz w:val="14"/>
                <w:szCs w:val="14"/>
                <w:color w:val="auto"/>
              </w:rPr>
              <w:t>NC</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1,608</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5,775</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26,981</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1,608</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32,756</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34,364</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19,622</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1963</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12/18/1986</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ELLISBURG (New</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Jersey)</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NJ</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4,028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11,309</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19,211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4,013</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30,535</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34,548</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20,099</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1959</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10/16/1992</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rPr>
              <w:t>ESCONDIDO</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40"/>
              <w:spacing w:after="0" w:line="149" w:lineRule="exact"/>
              <w:rPr>
                <w:sz w:val="20"/>
                <w:szCs w:val="20"/>
                <w:color w:val="auto"/>
              </w:rPr>
            </w:pPr>
            <w:r>
              <w:rPr>
                <w:rFonts w:ascii="Arial" w:cs="Arial" w:eastAsia="Arial" w:hAnsi="Arial"/>
                <w:sz w:val="14"/>
                <w:szCs w:val="14"/>
                <w:color w:val="auto"/>
              </w:rPr>
              <w:t>PROMENADE</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12/31/96 &amp;</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tcPr>
          <w:p>
            <w:pPr>
              <w:ind w:left="140"/>
              <w:spacing w:after="0"/>
              <w:rPr>
                <w:sz w:val="20"/>
                <w:szCs w:val="20"/>
                <w:color w:val="auto"/>
              </w:rPr>
            </w:pPr>
            <w:r>
              <w:rPr>
                <w:rFonts w:ascii="Arial" w:cs="Arial" w:eastAsia="Arial" w:hAnsi="Arial"/>
                <w:sz w:val="14"/>
                <w:szCs w:val="14"/>
                <w:color w:val="auto"/>
              </w:rPr>
              <w:t>CA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19,117</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15,829</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14,530</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19,117</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30,359</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49,476</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16,037</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1987</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11/10/10</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FALLS PLAZA</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9/30/67 &amp;</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1,798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1,270</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10,943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1,819</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12,192</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14,011</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8,664</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1960/1962</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10/05/72</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25 years</w:t>
            </w:r>
          </w:p>
        </w:tc>
        <w:tc>
          <w:tcPr>
            <w:tcW w:w="0" w:type="dxa"/>
            <w:vAlign w:val="bottom"/>
          </w:tcPr>
          <w:p>
            <w:pPr>
              <w:spacing w:after="0"/>
              <w:rPr>
                <w:sz w:val="1"/>
                <w:szCs w:val="1"/>
                <w:color w:val="auto"/>
              </w:rPr>
            </w:pP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rPr>
              <w:t>FEDERAL PLAZA</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tcPr>
          <w:p>
            <w:pPr>
              <w:ind w:left="140"/>
              <w:spacing w:after="0"/>
              <w:rPr>
                <w:sz w:val="20"/>
                <w:szCs w:val="20"/>
                <w:color w:val="auto"/>
              </w:rPr>
            </w:pPr>
            <w:r>
              <w:rPr>
                <w:rFonts w:ascii="Arial" w:cs="Arial" w:eastAsia="Arial" w:hAnsi="Arial"/>
                <w:sz w:val="14"/>
                <w:szCs w:val="14"/>
                <w:color w:val="auto"/>
              </w:rPr>
              <w:t>MD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10,216</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17,895</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41,769</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10,216</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59,664</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69,880</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42,794</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1970</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6/29/1989</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FINLEY SQUARE</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(Illinois)</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IL</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9,252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9,544</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19,604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9,252</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29,148</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38,400</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19,836</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4/27/1995</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rPr>
              <w:t>FLOURTOWN</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(Pennsylvania)</w:t>
            </w:r>
          </w:p>
        </w:tc>
        <w:tc>
          <w:tcPr>
            <w:tcW w:w="520" w:type="dxa"/>
            <w:vAlign w:val="bottom"/>
          </w:tcPr>
          <w:p>
            <w:pPr>
              <w:ind w:left="140"/>
              <w:spacing w:after="0"/>
              <w:rPr>
                <w:sz w:val="20"/>
                <w:szCs w:val="20"/>
                <w:color w:val="auto"/>
              </w:rPr>
            </w:pPr>
            <w:r>
              <w:rPr>
                <w:rFonts w:ascii="Arial" w:cs="Arial" w:eastAsia="Arial" w:hAnsi="Arial"/>
                <w:sz w:val="14"/>
                <w:szCs w:val="14"/>
                <w:color w:val="auto"/>
              </w:rPr>
              <w:t>PA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1,345</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3,943</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11,666</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1,345</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15,609</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16,954</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5,981</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1957</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4/25/1980</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FOURTH STREET</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13,928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9,909</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13,928</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9,948</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23,876</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248</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1948,1975</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5/19/2017</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26" w:right="239" w:bottom="1440" w:gutter="0" w:footer="0" w:header="0"/>
        </w:sectPr>
      </w:pPr>
    </w:p>
    <w:bookmarkStart w:id="90" w:name="page91"/>
    <w:bookmarkEnd w:id="90"/>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80" w:type="dxa"/>
            <w:vAlign w:val="bottom"/>
          </w:tcPr>
          <w:p>
            <w:pPr>
              <w:ind w:left="40"/>
              <w:spacing w:after="0"/>
              <w:rPr>
                <w:sz w:val="20"/>
                <w:szCs w:val="20"/>
                <w:color w:val="auto"/>
              </w:rPr>
            </w:pPr>
            <w:r>
              <w:rPr>
                <w:rFonts w:ascii="Arial" w:cs="Arial" w:eastAsia="Arial" w:hAnsi="Arial"/>
                <w:sz w:val="13"/>
                <w:szCs w:val="13"/>
                <w:b w:val="1"/>
                <w:bCs w:val="1"/>
                <w:color w:val="auto"/>
              </w:rPr>
              <w:t>COLUMN A</w:t>
            </w:r>
          </w:p>
        </w:tc>
        <w:tc>
          <w:tcPr>
            <w:tcW w:w="52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B</w:t>
            </w: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C</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COLUMN D</w:t>
            </w: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COLUMN E</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F</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COLUMN G</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COLUMN H</w:t>
            </w:r>
          </w:p>
        </w:tc>
        <w:tc>
          <w:tcPr>
            <w:tcW w:w="800" w:type="dxa"/>
            <w:vAlign w:val="bottom"/>
          </w:tcPr>
          <w:p>
            <w:pPr>
              <w:ind w:left="4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44"/>
        </w:trPr>
        <w:tc>
          <w:tcPr>
            <w:tcW w:w="118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53"/>
        </w:trPr>
        <w:tc>
          <w:tcPr>
            <w:tcW w:w="1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gridSpan w:val="5"/>
          </w:tcPr>
          <w:p>
            <w:pPr>
              <w:jc w:val="center"/>
              <w:spacing w:after="0"/>
              <w:rPr>
                <w:sz w:val="20"/>
                <w:szCs w:val="20"/>
                <w:color w:val="auto"/>
              </w:rPr>
            </w:pPr>
            <w:r>
              <w:rPr>
                <w:rFonts w:ascii="Arial" w:cs="Arial" w:eastAsia="Arial" w:hAnsi="Arial"/>
                <w:sz w:val="13"/>
                <w:szCs w:val="13"/>
                <w:b w:val="1"/>
                <w:bCs w:val="1"/>
                <w:color w:val="auto"/>
                <w:w w:val="87"/>
              </w:rPr>
              <w:t>Gross amount at which carried at</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3"/>
          </w:tcPr>
          <w:p>
            <w:pPr>
              <w:ind w:left="240"/>
              <w:spacing w:after="0" w:line="135" w:lineRule="exact"/>
              <w:rPr>
                <w:sz w:val="20"/>
                <w:szCs w:val="20"/>
                <w:color w:val="auto"/>
              </w:rPr>
            </w:pPr>
            <w:r>
              <w:rPr>
                <w:rFonts w:ascii="Arial" w:cs="Arial" w:eastAsia="Arial" w:hAnsi="Arial"/>
                <w:sz w:val="13"/>
                <w:szCs w:val="13"/>
                <w:b w:val="1"/>
                <w:bCs w:val="1"/>
                <w:color w:val="auto"/>
              </w:rPr>
              <w:t>Initial cost to company</w:t>
            </w:r>
          </w:p>
        </w:tc>
        <w:tc>
          <w:tcPr>
            <w:tcW w:w="12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Cost</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close of period</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880" w:type="dxa"/>
            <w:vAlign w:val="bottom"/>
            <w:gridSpan w:val="2"/>
            <w:vMerge w:val="restart"/>
          </w:tcPr>
          <w:p>
            <w:pPr>
              <w:jc w:val="center"/>
              <w:ind w:right="100"/>
              <w:spacing w:after="0" w:line="117" w:lineRule="exact"/>
              <w:rPr>
                <w:sz w:val="20"/>
                <w:szCs w:val="20"/>
                <w:color w:val="auto"/>
              </w:rPr>
            </w:pPr>
            <w:r>
              <w:rPr>
                <w:rFonts w:ascii="Arial" w:cs="Arial" w:eastAsia="Arial" w:hAnsi="Arial"/>
                <w:sz w:val="13"/>
                <w:szCs w:val="13"/>
                <w:b w:val="1"/>
                <w:bCs w:val="1"/>
                <w:color w:val="auto"/>
                <w:w w:val="90"/>
              </w:rPr>
              <w:t>Capitalized</w:t>
            </w: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ind w:left="40"/>
              <w:spacing w:after="0" w:line="117" w:lineRule="exact"/>
              <w:rPr>
                <w:sz w:val="20"/>
                <w:szCs w:val="20"/>
                <w:color w:val="auto"/>
              </w:rPr>
            </w:pPr>
            <w:r>
              <w:rPr>
                <w:rFonts w:ascii="Arial" w:cs="Arial" w:eastAsia="Arial" w:hAnsi="Arial"/>
                <w:sz w:val="13"/>
                <w:szCs w:val="13"/>
                <w:b w:val="1"/>
                <w:bCs w:val="1"/>
                <w:color w:val="auto"/>
              </w:rPr>
              <w:t>Accumulated</w:t>
            </w: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5"/>
              </w:rPr>
              <w:t>in latest</w:t>
            </w:r>
          </w:p>
        </w:tc>
        <w:tc>
          <w:tcPr>
            <w:tcW w:w="0" w:type="dxa"/>
            <w:vAlign w:val="bottom"/>
          </w:tcPr>
          <w:p>
            <w:pPr>
              <w:spacing w:after="0"/>
              <w:rPr>
                <w:sz w:val="1"/>
                <w:szCs w:val="1"/>
                <w:color w:val="auto"/>
              </w:rPr>
            </w:pPr>
          </w:p>
        </w:tc>
      </w:tr>
      <w:tr>
        <w:trPr>
          <w:trHeight w:val="43"/>
        </w:trPr>
        <w:tc>
          <w:tcPr>
            <w:tcW w:w="1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3"/>
              </w:rPr>
              <w:t>Subsequent</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Depreciation</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Date</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income</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1"/>
              </w:rPr>
              <w:t>Building and</w:t>
            </w:r>
          </w:p>
        </w:tc>
        <w:tc>
          <w:tcPr>
            <w:tcW w:w="12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1"/>
              </w:rPr>
              <w:t>to</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300"/>
              <w:spacing w:after="0" w:line="135" w:lineRule="exact"/>
              <w:rPr>
                <w:sz w:val="20"/>
                <w:szCs w:val="20"/>
                <w:color w:val="auto"/>
              </w:rPr>
            </w:pPr>
            <w:r>
              <w:rPr>
                <w:rFonts w:ascii="Arial" w:cs="Arial" w:eastAsia="Arial" w:hAnsi="Arial"/>
                <w:sz w:val="13"/>
                <w:szCs w:val="13"/>
                <w:b w:val="1"/>
                <w:bCs w:val="1"/>
                <w:color w:val="auto"/>
              </w:rPr>
              <w:t>and</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of</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Date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74"/>
        </w:trPr>
        <w:tc>
          <w:tcPr>
            <w:tcW w:w="1180" w:type="dxa"/>
            <w:vAlign w:val="bottom"/>
          </w:tcPr>
          <w:p>
            <w:pPr>
              <w:ind w:left="40"/>
              <w:spacing w:after="0"/>
              <w:rPr>
                <w:sz w:val="20"/>
                <w:szCs w:val="20"/>
                <w:color w:val="auto"/>
              </w:rPr>
            </w:pPr>
            <w:r>
              <w:rPr>
                <w:rFonts w:ascii="Arial" w:cs="Arial" w:eastAsia="Arial" w:hAnsi="Arial"/>
                <w:sz w:val="13"/>
                <w:szCs w:val="13"/>
                <w:b w:val="1"/>
                <w:bCs w:val="1"/>
                <w:color w:val="auto"/>
              </w:rPr>
              <w:t>Descriptions</w:t>
            </w:r>
          </w:p>
        </w:tc>
        <w:tc>
          <w:tcPr>
            <w:tcW w:w="52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w w:val="97"/>
              </w:rPr>
              <w:t>Encumbrance</w:t>
            </w:r>
          </w:p>
        </w:tc>
        <w:tc>
          <w:tcPr>
            <w:tcW w:w="880" w:type="dxa"/>
            <w:vAlign w:val="bottom"/>
            <w:gridSpan w:val="2"/>
          </w:tcPr>
          <w:p>
            <w:pPr>
              <w:ind w:left="240"/>
              <w:spacing w:after="0"/>
              <w:rPr>
                <w:sz w:val="20"/>
                <w:szCs w:val="20"/>
                <w:color w:val="auto"/>
              </w:rPr>
            </w:pPr>
            <w:r>
              <w:rPr>
                <w:rFonts w:ascii="Arial" w:cs="Arial" w:eastAsia="Arial" w:hAnsi="Arial"/>
                <w:sz w:val="13"/>
                <w:szCs w:val="13"/>
                <w:b w:val="1"/>
                <w:bCs w:val="1"/>
                <w:color w:val="auto"/>
              </w:rPr>
              <w:t>Land</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w w:val="87"/>
              </w:rPr>
              <w:t>Improvements</w:t>
            </w:r>
          </w:p>
        </w:tc>
        <w:tc>
          <w:tcPr>
            <w:tcW w:w="120" w:type="dxa"/>
            <w:vAlign w:val="bottom"/>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Acquisition</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Land</w:t>
            </w: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w w:val="96"/>
              </w:rPr>
              <w:t>Improvements</w:t>
            </w:r>
          </w:p>
        </w:tc>
        <w:tc>
          <w:tcPr>
            <w:tcW w:w="740" w:type="dxa"/>
            <w:vAlign w:val="bottom"/>
          </w:tcPr>
          <w:p>
            <w:pPr>
              <w:jc w:val="right"/>
              <w:ind w:right="149"/>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Amortization</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Construction</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Acquired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57"/>
        </w:trPr>
        <w:tc>
          <w:tcPr>
            <w:tcW w:w="1180" w:type="dxa"/>
            <w:vAlign w:val="bottom"/>
            <w:tcBorders>
              <w:top w:val="single" w:sz="8" w:color="auto"/>
            </w:tcBorders>
          </w:tcPr>
          <w:p>
            <w:pPr>
              <w:ind w:left="40"/>
              <w:spacing w:after="0" w:line="157" w:lineRule="exact"/>
              <w:rPr>
                <w:sz w:val="20"/>
                <w:szCs w:val="20"/>
                <w:color w:val="auto"/>
              </w:rPr>
            </w:pPr>
            <w:r>
              <w:rPr>
                <w:rFonts w:ascii="Arial" w:cs="Arial" w:eastAsia="Arial" w:hAnsi="Arial"/>
                <w:sz w:val="14"/>
                <w:szCs w:val="14"/>
                <w:color w:val="auto"/>
              </w:rPr>
              <w:t>FREE STATE</w:t>
            </w:r>
          </w:p>
        </w:tc>
        <w:tc>
          <w:tcPr>
            <w:tcW w:w="5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SHOPPING</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CENTER</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tcPr>
          <w:p>
            <w:pPr>
              <w:ind w:left="140"/>
              <w:spacing w:after="0"/>
              <w:rPr>
                <w:sz w:val="20"/>
                <w:szCs w:val="20"/>
                <w:color w:val="auto"/>
              </w:rPr>
            </w:pPr>
            <w:r>
              <w:rPr>
                <w:rFonts w:ascii="Arial" w:cs="Arial" w:eastAsia="Arial" w:hAnsi="Arial"/>
                <w:sz w:val="14"/>
                <w:szCs w:val="14"/>
                <w:color w:val="auto"/>
              </w:rPr>
              <w:t>MD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18,581</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41,658</w:t>
            </w:r>
          </w:p>
        </w:tc>
        <w:tc>
          <w:tcPr>
            <w:tcW w:w="900" w:type="dxa"/>
            <w:vAlign w:val="bottom"/>
            <w:gridSpan w:val="2"/>
          </w:tcPr>
          <w:p>
            <w:pPr>
              <w:jc w:val="right"/>
              <w:ind w:right="57"/>
              <w:spacing w:after="0"/>
              <w:rPr>
                <w:sz w:val="20"/>
                <w:szCs w:val="20"/>
                <w:color w:val="auto"/>
              </w:rPr>
            </w:pPr>
            <w:r>
              <w:rPr>
                <w:rFonts w:ascii="Arial" w:cs="Arial" w:eastAsia="Arial" w:hAnsi="Arial"/>
                <w:sz w:val="14"/>
                <w:szCs w:val="14"/>
                <w:color w:val="auto"/>
              </w:rPr>
              <w:t>4,538</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18,581</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46,196</w:t>
            </w:r>
          </w:p>
        </w:tc>
        <w:tc>
          <w:tcPr>
            <w:tcW w:w="10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64,777</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3,741</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1970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1/13/2016</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FRESH</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MEADOWS (New</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York)</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NY</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24,625</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25,255</w:t>
            </w:r>
          </w:p>
        </w:tc>
        <w:tc>
          <w:tcPr>
            <w:tcW w:w="90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40,395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24,633</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65,642</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90,275</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37,948</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1946-1949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12/5/1997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FRIENDSHIP</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CENTER (District</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of Columbia)</w:t>
            </w:r>
          </w:p>
        </w:tc>
        <w:tc>
          <w:tcPr>
            <w:tcW w:w="520" w:type="dxa"/>
            <w:vAlign w:val="bottom"/>
          </w:tcPr>
          <w:p>
            <w:pPr>
              <w:ind w:left="140"/>
              <w:spacing w:after="0"/>
              <w:rPr>
                <w:sz w:val="20"/>
                <w:szCs w:val="20"/>
                <w:color w:val="auto"/>
              </w:rPr>
            </w:pPr>
            <w:r>
              <w:rPr>
                <w:rFonts w:ascii="Arial" w:cs="Arial" w:eastAsia="Arial" w:hAnsi="Arial"/>
                <w:sz w:val="14"/>
                <w:szCs w:val="14"/>
                <w:color w:val="auto"/>
              </w:rPr>
              <w:t>DC</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12,696</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20,803</w:t>
            </w:r>
          </w:p>
        </w:tc>
        <w:tc>
          <w:tcPr>
            <w:tcW w:w="900" w:type="dxa"/>
            <w:vAlign w:val="bottom"/>
            <w:gridSpan w:val="2"/>
          </w:tcPr>
          <w:p>
            <w:pPr>
              <w:jc w:val="right"/>
              <w:ind w:right="57"/>
              <w:spacing w:after="0"/>
              <w:rPr>
                <w:sz w:val="20"/>
                <w:szCs w:val="20"/>
                <w:color w:val="auto"/>
              </w:rPr>
            </w:pPr>
            <w:r>
              <w:rPr>
                <w:rFonts w:ascii="Arial" w:cs="Arial" w:eastAsia="Arial" w:hAnsi="Arial"/>
                <w:sz w:val="14"/>
                <w:szCs w:val="14"/>
                <w:color w:val="auto"/>
              </w:rPr>
              <w:t>4,616</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12,696</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25,419</w:t>
            </w:r>
          </w:p>
        </w:tc>
        <w:tc>
          <w:tcPr>
            <w:tcW w:w="10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38,115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11,917</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1998</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9/21/2001</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GAITHERSBURG</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SQUARE</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7,701</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5,271</w:t>
            </w:r>
          </w:p>
        </w:tc>
        <w:tc>
          <w:tcPr>
            <w:tcW w:w="90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14,468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5,973</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21,467</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27,440</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17,830</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1966</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4/22/1993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GARDEN</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MARKET</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(Illinois)</w:t>
            </w:r>
          </w:p>
        </w:tc>
        <w:tc>
          <w:tcPr>
            <w:tcW w:w="520" w:type="dxa"/>
            <w:vAlign w:val="bottom"/>
          </w:tcPr>
          <w:p>
            <w:pPr>
              <w:ind w:left="140"/>
              <w:spacing w:after="0"/>
              <w:rPr>
                <w:sz w:val="20"/>
                <w:szCs w:val="20"/>
                <w:color w:val="auto"/>
              </w:rPr>
            </w:pPr>
            <w:r>
              <w:rPr>
                <w:rFonts w:ascii="Arial" w:cs="Arial" w:eastAsia="Arial" w:hAnsi="Arial"/>
                <w:sz w:val="14"/>
                <w:szCs w:val="14"/>
                <w:color w:val="auto"/>
              </w:rPr>
              <w:t>IL</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2,677</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4,829</w:t>
            </w:r>
          </w:p>
        </w:tc>
        <w:tc>
          <w:tcPr>
            <w:tcW w:w="900" w:type="dxa"/>
            <w:vAlign w:val="bottom"/>
            <w:gridSpan w:val="2"/>
          </w:tcPr>
          <w:p>
            <w:pPr>
              <w:jc w:val="right"/>
              <w:ind w:right="57"/>
              <w:spacing w:after="0"/>
              <w:rPr>
                <w:sz w:val="20"/>
                <w:szCs w:val="20"/>
                <w:color w:val="auto"/>
              </w:rPr>
            </w:pPr>
            <w:r>
              <w:rPr>
                <w:rFonts w:ascii="Arial" w:cs="Arial" w:eastAsia="Arial" w:hAnsi="Arial"/>
                <w:sz w:val="14"/>
                <w:szCs w:val="14"/>
                <w:color w:val="auto"/>
              </w:rPr>
              <w:t>6,909</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2,677</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11,738</w:t>
            </w:r>
          </w:p>
        </w:tc>
        <w:tc>
          <w:tcPr>
            <w:tcW w:w="10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14,415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7,569</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1958</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7/28/1994</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GOVERNOR</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PLAZA</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2,068</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4,905</w:t>
            </w:r>
          </w:p>
        </w:tc>
        <w:tc>
          <w:tcPr>
            <w:tcW w:w="90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20,319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2,068</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25,224</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27,292</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20,241</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10/1/1985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GRAHAM PARK</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PLAZA (Virginia)</w:t>
            </w:r>
          </w:p>
        </w:tc>
        <w:tc>
          <w:tcPr>
            <w:tcW w:w="520" w:type="dxa"/>
            <w:vAlign w:val="bottom"/>
          </w:tcPr>
          <w:p>
            <w:pPr>
              <w:ind w:left="140"/>
              <w:spacing w:after="0"/>
              <w:rPr>
                <w:sz w:val="20"/>
                <w:szCs w:val="20"/>
                <w:color w:val="auto"/>
              </w:rPr>
            </w:pPr>
            <w:r>
              <w:rPr>
                <w:rFonts w:ascii="Arial" w:cs="Arial" w:eastAsia="Arial" w:hAnsi="Arial"/>
                <w:sz w:val="14"/>
                <w:szCs w:val="14"/>
                <w:color w:val="auto"/>
              </w:rPr>
              <w:t>VA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1,237</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15,096</w:t>
            </w:r>
          </w:p>
        </w:tc>
        <w:tc>
          <w:tcPr>
            <w:tcW w:w="900" w:type="dxa"/>
            <w:vAlign w:val="bottom"/>
            <w:gridSpan w:val="2"/>
          </w:tcPr>
          <w:p>
            <w:pPr>
              <w:jc w:val="right"/>
              <w:ind w:right="57"/>
              <w:spacing w:after="0"/>
              <w:rPr>
                <w:sz w:val="20"/>
                <w:szCs w:val="20"/>
                <w:color w:val="auto"/>
              </w:rPr>
            </w:pPr>
            <w:r>
              <w:rPr>
                <w:rFonts w:ascii="Arial" w:cs="Arial" w:eastAsia="Arial" w:hAnsi="Arial"/>
                <w:sz w:val="14"/>
                <w:szCs w:val="14"/>
                <w:color w:val="auto"/>
              </w:rPr>
              <w:t>18,874</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1,169</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34,038</w:t>
            </w:r>
          </w:p>
        </w:tc>
        <w:tc>
          <w:tcPr>
            <w:tcW w:w="10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35,207</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28,053</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1971</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7/21/1983</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GRATIOT PLAZA</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(Michigan)</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MI</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525</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1,601</w:t>
            </w:r>
          </w:p>
        </w:tc>
        <w:tc>
          <w:tcPr>
            <w:tcW w:w="90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17,702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525</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19,303</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19,828</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17,270</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3/29/1973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25.75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GREENLAWN</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PLAZA (New</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York)</w:t>
            </w:r>
          </w:p>
        </w:tc>
        <w:tc>
          <w:tcPr>
            <w:tcW w:w="520" w:type="dxa"/>
            <w:vAlign w:val="bottom"/>
          </w:tcPr>
          <w:p>
            <w:pPr>
              <w:ind w:left="140"/>
              <w:spacing w:after="0"/>
              <w:rPr>
                <w:sz w:val="20"/>
                <w:szCs w:val="20"/>
                <w:color w:val="auto"/>
              </w:rPr>
            </w:pPr>
            <w:r>
              <w:rPr>
                <w:rFonts w:ascii="Arial" w:cs="Arial" w:eastAsia="Arial" w:hAnsi="Arial"/>
                <w:sz w:val="14"/>
                <w:szCs w:val="14"/>
                <w:color w:val="auto"/>
              </w:rPr>
              <w:t>NY</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10,590</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20,869</w:t>
            </w:r>
          </w:p>
        </w:tc>
        <w:tc>
          <w:tcPr>
            <w:tcW w:w="900" w:type="dxa"/>
            <w:vAlign w:val="bottom"/>
            <w:gridSpan w:val="2"/>
          </w:tcPr>
          <w:p>
            <w:pPr>
              <w:jc w:val="right"/>
              <w:ind w:right="57"/>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10,590</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21,114</w:t>
            </w:r>
          </w:p>
        </w:tc>
        <w:tc>
          <w:tcPr>
            <w:tcW w:w="10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31,704</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1,756</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1975/2004</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1/13/2016</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GREENWICH</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AVENUE</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(Connecticut)</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CT</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7,484</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5,444</w:t>
            </w:r>
          </w:p>
        </w:tc>
        <w:tc>
          <w:tcPr>
            <w:tcW w:w="90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1,199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7,484</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6,643</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14,127</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4,170</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4/12/1995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HASTINGS</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RANCH PLAZA</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1958, 1984,</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tcPr>
          <w:p>
            <w:pPr>
              <w:ind w:left="140"/>
              <w:spacing w:after="0"/>
              <w:rPr>
                <w:sz w:val="20"/>
                <w:szCs w:val="20"/>
                <w:color w:val="auto"/>
              </w:rPr>
            </w:pPr>
            <w:r>
              <w:rPr>
                <w:rFonts w:ascii="Arial" w:cs="Arial" w:eastAsia="Arial" w:hAnsi="Arial"/>
                <w:sz w:val="14"/>
                <w:szCs w:val="14"/>
                <w:color w:val="auto"/>
              </w:rPr>
              <w:t>CA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22,393</w:t>
            </w:r>
          </w:p>
        </w:tc>
        <w:tc>
          <w:tcPr>
            <w:tcW w:w="900" w:type="dxa"/>
            <w:vAlign w:val="bottom"/>
            <w:gridSpan w:val="2"/>
          </w:tcPr>
          <w:p>
            <w:pPr>
              <w:jc w:val="right"/>
              <w:ind w:right="57"/>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22,629</w:t>
            </w:r>
          </w:p>
        </w:tc>
        <w:tc>
          <w:tcPr>
            <w:tcW w:w="10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22,629</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699</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2006, 2007</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2/1/2017</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HAUPPAUGE</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York)</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NY</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8,791</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15,262</w:t>
            </w:r>
          </w:p>
        </w:tc>
        <w:tc>
          <w:tcPr>
            <w:tcW w:w="90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5,018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8,419</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20,652</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29,071</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11,724</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8/6/1998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HERMOSA</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AVENUE</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tcPr>
          <w:p>
            <w:pPr>
              <w:ind w:left="140"/>
              <w:spacing w:after="0"/>
              <w:rPr>
                <w:sz w:val="20"/>
                <w:szCs w:val="20"/>
                <w:color w:val="auto"/>
              </w:rPr>
            </w:pPr>
            <w:r>
              <w:rPr>
                <w:rFonts w:ascii="Arial" w:cs="Arial" w:eastAsia="Arial" w:hAnsi="Arial"/>
                <w:sz w:val="14"/>
                <w:szCs w:val="14"/>
                <w:color w:val="auto"/>
              </w:rPr>
              <w:t>CA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1,116</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280</w:t>
            </w:r>
          </w:p>
        </w:tc>
        <w:tc>
          <w:tcPr>
            <w:tcW w:w="900" w:type="dxa"/>
            <w:vAlign w:val="bottom"/>
            <w:gridSpan w:val="2"/>
          </w:tcPr>
          <w:p>
            <w:pPr>
              <w:jc w:val="right"/>
              <w:ind w:right="57"/>
              <w:spacing w:after="0"/>
              <w:rPr>
                <w:sz w:val="20"/>
                <w:szCs w:val="20"/>
                <w:color w:val="auto"/>
              </w:rPr>
            </w:pPr>
            <w:r>
              <w:rPr>
                <w:rFonts w:ascii="Arial" w:cs="Arial" w:eastAsia="Arial" w:hAnsi="Arial"/>
                <w:sz w:val="14"/>
                <w:szCs w:val="14"/>
                <w:color w:val="auto"/>
              </w:rPr>
              <w:t>4,648</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1,368</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4,676</w:t>
            </w:r>
          </w:p>
        </w:tc>
        <w:tc>
          <w:tcPr>
            <w:tcW w:w="10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6,044</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3,298</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1922</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9/17/1997</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HOLLYWOOD</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3/22/99 &amp;</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BLVD (California)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8,300</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16,920</w:t>
            </w:r>
          </w:p>
        </w:tc>
        <w:tc>
          <w:tcPr>
            <w:tcW w:w="90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21,719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8,370</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38,569</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46,939</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14,755</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1929/1991</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6/18/99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12/12/88,</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HUNTINGTON</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10/26/07, &amp;</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(New York)</w:t>
            </w:r>
          </w:p>
        </w:tc>
        <w:tc>
          <w:tcPr>
            <w:tcW w:w="520" w:type="dxa"/>
            <w:vAlign w:val="bottom"/>
          </w:tcPr>
          <w:p>
            <w:pPr>
              <w:ind w:left="140"/>
              <w:spacing w:after="0"/>
              <w:rPr>
                <w:sz w:val="20"/>
                <w:szCs w:val="20"/>
                <w:color w:val="auto"/>
              </w:rPr>
            </w:pPr>
            <w:r>
              <w:rPr>
                <w:rFonts w:ascii="Arial" w:cs="Arial" w:eastAsia="Arial" w:hAnsi="Arial"/>
                <w:sz w:val="14"/>
                <w:szCs w:val="14"/>
                <w:color w:val="auto"/>
              </w:rPr>
              <w:t>NY</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12,194</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16,008</w:t>
            </w:r>
          </w:p>
        </w:tc>
        <w:tc>
          <w:tcPr>
            <w:tcW w:w="900" w:type="dxa"/>
            <w:vAlign w:val="bottom"/>
            <w:gridSpan w:val="2"/>
          </w:tcPr>
          <w:p>
            <w:pPr>
              <w:jc w:val="right"/>
              <w:ind w:right="57"/>
              <w:spacing w:after="0"/>
              <w:rPr>
                <w:sz w:val="20"/>
                <w:szCs w:val="20"/>
                <w:color w:val="auto"/>
              </w:rPr>
            </w:pPr>
            <w:r>
              <w:rPr>
                <w:rFonts w:ascii="Arial" w:cs="Arial" w:eastAsia="Arial" w:hAnsi="Arial"/>
                <w:sz w:val="14"/>
                <w:szCs w:val="14"/>
                <w:color w:val="auto"/>
              </w:rPr>
              <w:t>19,144</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12,194</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35,152</w:t>
            </w:r>
          </w:p>
        </w:tc>
        <w:tc>
          <w:tcPr>
            <w:tcW w:w="10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47,346</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15,825</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1962</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11/24/15</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HUNTINGTON</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SQUARE (New</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1980/2004-</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York)</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NY</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10,075</w:t>
            </w:r>
          </w:p>
        </w:tc>
        <w:tc>
          <w:tcPr>
            <w:tcW w:w="90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2,106</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12,181</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12,181</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3,317</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8/16/2010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IDYLWOOD</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PLAZA (Virginia)</w:t>
            </w:r>
          </w:p>
        </w:tc>
        <w:tc>
          <w:tcPr>
            <w:tcW w:w="520" w:type="dxa"/>
            <w:vAlign w:val="bottom"/>
          </w:tcPr>
          <w:p>
            <w:pPr>
              <w:ind w:left="140"/>
              <w:spacing w:after="0"/>
              <w:rPr>
                <w:sz w:val="20"/>
                <w:szCs w:val="20"/>
                <w:color w:val="auto"/>
              </w:rPr>
            </w:pPr>
            <w:r>
              <w:rPr>
                <w:rFonts w:ascii="Arial" w:cs="Arial" w:eastAsia="Arial" w:hAnsi="Arial"/>
                <w:sz w:val="14"/>
                <w:szCs w:val="14"/>
                <w:color w:val="auto"/>
              </w:rPr>
              <w:t>VA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4,308</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10,026</w:t>
            </w:r>
          </w:p>
        </w:tc>
        <w:tc>
          <w:tcPr>
            <w:tcW w:w="900" w:type="dxa"/>
            <w:vAlign w:val="bottom"/>
            <w:gridSpan w:val="2"/>
          </w:tcPr>
          <w:p>
            <w:pPr>
              <w:jc w:val="right"/>
              <w:ind w:right="57"/>
              <w:spacing w:after="0"/>
              <w:rPr>
                <w:sz w:val="20"/>
                <w:szCs w:val="20"/>
                <w:color w:val="auto"/>
              </w:rPr>
            </w:pPr>
            <w:r>
              <w:rPr>
                <w:rFonts w:ascii="Arial" w:cs="Arial" w:eastAsia="Arial" w:hAnsi="Arial"/>
                <w:sz w:val="14"/>
                <w:szCs w:val="14"/>
                <w:color w:val="auto"/>
              </w:rPr>
              <w:t>2,579</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4,308</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12,605</w:t>
            </w:r>
          </w:p>
        </w:tc>
        <w:tc>
          <w:tcPr>
            <w:tcW w:w="10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16,913</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8,928</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1991</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4/15/1994</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KINGS COURT</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10,714</w:t>
            </w:r>
          </w:p>
        </w:tc>
        <w:tc>
          <w:tcPr>
            <w:tcW w:w="90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954</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11,668</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11,668</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8,776</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8/24/1998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26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LANCASTER</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(Pennsylvania)</w:t>
            </w:r>
          </w:p>
        </w:tc>
        <w:tc>
          <w:tcPr>
            <w:tcW w:w="520" w:type="dxa"/>
            <w:vAlign w:val="bottom"/>
          </w:tcPr>
          <w:p>
            <w:pPr>
              <w:ind w:left="140"/>
              <w:spacing w:after="0"/>
              <w:rPr>
                <w:sz w:val="20"/>
                <w:szCs w:val="20"/>
                <w:color w:val="auto"/>
              </w:rPr>
            </w:pPr>
            <w:r>
              <w:rPr>
                <w:rFonts w:ascii="Arial" w:cs="Arial" w:eastAsia="Arial" w:hAnsi="Arial"/>
                <w:sz w:val="14"/>
                <w:szCs w:val="14"/>
                <w:color w:val="auto"/>
              </w:rPr>
              <w:t>PA</w:t>
            </w:r>
          </w:p>
        </w:tc>
        <w:tc>
          <w:tcPr>
            <w:tcW w:w="780" w:type="dxa"/>
            <w:vAlign w:val="bottom"/>
          </w:tcPr>
          <w:p>
            <w:pPr>
              <w:jc w:val="right"/>
              <w:ind w:right="34"/>
              <w:spacing w:after="0"/>
              <w:rPr>
                <w:sz w:val="20"/>
                <w:szCs w:val="20"/>
                <w:color w:val="auto"/>
              </w:rPr>
            </w:pPr>
            <w:r>
              <w:rPr>
                <w:rFonts w:ascii="Arial" w:cs="Arial" w:eastAsia="Arial" w:hAnsi="Arial"/>
                <w:sz w:val="14"/>
                <w:szCs w:val="14"/>
                <w:color w:val="auto"/>
              </w:rPr>
              <w:t>4,907</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2,103</w:t>
            </w:r>
          </w:p>
        </w:tc>
        <w:tc>
          <w:tcPr>
            <w:tcW w:w="900" w:type="dxa"/>
            <w:vAlign w:val="bottom"/>
            <w:gridSpan w:val="2"/>
          </w:tcPr>
          <w:p>
            <w:pPr>
              <w:jc w:val="right"/>
              <w:ind w:right="57"/>
              <w:spacing w:after="0"/>
              <w:rPr>
                <w:sz w:val="20"/>
                <w:szCs w:val="20"/>
                <w:color w:val="auto"/>
              </w:rPr>
            </w:pPr>
            <w:r>
              <w:rPr>
                <w:rFonts w:ascii="Arial" w:cs="Arial" w:eastAsia="Arial" w:hAnsi="Arial"/>
                <w:sz w:val="14"/>
                <w:szCs w:val="14"/>
                <w:color w:val="auto"/>
              </w:rPr>
              <w:t>12,010</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14,038</w:t>
            </w:r>
          </w:p>
        </w:tc>
        <w:tc>
          <w:tcPr>
            <w:tcW w:w="10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14,113</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8,212</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1958</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4/24/1980</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22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LANGHORNE</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SQUARE</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(Pennsylvania)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720</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2,974</w:t>
            </w:r>
          </w:p>
        </w:tc>
        <w:tc>
          <w:tcPr>
            <w:tcW w:w="90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18,432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720</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21,406</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22,126</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15,170</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1966</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1/31/1985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6" w:right="239" w:bottom="1440" w:gutter="0" w:footer="0" w:header="0"/>
        </w:sectPr>
      </w:pPr>
    </w:p>
    <w:bookmarkStart w:id="91" w:name="page92"/>
    <w:bookmarkEnd w:id="91"/>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80" w:type="dxa"/>
            <w:vAlign w:val="bottom"/>
          </w:tcPr>
          <w:p>
            <w:pPr>
              <w:ind w:left="40"/>
              <w:spacing w:after="0"/>
              <w:rPr>
                <w:sz w:val="20"/>
                <w:szCs w:val="20"/>
                <w:color w:val="auto"/>
              </w:rPr>
            </w:pPr>
            <w:r>
              <w:rPr>
                <w:rFonts w:ascii="Arial" w:cs="Arial" w:eastAsia="Arial" w:hAnsi="Arial"/>
                <w:sz w:val="13"/>
                <w:szCs w:val="13"/>
                <w:b w:val="1"/>
                <w:bCs w:val="1"/>
                <w:color w:val="auto"/>
              </w:rPr>
              <w:t>COLUMN A</w:t>
            </w:r>
          </w:p>
        </w:tc>
        <w:tc>
          <w:tcPr>
            <w:tcW w:w="5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B</w:t>
            </w: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COLUMN D</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COLUMN E</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COLUMN F</w:t>
            </w:r>
          </w:p>
        </w:tc>
        <w:tc>
          <w:tcPr>
            <w:tcW w:w="14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COLUMN G</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COLUMN H</w:t>
            </w:r>
          </w:p>
        </w:tc>
        <w:tc>
          <w:tcPr>
            <w:tcW w:w="720" w:type="dxa"/>
            <w:vAlign w:val="bottom"/>
          </w:tcPr>
          <w:p>
            <w:pPr>
              <w:ind w:left="2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44"/>
        </w:trPr>
        <w:tc>
          <w:tcPr>
            <w:tcW w:w="118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gridSpan w:val="6"/>
            <w:vMerge w:val="restart"/>
          </w:tcPr>
          <w:p>
            <w:pPr>
              <w:jc w:val="center"/>
              <w:ind w:right="60"/>
              <w:spacing w:after="0"/>
              <w:rPr>
                <w:sz w:val="20"/>
                <w:szCs w:val="20"/>
                <w:color w:val="auto"/>
              </w:rPr>
            </w:pPr>
            <w:r>
              <w:rPr>
                <w:rFonts w:ascii="Arial" w:cs="Arial" w:eastAsia="Arial" w:hAnsi="Arial"/>
                <w:sz w:val="13"/>
                <w:szCs w:val="13"/>
                <w:b w:val="1"/>
                <w:bCs w:val="1"/>
                <w:color w:val="auto"/>
                <w:w w:val="87"/>
              </w:rPr>
              <w:t>Gross amount at which carried at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26"/>
        </w:trPr>
        <w:tc>
          <w:tcPr>
            <w:tcW w:w="1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80" w:type="dxa"/>
            <w:vAlign w:val="bottom"/>
            <w:gridSpan w:val="6"/>
            <w:vMerge w:val="continue"/>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6"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Borders>
              <w:bottom w:val="single" w:sz="8" w:color="auto"/>
            </w:tcBorders>
            <w:gridSpan w:val="3"/>
          </w:tcPr>
          <w:p>
            <w:pPr>
              <w:ind w:left="240"/>
              <w:spacing w:after="0" w:line="149" w:lineRule="exact"/>
              <w:rPr>
                <w:sz w:val="20"/>
                <w:szCs w:val="20"/>
                <w:color w:val="auto"/>
              </w:rPr>
            </w:pPr>
            <w:r>
              <w:rPr>
                <w:rFonts w:ascii="Arial" w:cs="Arial" w:eastAsia="Arial" w:hAnsi="Arial"/>
                <w:sz w:val="13"/>
                <w:szCs w:val="13"/>
                <w:b w:val="1"/>
                <w:bCs w:val="1"/>
                <w:color w:val="auto"/>
              </w:rPr>
              <w:t>Initial cost to company</w:t>
            </w:r>
          </w:p>
        </w:tc>
        <w:tc>
          <w:tcPr>
            <w:tcW w:w="10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3"/>
                <w:szCs w:val="13"/>
                <w:b w:val="1"/>
                <w:bCs w:val="1"/>
                <w:color w:val="auto"/>
                <w:w w:val="82"/>
              </w:rPr>
              <w:t>Cost</w:t>
            </w:r>
          </w:p>
        </w:tc>
        <w:tc>
          <w:tcPr>
            <w:tcW w:w="7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center"/>
              <w:ind w:right="240"/>
              <w:spacing w:after="0" w:line="149" w:lineRule="exact"/>
              <w:rPr>
                <w:sz w:val="20"/>
                <w:szCs w:val="20"/>
                <w:color w:val="auto"/>
              </w:rPr>
            </w:pPr>
            <w:r>
              <w:rPr>
                <w:rFonts w:ascii="Arial" w:cs="Arial" w:eastAsia="Arial" w:hAnsi="Arial"/>
                <w:sz w:val="13"/>
                <w:szCs w:val="13"/>
                <w:b w:val="1"/>
                <w:bCs w:val="1"/>
                <w:color w:val="auto"/>
                <w:w w:val="84"/>
              </w:rPr>
              <w:t>close of period</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3"/>
                <w:szCs w:val="13"/>
                <w:b w:val="1"/>
                <w:bCs w:val="1"/>
                <w:color w:val="auto"/>
                <w:w w:val="85"/>
              </w:rPr>
              <w:t>in latest</w:t>
            </w: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80"/>
              <w:spacing w:after="0" w:line="110" w:lineRule="exact"/>
              <w:rPr>
                <w:sz w:val="20"/>
                <w:szCs w:val="20"/>
                <w:color w:val="auto"/>
              </w:rPr>
            </w:pPr>
            <w:r>
              <w:rPr>
                <w:rFonts w:ascii="Arial" w:cs="Arial" w:eastAsia="Arial" w:hAnsi="Arial"/>
                <w:sz w:val="12"/>
                <w:szCs w:val="12"/>
                <w:b w:val="1"/>
                <w:bCs w:val="1"/>
                <w:color w:val="auto"/>
                <w:w w:val="97"/>
              </w:rPr>
              <w:t>Capitalized</w:t>
            </w: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w w:val="92"/>
              </w:rPr>
              <w:t>Accumulated</w:t>
            </w: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0"/>
              </w:rPr>
              <w:t>income</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3"/>
              </w:rPr>
              <w:t>Subsequent</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Depreciation</w:t>
            </w: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Date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statements</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Building and</w:t>
            </w:r>
          </w:p>
        </w:tc>
        <w:tc>
          <w:tcPr>
            <w:tcW w:w="100" w:type="dxa"/>
            <w:vAlign w:val="bottom"/>
          </w:tcPr>
          <w:p>
            <w:pPr>
              <w:spacing w:after="0"/>
              <w:rPr>
                <w:sz w:val="11"/>
                <w:szCs w:val="11"/>
                <w:color w:val="auto"/>
              </w:rPr>
            </w:pPr>
          </w:p>
        </w:tc>
        <w:tc>
          <w:tcPr>
            <w:tcW w:w="8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1"/>
              </w:rPr>
              <w:t>to</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and</w:t>
            </w: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1"/>
              </w:rPr>
              <w:t>of</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Date</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73"/>
              </w:rPr>
              <w:t>is</w:t>
            </w:r>
          </w:p>
        </w:tc>
        <w:tc>
          <w:tcPr>
            <w:tcW w:w="0" w:type="dxa"/>
            <w:vAlign w:val="bottom"/>
          </w:tcPr>
          <w:p>
            <w:pPr>
              <w:spacing w:after="0"/>
              <w:rPr>
                <w:sz w:val="1"/>
                <w:szCs w:val="1"/>
                <w:color w:val="auto"/>
              </w:rPr>
            </w:pPr>
          </w:p>
        </w:tc>
      </w:tr>
      <w:tr>
        <w:trPr>
          <w:trHeight w:val="174"/>
        </w:trPr>
        <w:tc>
          <w:tcPr>
            <w:tcW w:w="1180" w:type="dxa"/>
            <w:vAlign w:val="bottom"/>
          </w:tcPr>
          <w:p>
            <w:pPr>
              <w:ind w:left="40"/>
              <w:spacing w:after="0"/>
              <w:rPr>
                <w:sz w:val="20"/>
                <w:szCs w:val="20"/>
                <w:color w:val="auto"/>
              </w:rPr>
            </w:pPr>
            <w:r>
              <w:rPr>
                <w:rFonts w:ascii="Arial" w:cs="Arial" w:eastAsia="Arial" w:hAnsi="Arial"/>
                <w:sz w:val="13"/>
                <w:szCs w:val="13"/>
                <w:b w:val="1"/>
                <w:bCs w:val="1"/>
                <w:color w:val="auto"/>
              </w:rPr>
              <w:t>Descriptions</w:t>
            </w:r>
          </w:p>
        </w:tc>
        <w:tc>
          <w:tcPr>
            <w:tcW w:w="5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Encumbrance</w:t>
            </w:r>
          </w:p>
        </w:tc>
        <w:tc>
          <w:tcPr>
            <w:tcW w:w="860" w:type="dxa"/>
            <w:vAlign w:val="bottom"/>
            <w:gridSpan w:val="2"/>
          </w:tcPr>
          <w:p>
            <w:pPr>
              <w:ind w:left="240"/>
              <w:spacing w:after="0"/>
              <w:rPr>
                <w:sz w:val="20"/>
                <w:szCs w:val="20"/>
                <w:color w:val="auto"/>
              </w:rPr>
            </w:pPr>
            <w:r>
              <w:rPr>
                <w:rFonts w:ascii="Arial" w:cs="Arial" w:eastAsia="Arial" w:hAnsi="Arial"/>
                <w:sz w:val="13"/>
                <w:szCs w:val="13"/>
                <w:b w:val="1"/>
                <w:bCs w:val="1"/>
                <w:color w:val="auto"/>
              </w:rPr>
              <w:t>Land</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9"/>
              </w:rPr>
              <w:t>Improvements</w:t>
            </w:r>
          </w:p>
        </w:tc>
        <w:tc>
          <w:tcPr>
            <w:tcW w:w="100" w:type="dxa"/>
            <w:vAlign w:val="bottom"/>
          </w:tcPr>
          <w:p>
            <w:pPr>
              <w:spacing w:after="0"/>
              <w:rPr>
                <w:sz w:val="15"/>
                <w:szCs w:val="15"/>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Acquisition</w:t>
            </w:r>
          </w:p>
        </w:tc>
        <w:tc>
          <w:tcPr>
            <w:tcW w:w="760" w:type="dxa"/>
            <w:vAlign w:val="bottom"/>
          </w:tcPr>
          <w:p>
            <w:pPr>
              <w:jc w:val="right"/>
              <w:ind w:right="169"/>
              <w:spacing w:after="0"/>
              <w:rPr>
                <w:sz w:val="20"/>
                <w:szCs w:val="20"/>
                <w:color w:val="auto"/>
              </w:rPr>
            </w:pPr>
            <w:r>
              <w:rPr>
                <w:rFonts w:ascii="Arial" w:cs="Arial" w:eastAsia="Arial" w:hAnsi="Arial"/>
                <w:sz w:val="13"/>
                <w:szCs w:val="13"/>
                <w:b w:val="1"/>
                <w:bCs w:val="1"/>
                <w:color w:val="auto"/>
              </w:rPr>
              <w:t>Land</w:t>
            </w:r>
          </w:p>
        </w:tc>
        <w:tc>
          <w:tcPr>
            <w:tcW w:w="120" w:type="dxa"/>
            <w:vAlign w:val="bottom"/>
          </w:tcPr>
          <w:p>
            <w:pPr>
              <w:spacing w:after="0"/>
              <w:rPr>
                <w:sz w:val="15"/>
                <w:szCs w:val="15"/>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Improvements</w:t>
            </w:r>
          </w:p>
        </w:tc>
        <w:tc>
          <w:tcPr>
            <w:tcW w:w="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3"/>
              </w:rPr>
              <w:t>Total</w:t>
            </w: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Amortization</w:t>
            </w:r>
          </w:p>
        </w:tc>
        <w:tc>
          <w:tcPr>
            <w:tcW w:w="14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Construction</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Acquired</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57"/>
        </w:trPr>
        <w:tc>
          <w:tcPr>
            <w:tcW w:w="1180" w:type="dxa"/>
            <w:vAlign w:val="bottom"/>
            <w:tcBorders>
              <w:top w:val="single" w:sz="8" w:color="auto"/>
            </w:tcBorders>
          </w:tcPr>
          <w:p>
            <w:pPr>
              <w:ind w:left="40"/>
              <w:spacing w:after="0" w:line="157" w:lineRule="exact"/>
              <w:rPr>
                <w:sz w:val="20"/>
                <w:szCs w:val="20"/>
                <w:color w:val="auto"/>
              </w:rPr>
            </w:pPr>
            <w:r>
              <w:rPr>
                <w:rFonts w:ascii="Arial" w:cs="Arial" w:eastAsia="Arial" w:hAnsi="Arial"/>
                <w:sz w:val="14"/>
                <w:szCs w:val="14"/>
                <w:color w:val="auto"/>
              </w:rPr>
              <w:t>LAUREL</w:t>
            </w:r>
          </w:p>
        </w:tc>
        <w:tc>
          <w:tcPr>
            <w:tcW w:w="5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tcPr>
          <w:p>
            <w:pPr>
              <w:ind w:left="140"/>
              <w:spacing w:after="0"/>
              <w:rPr>
                <w:sz w:val="20"/>
                <w:szCs w:val="20"/>
                <w:color w:val="auto"/>
              </w:rPr>
            </w:pPr>
            <w:r>
              <w:rPr>
                <w:rFonts w:ascii="Arial" w:cs="Arial" w:eastAsia="Arial" w:hAnsi="Arial"/>
                <w:sz w:val="14"/>
                <w:szCs w:val="14"/>
                <w:color w:val="auto"/>
              </w:rPr>
              <w:t>MD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7,458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22,525</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27,344</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7,464</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49,863</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57,327</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37,461</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1956</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8/15/1986</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LAWRENCE</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PARK</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7/23/1980</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(Pennsylvania)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6,150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8,491</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20,524</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6,161</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29,004</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35,165</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24,693</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&amp; 4/3/17</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22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LEESBURG</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PLAZA (Virginia)</w:t>
            </w:r>
          </w:p>
        </w:tc>
        <w:tc>
          <w:tcPr>
            <w:tcW w:w="520" w:type="dxa"/>
            <w:vAlign w:val="bottom"/>
          </w:tcPr>
          <w:p>
            <w:pPr>
              <w:ind w:left="140"/>
              <w:spacing w:after="0"/>
              <w:rPr>
                <w:sz w:val="20"/>
                <w:szCs w:val="20"/>
                <w:color w:val="auto"/>
              </w:rPr>
            </w:pPr>
            <w:r>
              <w:rPr>
                <w:rFonts w:ascii="Arial" w:cs="Arial" w:eastAsia="Arial" w:hAnsi="Arial"/>
                <w:sz w:val="14"/>
                <w:szCs w:val="14"/>
                <w:color w:val="auto"/>
              </w:rPr>
              <w:t>VA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8,184</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10,722</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17,582</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8,184</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28,304</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36,488</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14,689</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1967</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9/15/1998</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LINDEN</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SQUARE</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(Massachusetts)</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79,382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19,247</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50,074</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79,347</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69,356</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0"/>
              </w:rPr>
              <w:t>148,703</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22,208</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1960-2008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8/24/2006</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MELVILLE</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MALL (New</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York)</w:t>
            </w:r>
          </w:p>
        </w:tc>
        <w:tc>
          <w:tcPr>
            <w:tcW w:w="520" w:type="dxa"/>
            <w:vAlign w:val="bottom"/>
          </w:tcPr>
          <w:p>
            <w:pPr>
              <w:ind w:left="140"/>
              <w:spacing w:after="0"/>
              <w:rPr>
                <w:sz w:val="20"/>
                <w:szCs w:val="20"/>
                <w:color w:val="auto"/>
              </w:rPr>
            </w:pPr>
            <w:r>
              <w:rPr>
                <w:rFonts w:ascii="Arial" w:cs="Arial" w:eastAsia="Arial" w:hAnsi="Arial"/>
                <w:sz w:val="14"/>
                <w:szCs w:val="14"/>
                <w:color w:val="auto"/>
              </w:rPr>
              <w:t>NY</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35,622</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32,882</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20,096</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35,622</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52,978</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88,600</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12,458</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1974</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10/16/2006</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MERCER MALL</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10/14/03 &amp;</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25 - 35</w:t>
            </w: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Jersey)</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NJ</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55,548</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29,738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51,047</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45,957</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29,738</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97,004</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0"/>
              </w:rPr>
              <w:t>126,742</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41,330</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1/31/17</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MONTROSE</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CROSSING</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1960s, 1970s, 1996 &amp;</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12/27/11 &amp;</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tcPr>
          <w:p>
            <w:pPr>
              <w:ind w:left="140"/>
              <w:spacing w:after="0"/>
              <w:rPr>
                <w:sz w:val="20"/>
                <w:szCs w:val="20"/>
                <w:color w:val="auto"/>
              </w:rPr>
            </w:pPr>
            <w:r>
              <w:rPr>
                <w:rFonts w:ascii="Arial" w:cs="Arial" w:eastAsia="Arial" w:hAnsi="Arial"/>
                <w:sz w:val="14"/>
                <w:szCs w:val="14"/>
                <w:color w:val="auto"/>
              </w:rPr>
              <w:t>MD</w:t>
            </w: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71,054</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48,624</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91,819</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19,678</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48,624</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111,497</w:t>
            </w:r>
          </w:p>
        </w:tc>
        <w:tc>
          <w:tcPr>
            <w:tcW w:w="100" w:type="dxa"/>
            <w:vAlign w:val="bottom"/>
          </w:tcPr>
          <w:p>
            <w:pPr>
              <w:spacing w:after="0"/>
              <w:rPr>
                <w:sz w:val="16"/>
                <w:szCs w:val="16"/>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4"/>
                <w:szCs w:val="14"/>
                <w:color w:val="auto"/>
                <w:w w:val="90"/>
              </w:rPr>
              <w:t>160,121</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24,840</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12/19/13</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MOUNT</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9"/>
              </w:rPr>
              <w:t>VERNON/SOUTH</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VALLEY/7770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3/31/03,</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RICHMOND</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3/21/03, &amp;</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HWY. (Virginia)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10,068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33,501</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41,132</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10,230</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74,471</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84,701</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34,011</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1966/1972/1987/2001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1/27/06</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NORTH</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DARTMOUTH</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(Massachusetts)</w:t>
            </w:r>
          </w:p>
        </w:tc>
        <w:tc>
          <w:tcPr>
            <w:tcW w:w="520" w:type="dxa"/>
            <w:vAlign w:val="bottom"/>
          </w:tcPr>
          <w:p>
            <w:pPr>
              <w:ind w:left="140"/>
              <w:spacing w:after="0"/>
              <w:rPr>
                <w:sz w:val="20"/>
                <w:szCs w:val="20"/>
                <w:color w:val="auto"/>
              </w:rPr>
            </w:pPr>
            <w:r>
              <w:rPr>
                <w:rFonts w:ascii="Arial" w:cs="Arial" w:eastAsia="Arial" w:hAnsi="Arial"/>
                <w:sz w:val="14"/>
                <w:szCs w:val="14"/>
                <w:color w:val="auto"/>
              </w:rPr>
              <w:t>MA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9,366</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9,366</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9,369</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8/24/2006</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NORTHEAST</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(Pennsylvania)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1,152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10,596</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18,679</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1,153</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29,274</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30,427</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20,496</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8/30/1983</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OLD KEENE</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MILL (Virginia)</w:t>
            </w:r>
          </w:p>
        </w:tc>
        <w:tc>
          <w:tcPr>
            <w:tcW w:w="520" w:type="dxa"/>
            <w:vAlign w:val="bottom"/>
          </w:tcPr>
          <w:p>
            <w:pPr>
              <w:ind w:left="140"/>
              <w:spacing w:after="0"/>
              <w:rPr>
                <w:sz w:val="20"/>
                <w:szCs w:val="20"/>
                <w:color w:val="auto"/>
              </w:rPr>
            </w:pPr>
            <w:r>
              <w:rPr>
                <w:rFonts w:ascii="Arial" w:cs="Arial" w:eastAsia="Arial" w:hAnsi="Arial"/>
                <w:sz w:val="14"/>
                <w:szCs w:val="14"/>
                <w:color w:val="auto"/>
              </w:rPr>
              <w:t>VA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638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998</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6,212</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638</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7,210</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7,848</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5,418</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1968</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6/15/1976</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w w:val="92"/>
              </w:rPr>
              <w:t>33.33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OLD TOWN</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CENTER</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3,420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2,765</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30,997</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3,420</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33,762</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37,182</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21,217</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1962, 1997-1998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10/22/1997</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OLIVO AT</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MISSION HILLS</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tcPr>
          <w:p>
            <w:pPr>
              <w:ind w:left="140"/>
              <w:spacing w:after="0"/>
              <w:rPr>
                <w:sz w:val="20"/>
                <w:szCs w:val="20"/>
                <w:color w:val="auto"/>
              </w:rPr>
            </w:pPr>
            <w:r>
              <w:rPr>
                <w:rFonts w:ascii="Arial" w:cs="Arial" w:eastAsia="Arial" w:hAnsi="Arial"/>
                <w:sz w:val="14"/>
                <w:szCs w:val="14"/>
                <w:color w:val="auto"/>
              </w:rPr>
              <w:t>CA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15,048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46,732</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10,358</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15,048</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57,090</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72,138</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8/2/2017</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PAN AM</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8,694</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12,929</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7,610</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8,695</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20,538</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29,233</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15,159</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2/5/1993</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PENTAGON</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1998 &amp;</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ROW (Virginia)</w:t>
            </w:r>
          </w:p>
        </w:tc>
        <w:tc>
          <w:tcPr>
            <w:tcW w:w="520" w:type="dxa"/>
            <w:vAlign w:val="bottom"/>
          </w:tcPr>
          <w:p>
            <w:pPr>
              <w:ind w:left="140"/>
              <w:spacing w:after="0"/>
              <w:rPr>
                <w:sz w:val="20"/>
                <w:szCs w:val="20"/>
                <w:color w:val="auto"/>
              </w:rPr>
            </w:pPr>
            <w:r>
              <w:rPr>
                <w:rFonts w:ascii="Arial" w:cs="Arial" w:eastAsia="Arial" w:hAnsi="Arial"/>
                <w:sz w:val="14"/>
                <w:szCs w:val="14"/>
                <w:color w:val="auto"/>
              </w:rPr>
              <w:t>VA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2,955</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100,369</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103,324</w:t>
            </w:r>
          </w:p>
        </w:tc>
        <w:tc>
          <w:tcPr>
            <w:tcW w:w="100" w:type="dxa"/>
            <w:vAlign w:val="bottom"/>
          </w:tcPr>
          <w:p>
            <w:pPr>
              <w:spacing w:after="0"/>
              <w:rPr>
                <w:sz w:val="16"/>
                <w:szCs w:val="16"/>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4"/>
                <w:szCs w:val="14"/>
                <w:color w:val="auto"/>
                <w:w w:val="90"/>
              </w:rPr>
              <w:t>103,324</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46,051</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1999 - 2002</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11/22/10</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PERRING PLAZA</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2,800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6,461</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21,836</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2,800</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28,297</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31,097</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23,112</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10/1/1985</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5/18/82,</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PIKE &amp; ROSE</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10/26/07, &amp;</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tcPr>
          <w:p>
            <w:pPr>
              <w:ind w:left="140"/>
              <w:spacing w:after="0"/>
              <w:rPr>
                <w:sz w:val="20"/>
                <w:szCs w:val="20"/>
                <w:color w:val="auto"/>
              </w:rPr>
            </w:pPr>
            <w:r>
              <w:rPr>
                <w:rFonts w:ascii="Arial" w:cs="Arial" w:eastAsia="Arial" w:hAnsi="Arial"/>
                <w:sz w:val="14"/>
                <w:szCs w:val="14"/>
                <w:color w:val="auto"/>
              </w:rPr>
              <w:t>MD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31,471</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10,335</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543,484</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29,903</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555,387</w:t>
            </w:r>
          </w:p>
        </w:tc>
        <w:tc>
          <w:tcPr>
            <w:tcW w:w="100" w:type="dxa"/>
            <w:vAlign w:val="bottom"/>
          </w:tcPr>
          <w:p>
            <w:pPr>
              <w:spacing w:after="0"/>
              <w:rPr>
                <w:sz w:val="16"/>
                <w:szCs w:val="16"/>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4"/>
                <w:szCs w:val="14"/>
                <w:color w:val="auto"/>
                <w:w w:val="90"/>
              </w:rPr>
              <w:t>585,290</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23,148</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1963, 2012-2017</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7/31/12</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50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PIKE 7 PLAZA</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3/31/97 &amp;</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14,970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22,799</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6,929</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14,914</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29,784</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44,698</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16,745</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7/8/15</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520"/>
          </w:cols>
          <w:pgMar w:left="240" w:top="126" w:right="139" w:bottom="1440" w:gutter="0" w:footer="0" w:header="0"/>
        </w:sectPr>
      </w:pPr>
    </w:p>
    <w:bookmarkStart w:id="92" w:name="page93"/>
    <w:bookmarkEnd w:id="92"/>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40" w:type="dxa"/>
            <w:vAlign w:val="bottom"/>
          </w:tcPr>
          <w:p>
            <w:pPr>
              <w:ind w:left="40"/>
              <w:spacing w:after="0"/>
              <w:rPr>
                <w:sz w:val="20"/>
                <w:szCs w:val="20"/>
                <w:color w:val="auto"/>
              </w:rPr>
            </w:pPr>
            <w:r>
              <w:rPr>
                <w:rFonts w:ascii="Arial" w:cs="Arial" w:eastAsia="Arial" w:hAnsi="Arial"/>
                <w:sz w:val="13"/>
                <w:szCs w:val="13"/>
                <w:b w:val="1"/>
                <w:bCs w:val="1"/>
                <w:color w:val="auto"/>
              </w:rPr>
              <w:t>COLUMN A</w:t>
            </w:r>
          </w:p>
        </w:tc>
        <w:tc>
          <w:tcPr>
            <w:tcW w:w="52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B</w:t>
            </w: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C</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COLUMN D</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COLUMN E</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F</w:t>
            </w: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COLUMN G</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COLUMN H</w:t>
            </w:r>
          </w:p>
        </w:tc>
        <w:tc>
          <w:tcPr>
            <w:tcW w:w="760" w:type="dxa"/>
            <w:vAlign w:val="bottom"/>
          </w:tcPr>
          <w:p>
            <w:pPr>
              <w:ind w:left="2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44"/>
        </w:trPr>
        <w:tc>
          <w:tcPr>
            <w:tcW w:w="11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93"/>
              </w:rPr>
              <w:t>Life on</w:t>
            </w: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gridSpan w:val="5"/>
          </w:tcPr>
          <w:p>
            <w:pPr>
              <w:jc w:val="center"/>
              <w:spacing w:after="0"/>
              <w:rPr>
                <w:sz w:val="20"/>
                <w:szCs w:val="20"/>
                <w:color w:val="auto"/>
              </w:rPr>
            </w:pPr>
            <w:r>
              <w:rPr>
                <w:rFonts w:ascii="Arial" w:cs="Arial" w:eastAsia="Arial" w:hAnsi="Arial"/>
                <w:sz w:val="13"/>
                <w:szCs w:val="13"/>
                <w:b w:val="1"/>
                <w:bCs w:val="1"/>
                <w:color w:val="auto"/>
                <w:w w:val="87"/>
              </w:rPr>
              <w:t>Gross amount at which carried at</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3"/>
          </w:tcPr>
          <w:p>
            <w:pPr>
              <w:ind w:left="240"/>
              <w:spacing w:after="0" w:line="135" w:lineRule="exact"/>
              <w:rPr>
                <w:sz w:val="20"/>
                <w:szCs w:val="20"/>
                <w:color w:val="auto"/>
              </w:rPr>
            </w:pPr>
            <w:r>
              <w:rPr>
                <w:rFonts w:ascii="Arial" w:cs="Arial" w:eastAsia="Arial" w:hAnsi="Arial"/>
                <w:sz w:val="13"/>
                <w:szCs w:val="13"/>
                <w:b w:val="1"/>
                <w:bCs w:val="1"/>
                <w:color w:val="auto"/>
              </w:rPr>
              <w:t>Initial cost to company</w:t>
            </w:r>
          </w:p>
        </w:tc>
        <w:tc>
          <w:tcPr>
            <w:tcW w:w="120" w:type="dxa"/>
            <w:vAlign w:val="bottom"/>
          </w:tcPr>
          <w:p>
            <w:pPr>
              <w:spacing w:after="0"/>
              <w:rPr>
                <w:sz w:val="11"/>
                <w:szCs w:val="11"/>
                <w:color w:val="auto"/>
              </w:rPr>
            </w:pPr>
          </w:p>
        </w:tc>
        <w:tc>
          <w:tcPr>
            <w:tcW w:w="8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Cost</w:t>
            </w:r>
          </w:p>
        </w:tc>
        <w:tc>
          <w:tcPr>
            <w:tcW w:w="780" w:type="dxa"/>
            <w:vAlign w:val="bottom"/>
          </w:tcPr>
          <w:p>
            <w:pPr>
              <w:spacing w:after="0"/>
              <w:rPr>
                <w:sz w:val="11"/>
                <w:szCs w:val="11"/>
                <w:color w:val="auto"/>
              </w:rPr>
            </w:pPr>
          </w:p>
        </w:tc>
        <w:tc>
          <w:tcPr>
            <w:tcW w:w="10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close of period</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90"/>
              </w:rPr>
              <w:t>depreciation</w:t>
            </w: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860" w:type="dxa"/>
            <w:vAlign w:val="bottom"/>
            <w:gridSpan w:val="2"/>
            <w:vMerge w:val="restart"/>
          </w:tcPr>
          <w:p>
            <w:pPr>
              <w:jc w:val="center"/>
              <w:ind w:right="120"/>
              <w:spacing w:after="0" w:line="117" w:lineRule="exact"/>
              <w:rPr>
                <w:sz w:val="20"/>
                <w:szCs w:val="20"/>
                <w:color w:val="auto"/>
              </w:rPr>
            </w:pPr>
            <w:r>
              <w:rPr>
                <w:rFonts w:ascii="Arial" w:cs="Arial" w:eastAsia="Arial" w:hAnsi="Arial"/>
                <w:sz w:val="13"/>
                <w:szCs w:val="13"/>
                <w:b w:val="1"/>
                <w:bCs w:val="1"/>
                <w:color w:val="auto"/>
                <w:w w:val="90"/>
              </w:rPr>
              <w:t>Capitalized</w:t>
            </w: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ind w:left="40"/>
              <w:spacing w:after="0" w:line="117" w:lineRule="exact"/>
              <w:rPr>
                <w:sz w:val="20"/>
                <w:szCs w:val="20"/>
                <w:color w:val="auto"/>
              </w:rPr>
            </w:pPr>
            <w:r>
              <w:rPr>
                <w:rFonts w:ascii="Arial" w:cs="Arial" w:eastAsia="Arial" w:hAnsi="Arial"/>
                <w:sz w:val="13"/>
                <w:szCs w:val="13"/>
                <w:b w:val="1"/>
                <w:bCs w:val="1"/>
                <w:color w:val="auto"/>
              </w:rPr>
              <w:t>Accumulated</w:t>
            </w: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5"/>
              </w:rPr>
              <w:t>in latest</w:t>
            </w:r>
          </w:p>
        </w:tc>
        <w:tc>
          <w:tcPr>
            <w:tcW w:w="0" w:type="dxa"/>
            <w:vAlign w:val="bottom"/>
          </w:tcPr>
          <w:p>
            <w:pPr>
              <w:spacing w:after="0"/>
              <w:rPr>
                <w:sz w:val="1"/>
                <w:szCs w:val="1"/>
                <w:color w:val="auto"/>
              </w:rPr>
            </w:pPr>
          </w:p>
        </w:tc>
      </w:tr>
      <w:tr>
        <w:trPr>
          <w:trHeight w:val="43"/>
        </w:trPr>
        <w:tc>
          <w:tcPr>
            <w:tcW w:w="1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Subsequent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Depreciation</w:t>
            </w: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Date</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income</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1"/>
              </w:rPr>
              <w:t>Building and</w:t>
            </w:r>
          </w:p>
        </w:tc>
        <w:tc>
          <w:tcPr>
            <w:tcW w:w="120" w:type="dxa"/>
            <w:vAlign w:val="bottom"/>
          </w:tcPr>
          <w:p>
            <w:pPr>
              <w:spacing w:after="0"/>
              <w:rPr>
                <w:sz w:val="11"/>
                <w:szCs w:val="11"/>
                <w:color w:val="auto"/>
              </w:rPr>
            </w:pP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to</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300"/>
              <w:spacing w:after="0" w:line="135" w:lineRule="exact"/>
              <w:rPr>
                <w:sz w:val="20"/>
                <w:szCs w:val="20"/>
                <w:color w:val="auto"/>
              </w:rPr>
            </w:pPr>
            <w:r>
              <w:rPr>
                <w:rFonts w:ascii="Arial" w:cs="Arial" w:eastAsia="Arial" w:hAnsi="Arial"/>
                <w:sz w:val="13"/>
                <w:szCs w:val="13"/>
                <w:b w:val="1"/>
                <w:bCs w:val="1"/>
                <w:color w:val="auto"/>
              </w:rPr>
              <w:t>and</w:t>
            </w: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of</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Date</w:t>
            </w:r>
          </w:p>
        </w:tc>
        <w:tc>
          <w:tcPr>
            <w:tcW w:w="76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84"/>
              </w:rPr>
              <w:t>statements is</w:t>
            </w:r>
          </w:p>
        </w:tc>
        <w:tc>
          <w:tcPr>
            <w:tcW w:w="0" w:type="dxa"/>
            <w:vAlign w:val="bottom"/>
          </w:tcPr>
          <w:p>
            <w:pPr>
              <w:spacing w:after="0"/>
              <w:rPr>
                <w:sz w:val="1"/>
                <w:szCs w:val="1"/>
                <w:color w:val="auto"/>
              </w:rPr>
            </w:pPr>
          </w:p>
        </w:tc>
      </w:tr>
      <w:tr>
        <w:trPr>
          <w:trHeight w:val="174"/>
        </w:trPr>
        <w:tc>
          <w:tcPr>
            <w:tcW w:w="1140" w:type="dxa"/>
            <w:vAlign w:val="bottom"/>
          </w:tcPr>
          <w:p>
            <w:pPr>
              <w:ind w:left="40"/>
              <w:spacing w:after="0"/>
              <w:rPr>
                <w:sz w:val="20"/>
                <w:szCs w:val="20"/>
                <w:color w:val="auto"/>
              </w:rPr>
            </w:pPr>
            <w:r>
              <w:rPr>
                <w:rFonts w:ascii="Arial" w:cs="Arial" w:eastAsia="Arial" w:hAnsi="Arial"/>
                <w:sz w:val="13"/>
                <w:szCs w:val="13"/>
                <w:b w:val="1"/>
                <w:bCs w:val="1"/>
                <w:color w:val="auto"/>
              </w:rPr>
              <w:t>Descriptions</w:t>
            </w:r>
          </w:p>
        </w:tc>
        <w:tc>
          <w:tcPr>
            <w:tcW w:w="52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w w:val="97"/>
              </w:rPr>
              <w:t>Encumbrance</w:t>
            </w:r>
          </w:p>
        </w:tc>
        <w:tc>
          <w:tcPr>
            <w:tcW w:w="880" w:type="dxa"/>
            <w:vAlign w:val="bottom"/>
            <w:gridSpan w:val="2"/>
          </w:tcPr>
          <w:p>
            <w:pPr>
              <w:ind w:left="240"/>
              <w:spacing w:after="0"/>
              <w:rPr>
                <w:sz w:val="20"/>
                <w:szCs w:val="20"/>
                <w:color w:val="auto"/>
              </w:rPr>
            </w:pPr>
            <w:r>
              <w:rPr>
                <w:rFonts w:ascii="Arial" w:cs="Arial" w:eastAsia="Arial" w:hAnsi="Arial"/>
                <w:sz w:val="13"/>
                <w:szCs w:val="13"/>
                <w:b w:val="1"/>
                <w:bCs w:val="1"/>
                <w:color w:val="auto"/>
              </w:rPr>
              <w:t>Land</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w w:val="87"/>
              </w:rPr>
              <w:t>Improvements</w:t>
            </w:r>
          </w:p>
        </w:tc>
        <w:tc>
          <w:tcPr>
            <w:tcW w:w="120" w:type="dxa"/>
            <w:vAlign w:val="bottom"/>
          </w:tcPr>
          <w:p>
            <w:pPr>
              <w:spacing w:after="0"/>
              <w:rPr>
                <w:sz w:val="15"/>
                <w:szCs w:val="15"/>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Acquisition</w:t>
            </w:r>
          </w:p>
        </w:tc>
        <w:tc>
          <w:tcPr>
            <w:tcW w:w="780" w:type="dxa"/>
            <w:vAlign w:val="bottom"/>
          </w:tcPr>
          <w:p>
            <w:pPr>
              <w:jc w:val="right"/>
              <w:ind w:right="170"/>
              <w:spacing w:after="0"/>
              <w:rPr>
                <w:sz w:val="20"/>
                <w:szCs w:val="20"/>
                <w:color w:val="auto"/>
              </w:rPr>
            </w:pPr>
            <w:r>
              <w:rPr>
                <w:rFonts w:ascii="Arial" w:cs="Arial" w:eastAsia="Arial" w:hAnsi="Arial"/>
                <w:sz w:val="13"/>
                <w:szCs w:val="13"/>
                <w:b w:val="1"/>
                <w:bCs w:val="1"/>
                <w:color w:val="auto"/>
              </w:rPr>
              <w:t>Land</w:t>
            </w:r>
          </w:p>
        </w:tc>
        <w:tc>
          <w:tcPr>
            <w:tcW w:w="100" w:type="dxa"/>
            <w:vAlign w:val="bottom"/>
          </w:tcPr>
          <w:p>
            <w:pPr>
              <w:spacing w:after="0"/>
              <w:rPr>
                <w:sz w:val="15"/>
                <w:szCs w:val="15"/>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Improvements</w:t>
            </w:r>
          </w:p>
        </w:tc>
        <w:tc>
          <w:tcPr>
            <w:tcW w:w="640" w:type="dxa"/>
            <w:vAlign w:val="bottom"/>
          </w:tcPr>
          <w:p>
            <w:pPr>
              <w:jc w:val="right"/>
              <w:ind w:right="109"/>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Amortization</w:t>
            </w: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Construction</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Acquired</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57"/>
        </w:trPr>
        <w:tc>
          <w:tcPr>
            <w:tcW w:w="1140" w:type="dxa"/>
            <w:vAlign w:val="bottom"/>
            <w:tcBorders>
              <w:top w:val="single" w:sz="8" w:color="auto"/>
            </w:tcBorders>
          </w:tcPr>
          <w:p>
            <w:pPr>
              <w:ind w:left="40"/>
              <w:spacing w:after="0" w:line="157" w:lineRule="exact"/>
              <w:rPr>
                <w:sz w:val="20"/>
                <w:szCs w:val="20"/>
                <w:color w:val="auto"/>
              </w:rPr>
            </w:pPr>
            <w:r>
              <w:rPr>
                <w:rFonts w:ascii="Arial" w:cs="Arial" w:eastAsia="Arial" w:hAnsi="Arial"/>
                <w:sz w:val="14"/>
                <w:szCs w:val="14"/>
                <w:color w:val="auto"/>
              </w:rPr>
              <w:t>PLAZA DEL</w:t>
            </w:r>
          </w:p>
        </w:tc>
        <w:tc>
          <w:tcPr>
            <w:tcW w:w="5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40"/>
              <w:spacing w:after="0" w:line="149" w:lineRule="exact"/>
              <w:rPr>
                <w:sz w:val="20"/>
                <w:szCs w:val="20"/>
                <w:color w:val="auto"/>
              </w:rPr>
            </w:pPr>
            <w:r>
              <w:rPr>
                <w:rFonts w:ascii="Arial" w:cs="Arial" w:eastAsia="Arial" w:hAnsi="Arial"/>
                <w:sz w:val="14"/>
                <w:szCs w:val="14"/>
                <w:color w:val="auto"/>
              </w:rPr>
              <w:t>MERCADO</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tcPr>
          <w:p>
            <w:pPr>
              <w:ind w:left="140"/>
              <w:spacing w:after="0"/>
              <w:rPr>
                <w:sz w:val="20"/>
                <w:szCs w:val="20"/>
                <w:color w:val="auto"/>
              </w:rPr>
            </w:pPr>
            <w:r>
              <w:rPr>
                <w:rFonts w:ascii="Arial" w:cs="Arial" w:eastAsia="Arial" w:hAnsi="Arial"/>
                <w:sz w:val="14"/>
                <w:szCs w:val="14"/>
                <w:color w:val="auto"/>
              </w:rPr>
              <w:t>MD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10,305</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21,553</w:t>
            </w:r>
          </w:p>
        </w:tc>
        <w:tc>
          <w:tcPr>
            <w:tcW w:w="880" w:type="dxa"/>
            <w:vAlign w:val="bottom"/>
            <w:gridSpan w:val="2"/>
          </w:tcPr>
          <w:p>
            <w:pPr>
              <w:jc w:val="right"/>
              <w:ind w:right="35"/>
              <w:spacing w:after="0"/>
              <w:rPr>
                <w:sz w:val="20"/>
                <w:szCs w:val="20"/>
                <w:color w:val="auto"/>
              </w:rPr>
            </w:pPr>
            <w:r>
              <w:rPr>
                <w:rFonts w:ascii="Arial" w:cs="Arial" w:eastAsia="Arial" w:hAnsi="Arial"/>
                <w:sz w:val="14"/>
                <w:szCs w:val="14"/>
                <w:color w:val="auto"/>
              </w:rPr>
              <w:t>14,329</w:t>
            </w:r>
          </w:p>
        </w:tc>
        <w:tc>
          <w:tcPr>
            <w:tcW w:w="100" w:type="dxa"/>
            <w:vAlign w:val="bottom"/>
          </w:tcPr>
          <w:p>
            <w:pPr>
              <w:spacing w:after="0"/>
              <w:rPr>
                <w:sz w:val="16"/>
                <w:szCs w:val="16"/>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10,305</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35,882</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46,187</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2,341</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1969</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1/13/2016</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PLAZA DEL</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SOL (California)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8,746</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5,605</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12,331</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5,605</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12,331</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17,936</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212</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8/2/2017</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auto"/>
              </w:rPr>
              <w:t>PLAZA EL</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12/30/11,</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40"/>
              <w:spacing w:after="0" w:line="149" w:lineRule="exact"/>
              <w:rPr>
                <w:sz w:val="20"/>
                <w:szCs w:val="20"/>
                <w:color w:val="auto"/>
              </w:rPr>
            </w:pPr>
            <w:r>
              <w:rPr>
                <w:rFonts w:ascii="Arial" w:cs="Arial" w:eastAsia="Arial" w:hAnsi="Arial"/>
                <w:sz w:val="14"/>
                <w:szCs w:val="14"/>
                <w:color w:val="auto"/>
              </w:rPr>
              <w:t>SEGUNDO/THE</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6/14/13,</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40"/>
              <w:spacing w:after="0" w:line="149" w:lineRule="exact"/>
              <w:rPr>
                <w:sz w:val="20"/>
                <w:szCs w:val="20"/>
                <w:color w:val="auto"/>
              </w:rPr>
            </w:pPr>
            <w:r>
              <w:rPr>
                <w:rFonts w:ascii="Arial" w:cs="Arial" w:eastAsia="Arial" w:hAnsi="Arial"/>
                <w:sz w:val="14"/>
                <w:szCs w:val="14"/>
                <w:color w:val="auto"/>
              </w:rPr>
              <w:t>POINT</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7/26/13, &amp;</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tcPr>
          <w:p>
            <w:pPr>
              <w:ind w:left="140"/>
              <w:spacing w:after="0"/>
              <w:rPr>
                <w:sz w:val="20"/>
                <w:szCs w:val="20"/>
                <w:color w:val="auto"/>
              </w:rPr>
            </w:pPr>
            <w:r>
              <w:rPr>
                <w:rFonts w:ascii="Arial" w:cs="Arial" w:eastAsia="Arial" w:hAnsi="Arial"/>
                <w:sz w:val="14"/>
                <w:szCs w:val="14"/>
                <w:color w:val="auto"/>
              </w:rPr>
              <w:t>CA</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124,151</w:t>
            </w:r>
          </w:p>
        </w:tc>
        <w:tc>
          <w:tcPr>
            <w:tcW w:w="120" w:type="dxa"/>
            <w:vAlign w:val="bottom"/>
          </w:tcPr>
          <w:p>
            <w:pPr>
              <w:spacing w:after="0"/>
              <w:rPr>
                <w:sz w:val="16"/>
                <w:szCs w:val="16"/>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62,127</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153,556</w:t>
            </w:r>
          </w:p>
        </w:tc>
        <w:tc>
          <w:tcPr>
            <w:tcW w:w="880" w:type="dxa"/>
            <w:vAlign w:val="bottom"/>
            <w:gridSpan w:val="2"/>
          </w:tcPr>
          <w:p>
            <w:pPr>
              <w:jc w:val="right"/>
              <w:ind w:right="35"/>
              <w:spacing w:after="0"/>
              <w:rPr>
                <w:sz w:val="20"/>
                <w:szCs w:val="20"/>
                <w:color w:val="auto"/>
              </w:rPr>
            </w:pPr>
            <w:r>
              <w:rPr>
                <w:rFonts w:ascii="Arial" w:cs="Arial" w:eastAsia="Arial" w:hAnsi="Arial"/>
                <w:sz w:val="14"/>
                <w:szCs w:val="14"/>
                <w:color w:val="auto"/>
              </w:rPr>
              <w:t>65,337</w:t>
            </w:r>
          </w:p>
        </w:tc>
        <w:tc>
          <w:tcPr>
            <w:tcW w:w="100" w:type="dxa"/>
            <w:vAlign w:val="bottom"/>
          </w:tcPr>
          <w:p>
            <w:pPr>
              <w:spacing w:after="0"/>
              <w:rPr>
                <w:sz w:val="16"/>
                <w:szCs w:val="16"/>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64,463</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216,557</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281,020</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39,623</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w w:val="92"/>
              </w:rPr>
              <w:t>2006/2007/2016</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12/27/13</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PLAZA</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PACOIMA</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38,138</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12,227</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38,138</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12,227</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50,365</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225</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8/2/2017</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auto"/>
              </w:rPr>
              <w:t>QUEEN ANNE</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40"/>
              <w:spacing w:after="0" w:line="149" w:lineRule="exact"/>
              <w:rPr>
                <w:sz w:val="20"/>
                <w:szCs w:val="20"/>
                <w:color w:val="auto"/>
              </w:rPr>
            </w:pPr>
            <w:r>
              <w:rPr>
                <w:rFonts w:ascii="Arial" w:cs="Arial" w:eastAsia="Arial" w:hAnsi="Arial"/>
                <w:sz w:val="14"/>
                <w:szCs w:val="14"/>
                <w:color w:val="auto"/>
              </w:rPr>
              <w:t>PLAZA</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40"/>
              <w:spacing w:after="0"/>
              <w:rPr>
                <w:sz w:val="20"/>
                <w:szCs w:val="20"/>
                <w:color w:val="auto"/>
              </w:rPr>
            </w:pPr>
            <w:r>
              <w:rPr>
                <w:rFonts w:ascii="Arial" w:cs="Arial" w:eastAsia="Arial" w:hAnsi="Arial"/>
                <w:sz w:val="14"/>
                <w:szCs w:val="14"/>
                <w:color w:val="auto"/>
              </w:rPr>
              <w:t>(Massachusetts)</w:t>
            </w:r>
          </w:p>
        </w:tc>
        <w:tc>
          <w:tcPr>
            <w:tcW w:w="520" w:type="dxa"/>
            <w:vAlign w:val="bottom"/>
          </w:tcPr>
          <w:p>
            <w:pPr>
              <w:ind w:left="140"/>
              <w:spacing w:after="0"/>
              <w:rPr>
                <w:sz w:val="20"/>
                <w:szCs w:val="20"/>
                <w:color w:val="auto"/>
              </w:rPr>
            </w:pPr>
            <w:r>
              <w:rPr>
                <w:rFonts w:ascii="Arial" w:cs="Arial" w:eastAsia="Arial" w:hAnsi="Arial"/>
                <w:sz w:val="14"/>
                <w:szCs w:val="14"/>
                <w:color w:val="auto"/>
              </w:rPr>
              <w:t>MA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3,319</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8,457</w:t>
            </w:r>
          </w:p>
        </w:tc>
        <w:tc>
          <w:tcPr>
            <w:tcW w:w="880" w:type="dxa"/>
            <w:vAlign w:val="bottom"/>
            <w:gridSpan w:val="2"/>
          </w:tcPr>
          <w:p>
            <w:pPr>
              <w:jc w:val="right"/>
              <w:ind w:right="35"/>
              <w:spacing w:after="0"/>
              <w:rPr>
                <w:sz w:val="20"/>
                <w:szCs w:val="20"/>
                <w:color w:val="auto"/>
              </w:rPr>
            </w:pPr>
            <w:r>
              <w:rPr>
                <w:rFonts w:ascii="Arial" w:cs="Arial" w:eastAsia="Arial" w:hAnsi="Arial"/>
                <w:sz w:val="14"/>
                <w:szCs w:val="14"/>
                <w:color w:val="auto"/>
              </w:rPr>
              <w:t>6,519</w:t>
            </w:r>
          </w:p>
        </w:tc>
        <w:tc>
          <w:tcPr>
            <w:tcW w:w="100" w:type="dxa"/>
            <w:vAlign w:val="bottom"/>
          </w:tcPr>
          <w:p>
            <w:pPr>
              <w:spacing w:after="0"/>
              <w:rPr>
                <w:sz w:val="16"/>
                <w:szCs w:val="16"/>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3,319</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14,976</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18,295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9,881</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1967</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12/23/1994</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QUINCE</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ORCHARD</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3,197</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7,949</w:t>
            </w:r>
          </w:p>
        </w:tc>
        <w:tc>
          <w:tcPr>
            <w:tcW w:w="880" w:type="dxa"/>
            <w:vAlign w:val="bottom"/>
            <w:gridSpan w:val="2"/>
            <w:shd w:val="clear" w:color="auto" w:fill="CCEEFF"/>
          </w:tcPr>
          <w:p>
            <w:pPr>
              <w:jc w:val="right"/>
              <w:ind w:right="35"/>
              <w:spacing w:after="0"/>
              <w:rPr>
                <w:sz w:val="20"/>
                <w:szCs w:val="20"/>
                <w:color w:val="auto"/>
              </w:rPr>
            </w:pPr>
            <w:r>
              <w:rPr>
                <w:rFonts w:ascii="Arial" w:cs="Arial" w:eastAsia="Arial" w:hAnsi="Arial"/>
                <w:sz w:val="14"/>
                <w:szCs w:val="14"/>
                <w:color w:val="auto"/>
              </w:rPr>
              <w:t>27,772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2,928</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35,990</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38,918</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19,478</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4/22/1993</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auto"/>
              </w:rPr>
              <w:t>RIVERPOINT</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40"/>
              <w:spacing w:after="0" w:line="149" w:lineRule="exact"/>
              <w:rPr>
                <w:sz w:val="20"/>
                <w:szCs w:val="20"/>
                <w:color w:val="auto"/>
              </w:rPr>
            </w:pPr>
            <w:r>
              <w:rPr>
                <w:rFonts w:ascii="Arial" w:cs="Arial" w:eastAsia="Arial" w:hAnsi="Arial"/>
                <w:sz w:val="14"/>
                <w:szCs w:val="14"/>
                <w:color w:val="auto"/>
              </w:rPr>
              <w:t>CENTER</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40"/>
              <w:spacing w:after="0"/>
              <w:rPr>
                <w:sz w:val="20"/>
                <w:szCs w:val="20"/>
                <w:color w:val="auto"/>
              </w:rPr>
            </w:pPr>
            <w:r>
              <w:rPr>
                <w:rFonts w:ascii="Arial" w:cs="Arial" w:eastAsia="Arial" w:hAnsi="Arial"/>
                <w:sz w:val="14"/>
                <w:szCs w:val="14"/>
                <w:color w:val="auto"/>
              </w:rPr>
              <w:t>(Illinois)</w:t>
            </w:r>
          </w:p>
        </w:tc>
        <w:tc>
          <w:tcPr>
            <w:tcW w:w="520" w:type="dxa"/>
            <w:vAlign w:val="bottom"/>
          </w:tcPr>
          <w:p>
            <w:pPr>
              <w:ind w:left="140"/>
              <w:spacing w:after="0"/>
              <w:rPr>
                <w:sz w:val="20"/>
                <w:szCs w:val="20"/>
                <w:color w:val="auto"/>
              </w:rPr>
            </w:pPr>
            <w:r>
              <w:rPr>
                <w:rFonts w:ascii="Arial" w:cs="Arial" w:eastAsia="Arial" w:hAnsi="Arial"/>
                <w:sz w:val="14"/>
                <w:szCs w:val="14"/>
                <w:color w:val="auto"/>
              </w:rPr>
              <w:t>IL</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15,422</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104,575</w:t>
            </w:r>
          </w:p>
        </w:tc>
        <w:tc>
          <w:tcPr>
            <w:tcW w:w="880" w:type="dxa"/>
            <w:vAlign w:val="bottom"/>
            <w:gridSpan w:val="2"/>
          </w:tcPr>
          <w:p>
            <w:pPr>
              <w:jc w:val="right"/>
              <w:ind w:right="35"/>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6"/>
                <w:szCs w:val="16"/>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15,422</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104,657</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120,079</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2,626</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1989, 2012</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3/31/2017</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ROCKVILLE</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TOWN SQUARE</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4,455</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8,092</w:t>
            </w:r>
          </w:p>
        </w:tc>
        <w:tc>
          <w:tcPr>
            <w:tcW w:w="880" w:type="dxa"/>
            <w:vAlign w:val="bottom"/>
            <w:gridSpan w:val="2"/>
            <w:shd w:val="clear" w:color="auto" w:fill="CCEEFF"/>
          </w:tcPr>
          <w:p>
            <w:pPr>
              <w:jc w:val="right"/>
              <w:ind w:right="35"/>
              <w:spacing w:after="0"/>
              <w:rPr>
                <w:sz w:val="20"/>
                <w:szCs w:val="20"/>
                <w:color w:val="auto"/>
              </w:rPr>
            </w:pPr>
            <w:r>
              <w:rPr>
                <w:rFonts w:ascii="Arial" w:cs="Arial" w:eastAsia="Arial" w:hAnsi="Arial"/>
                <w:sz w:val="14"/>
                <w:szCs w:val="14"/>
                <w:color w:val="auto"/>
              </w:rPr>
              <w:t>43,010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51,102</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51,102</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16,823</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2005 - 2007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2006 - 2007</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50 years</w:t>
            </w: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auto"/>
              </w:rPr>
              <w:t>ROLLINGWOOD</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40"/>
              <w:spacing w:after="0"/>
              <w:rPr>
                <w:sz w:val="20"/>
                <w:szCs w:val="20"/>
                <w:color w:val="auto"/>
              </w:rPr>
            </w:pPr>
            <w:r>
              <w:rPr>
                <w:rFonts w:ascii="Arial" w:cs="Arial" w:eastAsia="Arial" w:hAnsi="Arial"/>
                <w:sz w:val="14"/>
                <w:szCs w:val="14"/>
                <w:color w:val="auto"/>
                <w:w w:val="97"/>
              </w:rPr>
              <w:t>APTS. (Maryland)</w:t>
            </w:r>
          </w:p>
        </w:tc>
        <w:tc>
          <w:tcPr>
            <w:tcW w:w="520" w:type="dxa"/>
            <w:vAlign w:val="bottom"/>
          </w:tcPr>
          <w:p>
            <w:pPr>
              <w:ind w:left="140"/>
              <w:spacing w:after="0"/>
              <w:rPr>
                <w:sz w:val="20"/>
                <w:szCs w:val="20"/>
                <w:color w:val="auto"/>
              </w:rPr>
            </w:pPr>
            <w:r>
              <w:rPr>
                <w:rFonts w:ascii="Arial" w:cs="Arial" w:eastAsia="Arial" w:hAnsi="Arial"/>
                <w:sz w:val="14"/>
                <w:szCs w:val="14"/>
                <w:color w:val="auto"/>
              </w:rPr>
              <w:t>MD</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20,785</w:t>
            </w:r>
          </w:p>
        </w:tc>
        <w:tc>
          <w:tcPr>
            <w:tcW w:w="120" w:type="dxa"/>
            <w:vAlign w:val="bottom"/>
          </w:tcPr>
          <w:p>
            <w:pPr>
              <w:spacing w:after="0"/>
              <w:rPr>
                <w:sz w:val="16"/>
                <w:szCs w:val="16"/>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552</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2,246</w:t>
            </w:r>
          </w:p>
        </w:tc>
        <w:tc>
          <w:tcPr>
            <w:tcW w:w="880" w:type="dxa"/>
            <w:vAlign w:val="bottom"/>
            <w:gridSpan w:val="2"/>
          </w:tcPr>
          <w:p>
            <w:pPr>
              <w:jc w:val="right"/>
              <w:ind w:right="35"/>
              <w:spacing w:after="0"/>
              <w:rPr>
                <w:sz w:val="20"/>
                <w:szCs w:val="20"/>
                <w:color w:val="auto"/>
              </w:rPr>
            </w:pPr>
            <w:r>
              <w:rPr>
                <w:rFonts w:ascii="Arial" w:cs="Arial" w:eastAsia="Arial" w:hAnsi="Arial"/>
                <w:sz w:val="14"/>
                <w:szCs w:val="14"/>
                <w:color w:val="auto"/>
              </w:rPr>
              <w:t>7,988</w:t>
            </w:r>
          </w:p>
        </w:tc>
        <w:tc>
          <w:tcPr>
            <w:tcW w:w="100" w:type="dxa"/>
            <w:vAlign w:val="bottom"/>
          </w:tcPr>
          <w:p>
            <w:pPr>
              <w:spacing w:after="0"/>
              <w:rPr>
                <w:sz w:val="16"/>
                <w:szCs w:val="16"/>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572</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10,214</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10,786</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9,358</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1960</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1/15/1971</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25 years</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SAM'S PARK &amp;</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SHOP (District of</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Columbia)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DC</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4,840</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6,319</w:t>
            </w:r>
          </w:p>
        </w:tc>
        <w:tc>
          <w:tcPr>
            <w:tcW w:w="880" w:type="dxa"/>
            <w:vAlign w:val="bottom"/>
            <w:gridSpan w:val="2"/>
            <w:shd w:val="clear" w:color="auto" w:fill="CCEEFF"/>
          </w:tcPr>
          <w:p>
            <w:pPr>
              <w:jc w:val="right"/>
              <w:ind w:right="35"/>
              <w:spacing w:after="0"/>
              <w:rPr>
                <w:sz w:val="20"/>
                <w:szCs w:val="20"/>
                <w:color w:val="auto"/>
              </w:rPr>
            </w:pPr>
            <w:r>
              <w:rPr>
                <w:rFonts w:ascii="Arial" w:cs="Arial" w:eastAsia="Arial" w:hAnsi="Arial"/>
                <w:sz w:val="14"/>
                <w:szCs w:val="14"/>
                <w:color w:val="auto"/>
              </w:rPr>
              <w:t>1,679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4,840</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7,998</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12,838</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5,158</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12/1/1995</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1958, 1964-</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40"/>
              <w:spacing w:after="0" w:line="149" w:lineRule="exact"/>
              <w:rPr>
                <w:sz w:val="20"/>
                <w:szCs w:val="20"/>
                <w:color w:val="auto"/>
              </w:rPr>
            </w:pPr>
            <w:r>
              <w:rPr>
                <w:rFonts w:ascii="Arial" w:cs="Arial" w:eastAsia="Arial" w:hAnsi="Arial"/>
                <w:sz w:val="14"/>
                <w:szCs w:val="14"/>
                <w:color w:val="auto"/>
              </w:rPr>
              <w:t>SAN ANTONIO</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1965, 1974-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40"/>
              <w:spacing w:after="0" w:line="149" w:lineRule="exact"/>
              <w:rPr>
                <w:sz w:val="20"/>
                <w:szCs w:val="20"/>
                <w:color w:val="auto"/>
              </w:rPr>
            </w:pPr>
            <w:r>
              <w:rPr>
                <w:rFonts w:ascii="Arial" w:cs="Arial" w:eastAsia="Arial" w:hAnsi="Arial"/>
                <w:sz w:val="14"/>
                <w:szCs w:val="14"/>
                <w:color w:val="auto"/>
              </w:rPr>
              <w:t>CENTER</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1975, 1995-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tcPr>
          <w:p>
            <w:pPr>
              <w:ind w:left="140"/>
              <w:spacing w:after="0"/>
              <w:rPr>
                <w:sz w:val="20"/>
                <w:szCs w:val="20"/>
                <w:color w:val="auto"/>
              </w:rPr>
            </w:pPr>
            <w:r>
              <w:rPr>
                <w:rFonts w:ascii="Arial" w:cs="Arial" w:eastAsia="Arial" w:hAnsi="Arial"/>
                <w:sz w:val="14"/>
                <w:szCs w:val="14"/>
                <w:color w:val="auto"/>
              </w:rPr>
              <w:t>CA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39,920</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32,466</w:t>
            </w:r>
          </w:p>
        </w:tc>
        <w:tc>
          <w:tcPr>
            <w:tcW w:w="880" w:type="dxa"/>
            <w:vAlign w:val="bottom"/>
            <w:gridSpan w:val="2"/>
          </w:tcPr>
          <w:p>
            <w:pPr>
              <w:jc w:val="right"/>
              <w:ind w:right="35"/>
              <w:spacing w:after="0"/>
              <w:rPr>
                <w:sz w:val="20"/>
                <w:szCs w:val="20"/>
                <w:color w:val="auto"/>
              </w:rPr>
            </w:pPr>
            <w:r>
              <w:rPr>
                <w:rFonts w:ascii="Arial" w:cs="Arial" w:eastAsia="Arial" w:hAnsi="Arial"/>
                <w:sz w:val="14"/>
                <w:szCs w:val="14"/>
                <w:color w:val="auto"/>
              </w:rPr>
              <w:t>1,334</w:t>
            </w:r>
          </w:p>
        </w:tc>
        <w:tc>
          <w:tcPr>
            <w:tcW w:w="100" w:type="dxa"/>
            <w:vAlign w:val="bottom"/>
          </w:tcPr>
          <w:p>
            <w:pPr>
              <w:spacing w:after="0"/>
              <w:rPr>
                <w:sz w:val="16"/>
                <w:szCs w:val="16"/>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39,920</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33,800</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73,720</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4,714</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1997</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1/9/2015</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3/5/97,</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1999-2006,</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7/13/12,</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2009, 2011,</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9/6/12,</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SANTANA ROW</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2014, 2016-</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4/30/13 &amp;</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40 - 50</w:t>
            </w: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66,682</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7,502</w:t>
            </w:r>
          </w:p>
        </w:tc>
        <w:tc>
          <w:tcPr>
            <w:tcW w:w="880" w:type="dxa"/>
            <w:vAlign w:val="bottom"/>
            <w:gridSpan w:val="2"/>
            <w:shd w:val="clear" w:color="auto" w:fill="CCEEFF"/>
          </w:tcPr>
          <w:p>
            <w:pPr>
              <w:jc w:val="right"/>
              <w:ind w:right="35"/>
              <w:spacing w:after="0"/>
              <w:rPr>
                <w:sz w:val="20"/>
                <w:szCs w:val="20"/>
                <w:color w:val="auto"/>
              </w:rPr>
            </w:pPr>
            <w:r>
              <w:rPr>
                <w:rFonts w:ascii="Arial" w:cs="Arial" w:eastAsia="Arial" w:hAnsi="Arial"/>
                <w:sz w:val="14"/>
                <w:szCs w:val="14"/>
                <w:color w:val="auto"/>
              </w:rPr>
              <w:t>788,049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57,578</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804,655</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862,233</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182,514</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9/23/13</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years</w:t>
            </w: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auto"/>
              </w:rPr>
              <w:t>SAUGUS PLAZA</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40"/>
              <w:spacing w:after="0"/>
              <w:rPr>
                <w:sz w:val="20"/>
                <w:szCs w:val="20"/>
                <w:color w:val="auto"/>
              </w:rPr>
            </w:pPr>
            <w:r>
              <w:rPr>
                <w:rFonts w:ascii="Arial" w:cs="Arial" w:eastAsia="Arial" w:hAnsi="Arial"/>
                <w:sz w:val="14"/>
                <w:szCs w:val="14"/>
                <w:color w:val="auto"/>
              </w:rPr>
              <w:t>(Massachusetts)</w:t>
            </w:r>
          </w:p>
        </w:tc>
        <w:tc>
          <w:tcPr>
            <w:tcW w:w="520" w:type="dxa"/>
            <w:vAlign w:val="bottom"/>
          </w:tcPr>
          <w:p>
            <w:pPr>
              <w:ind w:left="140"/>
              <w:spacing w:after="0"/>
              <w:rPr>
                <w:sz w:val="20"/>
                <w:szCs w:val="20"/>
                <w:color w:val="auto"/>
              </w:rPr>
            </w:pPr>
            <w:r>
              <w:rPr>
                <w:rFonts w:ascii="Arial" w:cs="Arial" w:eastAsia="Arial" w:hAnsi="Arial"/>
                <w:sz w:val="14"/>
                <w:szCs w:val="14"/>
                <w:color w:val="auto"/>
              </w:rPr>
              <w:t>MA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4,383</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8,291</w:t>
            </w:r>
          </w:p>
        </w:tc>
        <w:tc>
          <w:tcPr>
            <w:tcW w:w="880" w:type="dxa"/>
            <w:vAlign w:val="bottom"/>
            <w:gridSpan w:val="2"/>
          </w:tcPr>
          <w:p>
            <w:pPr>
              <w:jc w:val="right"/>
              <w:ind w:right="35"/>
              <w:spacing w:after="0"/>
              <w:rPr>
                <w:sz w:val="20"/>
                <w:szCs w:val="20"/>
                <w:color w:val="auto"/>
              </w:rPr>
            </w:pPr>
            <w:r>
              <w:rPr>
                <w:rFonts w:ascii="Arial" w:cs="Arial" w:eastAsia="Arial" w:hAnsi="Arial"/>
                <w:sz w:val="14"/>
                <w:szCs w:val="14"/>
                <w:color w:val="auto"/>
              </w:rPr>
              <w:t>2,588</w:t>
            </w:r>
          </w:p>
        </w:tc>
        <w:tc>
          <w:tcPr>
            <w:tcW w:w="100" w:type="dxa"/>
            <w:vAlign w:val="bottom"/>
          </w:tcPr>
          <w:p>
            <w:pPr>
              <w:spacing w:after="0"/>
              <w:rPr>
                <w:sz w:val="16"/>
                <w:szCs w:val="16"/>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4,383</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10,879</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15,262</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6,702</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1976</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10/1/1996</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SYLMAR</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TOWNE</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CENTER</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18,010</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18,522</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24,636</w:t>
            </w:r>
          </w:p>
        </w:tc>
        <w:tc>
          <w:tcPr>
            <w:tcW w:w="880" w:type="dxa"/>
            <w:vAlign w:val="bottom"/>
            <w:gridSpan w:val="2"/>
            <w:shd w:val="clear" w:color="auto" w:fill="CCEEFF"/>
          </w:tcPr>
          <w:p>
            <w:pPr>
              <w:jc w:val="right"/>
              <w:ind w:right="35"/>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18,522</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25,012</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43,534</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389</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8/2/2017</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auto"/>
              </w:rPr>
              <w:t>THE AVENUE</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40"/>
              <w:spacing w:after="0" w:line="149" w:lineRule="exact"/>
              <w:rPr>
                <w:sz w:val="20"/>
                <w:szCs w:val="20"/>
                <w:color w:val="auto"/>
              </w:rPr>
            </w:pPr>
            <w:r>
              <w:rPr>
                <w:rFonts w:ascii="Arial" w:cs="Arial" w:eastAsia="Arial" w:hAnsi="Arial"/>
                <w:sz w:val="14"/>
                <w:szCs w:val="14"/>
                <w:color w:val="auto"/>
              </w:rPr>
              <w:t>AT WHITE</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40"/>
              <w:spacing w:after="0" w:line="149" w:lineRule="exact"/>
              <w:rPr>
                <w:sz w:val="20"/>
                <w:szCs w:val="20"/>
                <w:color w:val="auto"/>
              </w:rPr>
            </w:pPr>
            <w:r>
              <w:rPr>
                <w:rFonts w:ascii="Arial" w:cs="Arial" w:eastAsia="Arial" w:hAnsi="Arial"/>
                <w:sz w:val="14"/>
                <w:szCs w:val="14"/>
                <w:color w:val="auto"/>
              </w:rPr>
              <w:t>MARSH</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tcPr>
          <w:p>
            <w:pPr>
              <w:ind w:left="140"/>
              <w:spacing w:after="0"/>
              <w:rPr>
                <w:sz w:val="20"/>
                <w:szCs w:val="20"/>
                <w:color w:val="auto"/>
              </w:rPr>
            </w:pPr>
            <w:r>
              <w:rPr>
                <w:rFonts w:ascii="Arial" w:cs="Arial" w:eastAsia="Arial" w:hAnsi="Arial"/>
                <w:sz w:val="14"/>
                <w:szCs w:val="14"/>
                <w:color w:val="auto"/>
              </w:rPr>
              <w:t>MD</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52,489</w:t>
            </w:r>
          </w:p>
        </w:tc>
        <w:tc>
          <w:tcPr>
            <w:tcW w:w="120" w:type="dxa"/>
            <w:vAlign w:val="bottom"/>
          </w:tcPr>
          <w:p>
            <w:pPr>
              <w:spacing w:after="0"/>
              <w:rPr>
                <w:sz w:val="16"/>
                <w:szCs w:val="16"/>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20,682</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72,432</w:t>
            </w:r>
          </w:p>
        </w:tc>
        <w:tc>
          <w:tcPr>
            <w:tcW w:w="880" w:type="dxa"/>
            <w:vAlign w:val="bottom"/>
            <w:gridSpan w:val="2"/>
          </w:tcPr>
          <w:p>
            <w:pPr>
              <w:jc w:val="right"/>
              <w:ind w:right="35"/>
              <w:spacing w:after="0"/>
              <w:rPr>
                <w:sz w:val="20"/>
                <w:szCs w:val="20"/>
                <w:color w:val="auto"/>
              </w:rPr>
            </w:pPr>
            <w:r>
              <w:rPr>
                <w:rFonts w:ascii="Arial" w:cs="Arial" w:eastAsia="Arial" w:hAnsi="Arial"/>
                <w:sz w:val="14"/>
                <w:szCs w:val="14"/>
                <w:color w:val="auto"/>
              </w:rPr>
              <w:t>23,014</w:t>
            </w:r>
          </w:p>
        </w:tc>
        <w:tc>
          <w:tcPr>
            <w:tcW w:w="100" w:type="dxa"/>
            <w:vAlign w:val="bottom"/>
          </w:tcPr>
          <w:p>
            <w:pPr>
              <w:spacing w:after="0"/>
              <w:rPr>
                <w:sz w:val="16"/>
                <w:szCs w:val="16"/>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20,685</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95,443</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116,128</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32,066</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1997</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3/8/2007</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THE GROVE AT</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SHREWSBURY</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1/1/2014 &amp;</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Jersey)</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NJ</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53,218</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18,016</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103,115</w:t>
            </w:r>
          </w:p>
        </w:tc>
        <w:tc>
          <w:tcPr>
            <w:tcW w:w="880" w:type="dxa"/>
            <w:vAlign w:val="bottom"/>
            <w:gridSpan w:val="2"/>
            <w:shd w:val="clear" w:color="auto" w:fill="CCEEFF"/>
          </w:tcPr>
          <w:p>
            <w:pPr>
              <w:jc w:val="right"/>
              <w:ind w:right="35"/>
              <w:spacing w:after="0"/>
              <w:rPr>
                <w:sz w:val="20"/>
                <w:szCs w:val="20"/>
                <w:color w:val="auto"/>
              </w:rPr>
            </w:pPr>
            <w:r>
              <w:rPr>
                <w:rFonts w:ascii="Arial" w:cs="Arial" w:eastAsia="Arial" w:hAnsi="Arial"/>
                <w:sz w:val="14"/>
                <w:szCs w:val="14"/>
                <w:color w:val="auto"/>
              </w:rPr>
              <w:t>3,886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18,021</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106,996</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125,017</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13,884</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1988/1993/2007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10/6/14</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26" w:right="239" w:bottom="1440" w:gutter="0" w:footer="0" w:header="0"/>
        </w:sectPr>
      </w:pPr>
    </w:p>
    <w:bookmarkStart w:id="93" w:name="page94"/>
    <w:bookmarkEnd w:id="93"/>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40" w:type="dxa"/>
            <w:vAlign w:val="bottom"/>
          </w:tcPr>
          <w:p>
            <w:pPr>
              <w:ind w:left="40"/>
              <w:spacing w:after="0"/>
              <w:rPr>
                <w:sz w:val="20"/>
                <w:szCs w:val="20"/>
                <w:color w:val="auto"/>
              </w:rPr>
            </w:pPr>
            <w:r>
              <w:rPr>
                <w:rFonts w:ascii="Arial" w:cs="Arial" w:eastAsia="Arial" w:hAnsi="Arial"/>
                <w:sz w:val="13"/>
                <w:szCs w:val="13"/>
                <w:b w:val="1"/>
                <w:bCs w:val="1"/>
                <w:color w:val="auto"/>
              </w:rPr>
              <w:t>COLUMN A</w:t>
            </w:r>
          </w:p>
        </w:tc>
        <w:tc>
          <w:tcPr>
            <w:tcW w:w="54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B</w:t>
            </w: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C</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COLUMN D</w:t>
            </w: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Arial" w:cs="Arial" w:eastAsia="Arial" w:hAnsi="Arial"/>
                <w:sz w:val="13"/>
                <w:szCs w:val="13"/>
                <w:b w:val="1"/>
                <w:bCs w:val="1"/>
                <w:color w:val="auto"/>
                <w:w w:val="99"/>
              </w:rPr>
              <w:t>COLUMN F</w:t>
            </w:r>
          </w:p>
        </w:tc>
        <w:tc>
          <w:tcPr>
            <w:tcW w:w="12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COLUMN G</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COLUMN H</w:t>
            </w:r>
          </w:p>
        </w:tc>
        <w:tc>
          <w:tcPr>
            <w:tcW w:w="800" w:type="dxa"/>
            <w:vAlign w:val="bottom"/>
          </w:tcPr>
          <w:p>
            <w:pPr>
              <w:ind w:left="4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44"/>
        </w:trPr>
        <w:tc>
          <w:tcPr>
            <w:tcW w:w="104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53"/>
        </w:trPr>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20" w:type="dxa"/>
            <w:vAlign w:val="bottom"/>
            <w:gridSpan w:val="6"/>
          </w:tcPr>
          <w:p>
            <w:pPr>
              <w:jc w:val="center"/>
              <w:ind w:right="80"/>
              <w:spacing w:after="0"/>
              <w:rPr>
                <w:sz w:val="20"/>
                <w:szCs w:val="20"/>
                <w:color w:val="auto"/>
              </w:rPr>
            </w:pPr>
            <w:r>
              <w:rPr>
                <w:rFonts w:ascii="Arial" w:cs="Arial" w:eastAsia="Arial" w:hAnsi="Arial"/>
                <w:sz w:val="13"/>
                <w:szCs w:val="13"/>
                <w:b w:val="1"/>
                <w:bCs w:val="1"/>
                <w:color w:val="auto"/>
                <w:w w:val="87"/>
              </w:rPr>
              <w:t>Gross amount at which carried at</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4"/>
          </w:tcPr>
          <w:p>
            <w:pPr>
              <w:ind w:left="260"/>
              <w:spacing w:after="0" w:line="135" w:lineRule="exact"/>
              <w:rPr>
                <w:sz w:val="20"/>
                <w:szCs w:val="20"/>
                <w:color w:val="auto"/>
              </w:rPr>
            </w:pPr>
            <w:r>
              <w:rPr>
                <w:rFonts w:ascii="Arial" w:cs="Arial" w:eastAsia="Arial" w:hAnsi="Arial"/>
                <w:sz w:val="13"/>
                <w:szCs w:val="13"/>
                <w:b w:val="1"/>
                <w:bCs w:val="1"/>
                <w:color w:val="auto"/>
              </w:rPr>
              <w:t>Initial cost to company</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Cost</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close of period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restart"/>
          </w:tcPr>
          <w:p>
            <w:pPr>
              <w:jc w:val="center"/>
              <w:ind w:right="120"/>
              <w:spacing w:after="0" w:line="117" w:lineRule="exact"/>
              <w:rPr>
                <w:sz w:val="20"/>
                <w:szCs w:val="20"/>
                <w:color w:val="auto"/>
              </w:rPr>
            </w:pPr>
            <w:r>
              <w:rPr>
                <w:rFonts w:ascii="Arial" w:cs="Arial" w:eastAsia="Arial" w:hAnsi="Arial"/>
                <w:sz w:val="13"/>
                <w:szCs w:val="13"/>
                <w:b w:val="1"/>
                <w:bCs w:val="1"/>
                <w:color w:val="auto"/>
                <w:w w:val="90"/>
              </w:rPr>
              <w:t>Capitalized</w:t>
            </w: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5"/>
              </w:rPr>
              <w:t>in latest</w:t>
            </w:r>
          </w:p>
        </w:tc>
        <w:tc>
          <w:tcPr>
            <w:tcW w:w="0" w:type="dxa"/>
            <w:vAlign w:val="bottom"/>
          </w:tcPr>
          <w:p>
            <w:pPr>
              <w:spacing w:after="0"/>
              <w:rPr>
                <w:sz w:val="1"/>
                <w:szCs w:val="1"/>
                <w:color w:val="auto"/>
              </w:rPr>
            </w:pPr>
          </w:p>
        </w:tc>
      </w:tr>
      <w:tr>
        <w:trPr>
          <w:trHeight w:val="43"/>
        </w:trPr>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Subsequent</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Depreciation</w:t>
            </w: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Date</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income</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to</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and</w:t>
            </w: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of</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Date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74"/>
        </w:trPr>
        <w:tc>
          <w:tcPr>
            <w:tcW w:w="1040" w:type="dxa"/>
            <w:vAlign w:val="bottom"/>
          </w:tcPr>
          <w:p>
            <w:pPr>
              <w:ind w:left="40"/>
              <w:spacing w:after="0"/>
              <w:rPr>
                <w:sz w:val="20"/>
                <w:szCs w:val="20"/>
                <w:color w:val="auto"/>
              </w:rPr>
            </w:pPr>
            <w:r>
              <w:rPr>
                <w:rFonts w:ascii="Arial" w:cs="Arial" w:eastAsia="Arial" w:hAnsi="Arial"/>
                <w:sz w:val="13"/>
                <w:szCs w:val="13"/>
                <w:b w:val="1"/>
                <w:bCs w:val="1"/>
                <w:color w:val="auto"/>
              </w:rPr>
              <w:t>Descriptions</w:t>
            </w:r>
          </w:p>
        </w:tc>
        <w:tc>
          <w:tcPr>
            <w:tcW w:w="54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w w:val="97"/>
              </w:rPr>
              <w:t>Encumbrance</w:t>
            </w:r>
          </w:p>
        </w:tc>
        <w:tc>
          <w:tcPr>
            <w:tcW w:w="900" w:type="dxa"/>
            <w:vAlign w:val="bottom"/>
            <w:gridSpan w:val="2"/>
          </w:tcPr>
          <w:p>
            <w:pPr>
              <w:ind w:left="260"/>
              <w:spacing w:after="0"/>
              <w:rPr>
                <w:sz w:val="20"/>
                <w:szCs w:val="20"/>
                <w:color w:val="auto"/>
              </w:rPr>
            </w:pPr>
            <w:r>
              <w:rPr>
                <w:rFonts w:ascii="Arial" w:cs="Arial" w:eastAsia="Arial" w:hAnsi="Arial"/>
                <w:sz w:val="13"/>
                <w:szCs w:val="13"/>
                <w:b w:val="1"/>
                <w:bCs w:val="1"/>
                <w:color w:val="auto"/>
              </w:rPr>
              <w:t>Land</w:t>
            </w: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Improvements</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Acquisition</w:t>
            </w:r>
          </w:p>
        </w:tc>
        <w:tc>
          <w:tcPr>
            <w:tcW w:w="900" w:type="dxa"/>
            <w:vAlign w:val="bottom"/>
            <w:gridSpan w:val="2"/>
          </w:tcPr>
          <w:p>
            <w:pPr>
              <w:ind w:left="260"/>
              <w:spacing w:after="0"/>
              <w:rPr>
                <w:sz w:val="20"/>
                <w:szCs w:val="20"/>
                <w:color w:val="auto"/>
              </w:rPr>
            </w:pPr>
            <w:r>
              <w:rPr>
                <w:rFonts w:ascii="Arial" w:cs="Arial" w:eastAsia="Arial" w:hAnsi="Arial"/>
                <w:sz w:val="13"/>
                <w:szCs w:val="13"/>
                <w:b w:val="1"/>
                <w:bCs w:val="1"/>
                <w:color w:val="auto"/>
              </w:rPr>
              <w:t>Land</w:t>
            </w:r>
          </w:p>
        </w:tc>
        <w:tc>
          <w:tcPr>
            <w:tcW w:w="9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Improvements</w:t>
            </w:r>
          </w:p>
        </w:tc>
        <w:tc>
          <w:tcPr>
            <w:tcW w:w="900" w:type="dxa"/>
            <w:vAlign w:val="bottom"/>
            <w:gridSpan w:val="2"/>
          </w:tcPr>
          <w:p>
            <w:pPr>
              <w:ind w:left="260"/>
              <w:spacing w:after="0"/>
              <w:rPr>
                <w:sz w:val="20"/>
                <w:szCs w:val="20"/>
                <w:color w:val="auto"/>
              </w:rPr>
            </w:pPr>
            <w:r>
              <w:rPr>
                <w:rFonts w:ascii="Arial" w:cs="Arial" w:eastAsia="Arial" w:hAnsi="Arial"/>
                <w:sz w:val="13"/>
                <w:szCs w:val="13"/>
                <w:b w:val="1"/>
                <w:bCs w:val="1"/>
                <w:color w:val="auto"/>
              </w:rPr>
              <w:t>Total</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0"/>
              </w:rPr>
              <w:t>Amortization</w:t>
            </w:r>
          </w:p>
        </w:tc>
        <w:tc>
          <w:tcPr>
            <w:tcW w:w="12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Construction</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Acquired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57"/>
        </w:trPr>
        <w:tc>
          <w:tcPr>
            <w:tcW w:w="1040" w:type="dxa"/>
            <w:vAlign w:val="bottom"/>
            <w:tcBorders>
              <w:top w:val="single" w:sz="8" w:color="auto"/>
            </w:tcBorders>
          </w:tcPr>
          <w:p>
            <w:pPr>
              <w:ind w:left="40"/>
              <w:spacing w:after="0" w:line="157" w:lineRule="exact"/>
              <w:rPr>
                <w:sz w:val="20"/>
                <w:szCs w:val="20"/>
                <w:color w:val="auto"/>
              </w:rPr>
            </w:pPr>
            <w:r>
              <w:rPr>
                <w:rFonts w:ascii="Arial" w:cs="Arial" w:eastAsia="Arial" w:hAnsi="Arial"/>
                <w:sz w:val="14"/>
                <w:szCs w:val="14"/>
                <w:color w:val="auto"/>
                <w:w w:val="98"/>
              </w:rPr>
              <w:t>THE SHOPPES</w:t>
            </w:r>
          </w:p>
        </w:tc>
        <w:tc>
          <w:tcPr>
            <w:tcW w:w="54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AT</w:t>
            </w: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NOTTINGHAM</w:t>
            </w: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SQUARE</w:t>
            </w: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(Maryland)</w:t>
            </w:r>
          </w:p>
        </w:tc>
        <w:tc>
          <w:tcPr>
            <w:tcW w:w="540" w:type="dxa"/>
            <w:vAlign w:val="bottom"/>
          </w:tcPr>
          <w:p>
            <w:pPr>
              <w:ind w:left="140"/>
              <w:spacing w:after="0"/>
              <w:rPr>
                <w:sz w:val="20"/>
                <w:szCs w:val="20"/>
                <w:color w:val="auto"/>
              </w:rPr>
            </w:pPr>
            <w:r>
              <w:rPr>
                <w:rFonts w:ascii="Arial" w:cs="Arial" w:eastAsia="Arial" w:hAnsi="Arial"/>
                <w:sz w:val="14"/>
                <w:szCs w:val="14"/>
                <w:color w:val="auto"/>
              </w:rPr>
              <w:t>MD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4,441</w:t>
            </w:r>
          </w:p>
        </w:tc>
        <w:tc>
          <w:tcPr>
            <w:tcW w:w="10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12,849</w:t>
            </w:r>
          </w:p>
        </w:tc>
        <w:tc>
          <w:tcPr>
            <w:tcW w:w="120" w:type="dxa"/>
            <w:vAlign w:val="bottom"/>
          </w:tcPr>
          <w:p>
            <w:pPr>
              <w:spacing w:after="0"/>
              <w:rPr>
                <w:sz w:val="16"/>
                <w:szCs w:val="16"/>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4,441</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13,103</w:t>
            </w:r>
          </w:p>
        </w:tc>
        <w:tc>
          <w:tcPr>
            <w:tcW w:w="10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17,544</w:t>
            </w:r>
          </w:p>
        </w:tc>
        <w:tc>
          <w:tcPr>
            <w:tcW w:w="12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4,912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2005 - 2006</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3/8/2007</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THE SHOPS AT</w:t>
            </w:r>
          </w:p>
        </w:tc>
        <w:tc>
          <w:tcPr>
            <w:tcW w:w="5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SUNSET</w:t>
            </w:r>
          </w:p>
        </w:tc>
        <w:tc>
          <w:tcPr>
            <w:tcW w:w="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PLACE</w:t>
            </w:r>
          </w:p>
        </w:tc>
        <w:tc>
          <w:tcPr>
            <w:tcW w:w="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FL</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69,149</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64,499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50,853</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8,160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64,499</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59,013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123,512</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6,629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10/1/2015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THIRD</w:t>
            </w: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STREET</w:t>
            </w: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PROMENADE</w:t>
            </w: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540" w:type="dxa"/>
            <w:vAlign w:val="bottom"/>
          </w:tcPr>
          <w:p>
            <w:pPr>
              <w:ind w:left="140"/>
              <w:spacing w:after="0"/>
              <w:rPr>
                <w:sz w:val="20"/>
                <w:szCs w:val="20"/>
                <w:color w:val="auto"/>
              </w:rPr>
            </w:pPr>
            <w:r>
              <w:rPr>
                <w:rFonts w:ascii="Arial" w:cs="Arial" w:eastAsia="Arial" w:hAnsi="Arial"/>
                <w:sz w:val="14"/>
                <w:szCs w:val="14"/>
                <w:color w:val="auto"/>
              </w:rPr>
              <w:t>CA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22,645</w:t>
            </w:r>
          </w:p>
        </w:tc>
        <w:tc>
          <w:tcPr>
            <w:tcW w:w="10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12,709</w:t>
            </w:r>
          </w:p>
        </w:tc>
        <w:tc>
          <w:tcPr>
            <w:tcW w:w="120" w:type="dxa"/>
            <w:vAlign w:val="bottom"/>
          </w:tcPr>
          <w:p>
            <w:pPr>
              <w:spacing w:after="0"/>
              <w:rPr>
                <w:sz w:val="16"/>
                <w:szCs w:val="16"/>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43,309</w:t>
            </w:r>
          </w:p>
        </w:tc>
        <w:tc>
          <w:tcPr>
            <w:tcW w:w="10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25,125</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53,538</w:t>
            </w:r>
          </w:p>
        </w:tc>
        <w:tc>
          <w:tcPr>
            <w:tcW w:w="10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78,663</w:t>
            </w:r>
          </w:p>
        </w:tc>
        <w:tc>
          <w:tcPr>
            <w:tcW w:w="12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32,281</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1888-2000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1996-2000</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TOWER</w:t>
            </w:r>
          </w:p>
        </w:tc>
        <w:tc>
          <w:tcPr>
            <w:tcW w:w="5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SHOPPNG</w:t>
            </w:r>
          </w:p>
        </w:tc>
        <w:tc>
          <w:tcPr>
            <w:tcW w:w="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CENTER</w:t>
            </w:r>
          </w:p>
        </w:tc>
        <w:tc>
          <w:tcPr>
            <w:tcW w:w="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7,170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10,518</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4,240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7,280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14,648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21,928</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8,738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1953-1960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8/24/1998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TOWER</w:t>
            </w: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SHOPS</w:t>
            </w: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1/19/11 &amp;</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(Florida)</w:t>
            </w:r>
          </w:p>
        </w:tc>
        <w:tc>
          <w:tcPr>
            <w:tcW w:w="540" w:type="dxa"/>
            <w:vAlign w:val="bottom"/>
          </w:tcPr>
          <w:p>
            <w:pPr>
              <w:ind w:left="140"/>
              <w:spacing w:after="0"/>
              <w:rPr>
                <w:sz w:val="20"/>
                <w:szCs w:val="20"/>
                <w:color w:val="auto"/>
              </w:rPr>
            </w:pPr>
            <w:r>
              <w:rPr>
                <w:rFonts w:ascii="Arial" w:cs="Arial" w:eastAsia="Arial" w:hAnsi="Arial"/>
                <w:sz w:val="14"/>
                <w:szCs w:val="14"/>
                <w:color w:val="auto"/>
              </w:rPr>
              <w:t>FL</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29,940</w:t>
            </w:r>
          </w:p>
        </w:tc>
        <w:tc>
          <w:tcPr>
            <w:tcW w:w="10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43,390</w:t>
            </w:r>
          </w:p>
        </w:tc>
        <w:tc>
          <w:tcPr>
            <w:tcW w:w="120" w:type="dxa"/>
            <w:vAlign w:val="bottom"/>
          </w:tcPr>
          <w:p>
            <w:pPr>
              <w:spacing w:after="0"/>
              <w:rPr>
                <w:sz w:val="16"/>
                <w:szCs w:val="16"/>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24,219</w:t>
            </w:r>
          </w:p>
        </w:tc>
        <w:tc>
          <w:tcPr>
            <w:tcW w:w="10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29,962</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67,587</w:t>
            </w:r>
          </w:p>
        </w:tc>
        <w:tc>
          <w:tcPr>
            <w:tcW w:w="10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97,549</w:t>
            </w:r>
          </w:p>
        </w:tc>
        <w:tc>
          <w:tcPr>
            <w:tcW w:w="12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15,761</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1989</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6/13/14</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TOWN</w:t>
            </w:r>
          </w:p>
        </w:tc>
        <w:tc>
          <w:tcPr>
            <w:tcW w:w="5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CENTER OF</w:t>
            </w:r>
          </w:p>
        </w:tc>
        <w:tc>
          <w:tcPr>
            <w:tcW w:w="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NEW BRITAIN</w:t>
            </w:r>
          </w:p>
        </w:tc>
        <w:tc>
          <w:tcPr>
            <w:tcW w:w="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(Pennsylvania)</w:t>
            </w:r>
          </w:p>
        </w:tc>
        <w:tc>
          <w:tcPr>
            <w:tcW w:w="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1,282</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12,285</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1,679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1,470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13,776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15,246</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5,087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1969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6/29/2006</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TOWSON</w:t>
            </w: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RESIDENTIAL</w:t>
            </w: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(FLATS @703)</w:t>
            </w: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(Maryland)</w:t>
            </w:r>
          </w:p>
        </w:tc>
        <w:tc>
          <w:tcPr>
            <w:tcW w:w="540" w:type="dxa"/>
            <w:vAlign w:val="bottom"/>
          </w:tcPr>
          <w:p>
            <w:pPr>
              <w:ind w:left="140"/>
              <w:spacing w:after="0"/>
              <w:rPr>
                <w:sz w:val="20"/>
                <w:szCs w:val="20"/>
                <w:color w:val="auto"/>
              </w:rPr>
            </w:pPr>
            <w:r>
              <w:rPr>
                <w:rFonts w:ascii="Arial" w:cs="Arial" w:eastAsia="Arial" w:hAnsi="Arial"/>
                <w:sz w:val="14"/>
                <w:szCs w:val="14"/>
                <w:color w:val="auto"/>
              </w:rPr>
              <w:t>MD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2,328</w:t>
            </w:r>
          </w:p>
        </w:tc>
        <w:tc>
          <w:tcPr>
            <w:tcW w:w="1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20,048</w:t>
            </w:r>
          </w:p>
        </w:tc>
        <w:tc>
          <w:tcPr>
            <w:tcW w:w="10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2,328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20,048</w:t>
            </w:r>
          </w:p>
        </w:tc>
        <w:tc>
          <w:tcPr>
            <w:tcW w:w="10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22,376</w:t>
            </w:r>
          </w:p>
        </w:tc>
        <w:tc>
          <w:tcPr>
            <w:tcW w:w="12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221</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2016-2017</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3/8/2007</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TROY (New</w:t>
            </w:r>
          </w:p>
        </w:tc>
        <w:tc>
          <w:tcPr>
            <w:tcW w:w="5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Jersey)</w:t>
            </w:r>
          </w:p>
        </w:tc>
        <w:tc>
          <w:tcPr>
            <w:tcW w:w="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NJ</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3,126</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5,193</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28,424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5,865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30,878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36,743</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21,234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1966</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7/23/1980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22 years</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TYSON'S</w:t>
            </w: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STATION</w:t>
            </w: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(Virginia)</w:t>
            </w:r>
          </w:p>
        </w:tc>
        <w:tc>
          <w:tcPr>
            <w:tcW w:w="540" w:type="dxa"/>
            <w:vAlign w:val="bottom"/>
          </w:tcPr>
          <w:p>
            <w:pPr>
              <w:ind w:left="140"/>
              <w:spacing w:after="0"/>
              <w:rPr>
                <w:sz w:val="20"/>
                <w:szCs w:val="20"/>
                <w:color w:val="auto"/>
              </w:rPr>
            </w:pPr>
            <w:r>
              <w:rPr>
                <w:rFonts w:ascii="Arial" w:cs="Arial" w:eastAsia="Arial" w:hAnsi="Arial"/>
                <w:sz w:val="14"/>
                <w:szCs w:val="14"/>
                <w:color w:val="auto"/>
              </w:rPr>
              <w:t>VA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388</w:t>
            </w:r>
          </w:p>
        </w:tc>
        <w:tc>
          <w:tcPr>
            <w:tcW w:w="10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453</w:t>
            </w:r>
          </w:p>
        </w:tc>
        <w:tc>
          <w:tcPr>
            <w:tcW w:w="120" w:type="dxa"/>
            <w:vAlign w:val="bottom"/>
          </w:tcPr>
          <w:p>
            <w:pPr>
              <w:spacing w:after="0"/>
              <w:rPr>
                <w:sz w:val="16"/>
                <w:szCs w:val="16"/>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3,825</w:t>
            </w:r>
          </w:p>
        </w:tc>
        <w:tc>
          <w:tcPr>
            <w:tcW w:w="10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4,191</w:t>
            </w:r>
          </w:p>
        </w:tc>
        <w:tc>
          <w:tcPr>
            <w:tcW w:w="10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4,666</w:t>
            </w:r>
          </w:p>
        </w:tc>
        <w:tc>
          <w:tcPr>
            <w:tcW w:w="12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3,737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1954</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1/17/1978</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17 years</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VILLAGE AT</w:t>
            </w:r>
          </w:p>
        </w:tc>
        <w:tc>
          <w:tcPr>
            <w:tcW w:w="5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SHIRLINGTON</w:t>
            </w:r>
          </w:p>
        </w:tc>
        <w:tc>
          <w:tcPr>
            <w:tcW w:w="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1940, 2006-</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6,646</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9,761</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14,808</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40,418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4,234</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60,753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64,987</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27,322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12/21/1995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WESTGATE</w:t>
            </w: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CENTER</w:t>
            </w: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540" w:type="dxa"/>
            <w:vAlign w:val="bottom"/>
          </w:tcPr>
          <w:p>
            <w:pPr>
              <w:ind w:left="140"/>
              <w:spacing w:after="0"/>
              <w:rPr>
                <w:sz w:val="20"/>
                <w:szCs w:val="20"/>
                <w:color w:val="auto"/>
              </w:rPr>
            </w:pPr>
            <w:r>
              <w:rPr>
                <w:rFonts w:ascii="Arial" w:cs="Arial" w:eastAsia="Arial" w:hAnsi="Arial"/>
                <w:sz w:val="14"/>
                <w:szCs w:val="14"/>
                <w:color w:val="auto"/>
              </w:rPr>
              <w:t>CA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6,319</w:t>
            </w:r>
          </w:p>
        </w:tc>
        <w:tc>
          <w:tcPr>
            <w:tcW w:w="10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107,284</w:t>
            </w:r>
          </w:p>
        </w:tc>
        <w:tc>
          <w:tcPr>
            <w:tcW w:w="120" w:type="dxa"/>
            <w:vAlign w:val="bottom"/>
          </w:tcPr>
          <w:p>
            <w:pPr>
              <w:spacing w:after="0"/>
              <w:rPr>
                <w:sz w:val="16"/>
                <w:szCs w:val="16"/>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39,726</w:t>
            </w:r>
          </w:p>
        </w:tc>
        <w:tc>
          <w:tcPr>
            <w:tcW w:w="10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6,319</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147,010</w:t>
            </w:r>
          </w:p>
        </w:tc>
        <w:tc>
          <w:tcPr>
            <w:tcW w:w="10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153,329</w:t>
            </w:r>
          </w:p>
        </w:tc>
        <w:tc>
          <w:tcPr>
            <w:tcW w:w="12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48,562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1960-1966</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3/31/2004</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WHITE</w:t>
            </w:r>
          </w:p>
        </w:tc>
        <w:tc>
          <w:tcPr>
            <w:tcW w:w="5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MARSH</w:t>
            </w:r>
          </w:p>
        </w:tc>
        <w:tc>
          <w:tcPr>
            <w:tcW w:w="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PLAZA</w:t>
            </w:r>
          </w:p>
        </w:tc>
        <w:tc>
          <w:tcPr>
            <w:tcW w:w="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3,478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21,413</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645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3,478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22,058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25,536</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8,491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1987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3/8/2007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WHITE</w:t>
            </w: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MARSH</w:t>
            </w: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OTHER</w:t>
            </w: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(Maryland)</w:t>
            </w:r>
          </w:p>
        </w:tc>
        <w:tc>
          <w:tcPr>
            <w:tcW w:w="540" w:type="dxa"/>
            <w:vAlign w:val="bottom"/>
          </w:tcPr>
          <w:p>
            <w:pPr>
              <w:ind w:left="140"/>
              <w:spacing w:after="0"/>
              <w:rPr>
                <w:sz w:val="20"/>
                <w:szCs w:val="20"/>
                <w:color w:val="auto"/>
              </w:rPr>
            </w:pPr>
            <w:r>
              <w:rPr>
                <w:rFonts w:ascii="Arial" w:cs="Arial" w:eastAsia="Arial" w:hAnsi="Arial"/>
                <w:sz w:val="14"/>
                <w:szCs w:val="14"/>
                <w:color w:val="auto"/>
              </w:rPr>
              <w:t>MD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31,953</w:t>
            </w:r>
          </w:p>
        </w:tc>
        <w:tc>
          <w:tcPr>
            <w:tcW w:w="10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1,843</w:t>
            </w:r>
          </w:p>
        </w:tc>
        <w:tc>
          <w:tcPr>
            <w:tcW w:w="120" w:type="dxa"/>
            <w:vAlign w:val="bottom"/>
          </w:tcPr>
          <w:p>
            <w:pPr>
              <w:spacing w:after="0"/>
              <w:rPr>
                <w:sz w:val="16"/>
                <w:szCs w:val="16"/>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31,983</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1,953</w:t>
            </w:r>
          </w:p>
        </w:tc>
        <w:tc>
          <w:tcPr>
            <w:tcW w:w="10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33,936</w:t>
            </w:r>
          </w:p>
        </w:tc>
        <w:tc>
          <w:tcPr>
            <w:tcW w:w="12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811</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1985</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3/8/2007</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WILDWOOD</w:t>
            </w:r>
          </w:p>
        </w:tc>
        <w:tc>
          <w:tcPr>
            <w:tcW w:w="5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9,111</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1,061</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10,291</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9,111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11,352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20,463</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8,839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1958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5/5/1969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33.33 years</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WILLOW</w:t>
            </w: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GROVE</w:t>
            </w: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(Pennsylvania)</w:t>
            </w:r>
          </w:p>
        </w:tc>
        <w:tc>
          <w:tcPr>
            <w:tcW w:w="540" w:type="dxa"/>
            <w:vAlign w:val="bottom"/>
          </w:tcPr>
          <w:p>
            <w:pPr>
              <w:ind w:left="140"/>
              <w:spacing w:after="0"/>
              <w:rPr>
                <w:sz w:val="20"/>
                <w:szCs w:val="20"/>
                <w:color w:val="auto"/>
              </w:rPr>
            </w:pPr>
            <w:r>
              <w:rPr>
                <w:rFonts w:ascii="Arial" w:cs="Arial" w:eastAsia="Arial" w:hAnsi="Arial"/>
                <w:sz w:val="14"/>
                <w:szCs w:val="14"/>
                <w:color w:val="auto"/>
              </w:rPr>
              <w:t>PA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1,499</w:t>
            </w:r>
          </w:p>
        </w:tc>
        <w:tc>
          <w:tcPr>
            <w:tcW w:w="10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6,643</w:t>
            </w:r>
          </w:p>
        </w:tc>
        <w:tc>
          <w:tcPr>
            <w:tcW w:w="120" w:type="dxa"/>
            <w:vAlign w:val="bottom"/>
          </w:tcPr>
          <w:p>
            <w:pPr>
              <w:spacing w:after="0"/>
              <w:rPr>
                <w:sz w:val="16"/>
                <w:szCs w:val="16"/>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22,115</w:t>
            </w:r>
          </w:p>
        </w:tc>
        <w:tc>
          <w:tcPr>
            <w:tcW w:w="10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1,499</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28,758</w:t>
            </w:r>
          </w:p>
        </w:tc>
        <w:tc>
          <w:tcPr>
            <w:tcW w:w="10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30,257</w:t>
            </w:r>
          </w:p>
        </w:tc>
        <w:tc>
          <w:tcPr>
            <w:tcW w:w="120" w:type="dxa"/>
            <w:vAlign w:val="bottom"/>
          </w:tcPr>
          <w:p>
            <w:pPr>
              <w:spacing w:after="0"/>
              <w:rPr>
                <w:sz w:val="16"/>
                <w:szCs w:val="16"/>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26,206</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1953</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11/20/1984</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WILLOW</w:t>
            </w:r>
          </w:p>
        </w:tc>
        <w:tc>
          <w:tcPr>
            <w:tcW w:w="5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LAWN</w:t>
            </w:r>
          </w:p>
        </w:tc>
        <w:tc>
          <w:tcPr>
            <w:tcW w:w="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3,192</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7,723</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84,407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7,790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87,532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95,322</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56,879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1957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12/5/1983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WYNNEWOOD</w:t>
            </w: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0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(Pennsylvania)</w:t>
            </w:r>
          </w:p>
        </w:tc>
        <w:tc>
          <w:tcPr>
            <w:tcW w:w="5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PA</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8,055</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13,759</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21,092</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8,055</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34,851</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42,906</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23,196</w:t>
            </w:r>
          </w:p>
        </w:tc>
        <w:tc>
          <w:tcPr>
            <w:tcW w:w="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1948</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10/29/1996</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242"/>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TOTALS</w:t>
            </w:r>
          </w:p>
        </w:tc>
        <w:tc>
          <w:tcPr>
            <w:tcW w:w="5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  563,061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89"/>
              </w:rPr>
              <w:t>$ 1,459,351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91"/>
              </w:rPr>
              <w:t>$ 2,425,230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89"/>
              </w:rPr>
              <w:t>$ 3,750,480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89"/>
              </w:rPr>
              <w:t>$ 1,427,777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91"/>
              </w:rPr>
              <w:t>$ 6,207,284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91"/>
              </w:rPr>
              <w:t>$ 7,635,061</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89"/>
              </w:rPr>
              <w:t>$ 1,876,544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1420"/>
          </w:cols>
          <w:pgMar w:left="240" w:top="126" w:right="239" w:bottom="144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184"/>
        </w:trPr>
        <w:tc>
          <w:tcPr>
            <w:tcW w:w="10060" w:type="dxa"/>
            <w:vAlign w:val="bottom"/>
            <w:gridSpan w:val="2"/>
          </w:tcPr>
          <w:p>
            <w:pPr>
              <w:spacing w:after="0"/>
              <w:rPr>
                <w:rFonts w:ascii="Arial" w:cs="Arial" w:eastAsia="Arial" w:hAnsi="Arial"/>
                <w:sz w:val="16"/>
                <w:szCs w:val="16"/>
                <w:b w:val="1"/>
                <w:bCs w:val="1"/>
                <w:color w:val="0000EE"/>
              </w:rPr>
            </w:pPr>
            <w:hyperlink w:anchor="page59">
              <w:r>
                <w:rPr>
                  <w:rFonts w:ascii="Arial" w:cs="Arial" w:eastAsia="Arial" w:hAnsi="Arial"/>
                  <w:sz w:val="16"/>
                  <w:szCs w:val="16"/>
                  <w:b w:val="1"/>
                  <w:bCs w:val="1"/>
                  <w:color w:val="0000EE"/>
                </w:rPr>
                <w:t>Table of Contents</w:t>
              </w:r>
            </w:hyperlink>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6"/>
        </w:trPr>
        <w:tc>
          <w:tcPr>
            <w:tcW w:w="1220" w:type="dxa"/>
            <w:vAlign w:val="bottom"/>
            <w:tcBorders>
              <w:top w:val="single" w:sz="8" w:color="0000EE"/>
            </w:tcBorders>
          </w:tcPr>
          <w:p>
            <w:pPr>
              <w:spacing w:after="0"/>
              <w:rPr>
                <w:sz w:val="24"/>
                <w:szCs w:val="24"/>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rPr>
              <w:t>FEDERAL REALTY INVESTMENT TRUST</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70"/>
              <w:spacing w:after="0"/>
              <w:rPr>
                <w:sz w:val="20"/>
                <w:szCs w:val="20"/>
                <w:color w:val="auto"/>
              </w:rPr>
            </w:pPr>
            <w:r>
              <w:rPr>
                <w:rFonts w:ascii="Arial" w:cs="Arial" w:eastAsia="Arial" w:hAnsi="Arial"/>
                <w:sz w:val="18"/>
                <w:szCs w:val="18"/>
                <w:b w:val="1"/>
                <w:bCs w:val="1"/>
                <w:color w:val="auto"/>
              </w:rPr>
              <w:t>SCHEDULE III</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rPr>
              <w:t>SUMMARY OF REAL ESTATE AND ACCUMULATED DEPRECIATION - CONTINUED</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Three Years Ended December 31, 2017</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Reconciliation of Total Cost</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220" w:type="dxa"/>
            <w:vAlign w:val="bottom"/>
          </w:tcPr>
          <w:p>
            <w:pPr>
              <w:spacing w:after="0"/>
              <w:rPr>
                <w:sz w:val="4"/>
                <w:szCs w:val="4"/>
                <w:color w:val="auto"/>
              </w:rPr>
            </w:pPr>
          </w:p>
        </w:tc>
        <w:tc>
          <w:tcPr>
            <w:tcW w:w="8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5,608,998</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Additions during period</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291,726</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500"/>
              <w:spacing w:after="0"/>
              <w:rPr>
                <w:sz w:val="20"/>
                <w:szCs w:val="20"/>
                <w:color w:val="auto"/>
              </w:rPr>
            </w:pPr>
            <w:r>
              <w:rPr>
                <w:rFonts w:ascii="Arial" w:cs="Arial" w:eastAsia="Arial" w:hAnsi="Arial"/>
                <w:sz w:val="18"/>
                <w:szCs w:val="18"/>
                <w:color w:val="auto"/>
              </w:rPr>
              <w:t>Improvements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281,471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Deduction during period—dispositions and retirements of property</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(117,789)</w:t>
            </w:r>
          </w:p>
        </w:tc>
        <w:tc>
          <w:tcPr>
            <w:tcW w:w="0" w:type="dxa"/>
            <w:vAlign w:val="bottom"/>
          </w:tcPr>
          <w:p>
            <w:pPr>
              <w:spacing w:after="0"/>
              <w:rPr>
                <w:sz w:val="1"/>
                <w:szCs w:val="1"/>
                <w:color w:val="auto"/>
              </w:rPr>
            </w:pPr>
          </w:p>
        </w:tc>
      </w:tr>
      <w:tr>
        <w:trPr>
          <w:trHeight w:val="236"/>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Balance, December 31, 2015</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6,064,406</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Additions during period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60" w:type="dxa"/>
            <w:vAlign w:val="bottom"/>
            <w:gridSpan w:val="2"/>
          </w:tcPr>
          <w:p>
            <w:pPr>
              <w:ind w:left="500"/>
              <w:spacing w:after="0"/>
              <w:rPr>
                <w:sz w:val="20"/>
                <w:szCs w:val="20"/>
                <w:color w:val="auto"/>
              </w:rPr>
            </w:pPr>
            <w:r>
              <w:rPr>
                <w:rFonts w:ascii="Arial" w:cs="Arial" w:eastAsia="Arial" w:hAnsi="Arial"/>
                <w:sz w:val="18"/>
                <w:szCs w:val="18"/>
                <w:color w:val="auto"/>
              </w:rPr>
              <w:t>Acquisitions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229,296</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Improvements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483,932</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Deduction during period—dispositions and retirements of property</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(18,561)</w:t>
            </w:r>
          </w:p>
        </w:tc>
        <w:tc>
          <w:tcPr>
            <w:tcW w:w="0" w:type="dxa"/>
            <w:vAlign w:val="bottom"/>
          </w:tcPr>
          <w:p>
            <w:pPr>
              <w:spacing w:after="0"/>
              <w:rPr>
                <w:sz w:val="1"/>
                <w:szCs w:val="1"/>
                <w:color w:val="auto"/>
              </w:rPr>
            </w:pPr>
          </w:p>
        </w:tc>
      </w:tr>
      <w:tr>
        <w:trPr>
          <w:trHeight w:val="27"/>
        </w:trPr>
        <w:tc>
          <w:tcPr>
            <w:tcW w:w="1220" w:type="dxa"/>
            <w:vAlign w:val="bottom"/>
            <w:tcBorders>
              <w:bottom w:val="single" w:sz="8" w:color="CCEEFF"/>
            </w:tcBorders>
          </w:tcPr>
          <w:p>
            <w:pPr>
              <w:spacing w:after="0"/>
              <w:rPr>
                <w:sz w:val="2"/>
                <w:szCs w:val="2"/>
                <w:color w:val="auto"/>
              </w:rPr>
            </w:pPr>
          </w:p>
        </w:tc>
        <w:tc>
          <w:tcPr>
            <w:tcW w:w="8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6,759,073</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Additions during period</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555,476</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500"/>
              <w:spacing w:after="0"/>
              <w:rPr>
                <w:sz w:val="20"/>
                <w:szCs w:val="20"/>
                <w:color w:val="auto"/>
              </w:rPr>
            </w:pPr>
            <w:r>
              <w:rPr>
                <w:rFonts w:ascii="Arial" w:cs="Arial" w:eastAsia="Arial" w:hAnsi="Arial"/>
                <w:sz w:val="18"/>
                <w:szCs w:val="18"/>
                <w:color w:val="auto"/>
              </w:rPr>
              <w:t>Improvements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492,541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Deduction during period—dispositions and retirements of property</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(172,029)</w:t>
            </w:r>
          </w:p>
        </w:tc>
        <w:tc>
          <w:tcPr>
            <w:tcW w:w="0" w:type="dxa"/>
            <w:vAlign w:val="bottom"/>
          </w:tcPr>
          <w:p>
            <w:pPr>
              <w:spacing w:after="0"/>
              <w:rPr>
                <w:sz w:val="1"/>
                <w:szCs w:val="1"/>
                <w:color w:val="auto"/>
              </w:rPr>
            </w:pPr>
          </w:p>
        </w:tc>
      </w:tr>
      <w:tr>
        <w:trPr>
          <w:trHeight w:val="257"/>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Balance, December 31, 2017 (1)</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7,635,061</w:t>
            </w:r>
          </w:p>
        </w:tc>
        <w:tc>
          <w:tcPr>
            <w:tcW w:w="0" w:type="dxa"/>
            <w:vAlign w:val="bottom"/>
          </w:tcPr>
          <w:p>
            <w:pPr>
              <w:spacing w:after="0"/>
              <w:rPr>
                <w:sz w:val="1"/>
                <w:szCs w:val="1"/>
                <w:color w:val="auto"/>
              </w:rPr>
            </w:pPr>
          </w:p>
        </w:tc>
      </w:tr>
      <w:tr>
        <w:trPr>
          <w:trHeight w:val="20"/>
        </w:trPr>
        <w:tc>
          <w:tcPr>
            <w:tcW w:w="1006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10060" w:type="dxa"/>
            <w:vAlign w:val="bottom"/>
            <w:gridSpan w:val="2"/>
          </w:tcPr>
          <w:p>
            <w:pPr>
              <w:spacing w:after="0"/>
              <w:rPr>
                <w:sz w:val="20"/>
                <w:szCs w:val="20"/>
                <w:color w:val="auto"/>
              </w:rPr>
            </w:pPr>
            <w:r>
              <w:rPr>
                <w:rFonts w:ascii="Arial" w:cs="Arial" w:eastAsia="Arial" w:hAnsi="Arial"/>
                <w:sz w:val="18"/>
                <w:szCs w:val="18"/>
                <w:color w:val="auto"/>
              </w:rPr>
              <w:t>(1)  For Federal tax purposes, the aggregate cost basis is approximately $6.7 billion as of December 31, 2017.</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1220" w:type="dxa"/>
            <w:vAlign w:val="bottom"/>
          </w:tcPr>
          <w:p>
            <w:pPr>
              <w:spacing w:after="0"/>
              <w:rPr>
                <w:sz w:val="24"/>
                <w:szCs w:val="24"/>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color w:val="auto"/>
                <w:w w:val="91"/>
              </w:rPr>
              <w:t>F-37</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60" w:type="dxa"/>
            <w:vAlign w:val="bottom"/>
            <w:gridSpan w:val="2"/>
          </w:tcPr>
          <w:p>
            <w:pPr>
              <w:spacing w:after="0"/>
              <w:rPr>
                <w:rFonts w:ascii="Arial" w:cs="Arial" w:eastAsia="Arial" w:hAnsi="Arial"/>
                <w:sz w:val="16"/>
                <w:szCs w:val="16"/>
                <w:b w:val="1"/>
                <w:bCs w:val="1"/>
                <w:color w:val="0000EE"/>
              </w:rPr>
            </w:pPr>
            <w:hyperlink w:anchor="page59">
              <w:r>
                <w:rPr>
                  <w:rFonts w:ascii="Arial" w:cs="Arial" w:eastAsia="Arial" w:hAnsi="Arial"/>
                  <w:sz w:val="16"/>
                  <w:szCs w:val="16"/>
                  <w:b w:val="1"/>
                  <w:bCs w:val="1"/>
                  <w:color w:val="0000EE"/>
                </w:rPr>
                <w:t>Table of Contents</w:t>
              </w:r>
            </w:hyperlink>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6"/>
        </w:trPr>
        <w:tc>
          <w:tcPr>
            <w:tcW w:w="1220" w:type="dxa"/>
            <w:vAlign w:val="bottom"/>
            <w:tcBorders>
              <w:top w:val="single" w:sz="8" w:color="0000EE"/>
            </w:tcBorders>
          </w:tcPr>
          <w:p>
            <w:pPr>
              <w:spacing w:after="0"/>
              <w:rPr>
                <w:sz w:val="24"/>
                <w:szCs w:val="24"/>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rPr>
              <w:t>FEDERAL REALTY INVESTMENT TRUST</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70"/>
              <w:spacing w:after="0"/>
              <w:rPr>
                <w:sz w:val="20"/>
                <w:szCs w:val="20"/>
                <w:color w:val="auto"/>
              </w:rPr>
            </w:pPr>
            <w:r>
              <w:rPr>
                <w:rFonts w:ascii="Arial" w:cs="Arial" w:eastAsia="Arial" w:hAnsi="Arial"/>
                <w:sz w:val="18"/>
                <w:szCs w:val="18"/>
                <w:b w:val="1"/>
                <w:bCs w:val="1"/>
                <w:color w:val="auto"/>
              </w:rPr>
              <w:t>SCHEDULE III</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rPr>
              <w:t>SUMMARY OF REAL ESTATE AND ACCUMULATED DEPRECIATION - CONTINUED</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Three Years Ended December 31, 2017</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Reconciliation of Accumulated Depreciation and Amortization</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220" w:type="dxa"/>
            <w:vAlign w:val="bottom"/>
          </w:tcPr>
          <w:p>
            <w:pPr>
              <w:spacing w:after="0"/>
              <w:rPr>
                <w:sz w:val="4"/>
                <w:szCs w:val="4"/>
                <w:color w:val="auto"/>
              </w:rPr>
            </w:pPr>
          </w:p>
        </w:tc>
        <w:tc>
          <w:tcPr>
            <w:tcW w:w="8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1,467,050</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Additions during period—depreciation and amortization expense</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156,513</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Deductions during period—dispositions and retirements of property</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(49,522)</w:t>
            </w:r>
          </w:p>
        </w:tc>
        <w:tc>
          <w:tcPr>
            <w:tcW w:w="0" w:type="dxa"/>
            <w:vAlign w:val="bottom"/>
          </w:tcPr>
          <w:p>
            <w:pPr>
              <w:spacing w:after="0"/>
              <w:rPr>
                <w:sz w:val="1"/>
                <w:szCs w:val="1"/>
                <w:color w:val="auto"/>
              </w:rPr>
            </w:pPr>
          </w:p>
        </w:tc>
      </w:tr>
      <w:tr>
        <w:trPr>
          <w:trHeight w:val="236"/>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Balance, December 31, 2015</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1,574,041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Additions during period—depreciation and amortization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173,244</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Deductions during period—dispositions and retirements of property</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(18,051)</w:t>
            </w:r>
          </w:p>
        </w:tc>
        <w:tc>
          <w:tcPr>
            <w:tcW w:w="0" w:type="dxa"/>
            <w:vAlign w:val="bottom"/>
          </w:tcPr>
          <w:p>
            <w:pPr>
              <w:spacing w:after="0"/>
              <w:rPr>
                <w:sz w:val="1"/>
                <w:szCs w:val="1"/>
                <w:color w:val="auto"/>
              </w:rPr>
            </w:pPr>
          </w:p>
        </w:tc>
      </w:tr>
      <w:tr>
        <w:trPr>
          <w:trHeight w:val="27"/>
        </w:trPr>
        <w:tc>
          <w:tcPr>
            <w:tcW w:w="1220" w:type="dxa"/>
            <w:vAlign w:val="bottom"/>
            <w:tcBorders>
              <w:bottom w:val="single" w:sz="8" w:color="CCEEFF"/>
            </w:tcBorders>
          </w:tcPr>
          <w:p>
            <w:pPr>
              <w:spacing w:after="0"/>
              <w:rPr>
                <w:sz w:val="2"/>
                <w:szCs w:val="2"/>
                <w:color w:val="auto"/>
              </w:rPr>
            </w:pPr>
          </w:p>
        </w:tc>
        <w:tc>
          <w:tcPr>
            <w:tcW w:w="8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1,729,234</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Additions during period—depreciation and amortization expense</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193,340</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Deductions during period—dispositions and retirements of property</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(46,030)</w:t>
            </w:r>
          </w:p>
        </w:tc>
        <w:tc>
          <w:tcPr>
            <w:tcW w:w="0" w:type="dxa"/>
            <w:vAlign w:val="bottom"/>
          </w:tcPr>
          <w:p>
            <w:pPr>
              <w:spacing w:after="0"/>
              <w:rPr>
                <w:sz w:val="1"/>
                <w:szCs w:val="1"/>
                <w:color w:val="auto"/>
              </w:rPr>
            </w:pPr>
          </w:p>
        </w:tc>
      </w:tr>
      <w:tr>
        <w:trPr>
          <w:trHeight w:val="257"/>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Balance, December 31, 2017</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1,876,544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840" w:type="dxa"/>
            <w:vAlign w:val="bottom"/>
            <w:vMerge w:val="restart"/>
          </w:tcPr>
          <w:p>
            <w:pPr>
              <w:jc w:val="center"/>
              <w:ind w:left="50"/>
              <w:spacing w:after="0"/>
              <w:rPr>
                <w:sz w:val="20"/>
                <w:szCs w:val="20"/>
                <w:color w:val="auto"/>
              </w:rPr>
            </w:pPr>
            <w:r>
              <w:rPr>
                <w:rFonts w:ascii="Arial" w:cs="Arial" w:eastAsia="Arial" w:hAnsi="Arial"/>
                <w:sz w:val="18"/>
                <w:szCs w:val="18"/>
                <w:color w:val="auto"/>
                <w:w w:val="91"/>
              </w:rPr>
              <w:t>F-38</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1"/>
        </w:trPr>
        <w:tc>
          <w:tcPr>
            <w:tcW w:w="1220" w:type="dxa"/>
            <w:vAlign w:val="bottom"/>
          </w:tcPr>
          <w:p>
            <w:pPr>
              <w:spacing w:after="0"/>
              <w:rPr>
                <w:sz w:val="24"/>
                <w:szCs w:val="24"/>
                <w:color w:val="auto"/>
              </w:rPr>
            </w:pPr>
          </w:p>
        </w:tc>
        <w:tc>
          <w:tcPr>
            <w:tcW w:w="88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96" w:name="page97"/>
    <w:bookmarkEnd w:id="96"/>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MORTGAGE LOANS ON REAL ESTATE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2017</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gridSpan w:val="2"/>
          </w:tcPr>
          <w:p>
            <w:pPr>
              <w:ind w:left="440"/>
              <w:spacing w:after="0"/>
              <w:rPr>
                <w:sz w:val="20"/>
                <w:szCs w:val="20"/>
                <w:color w:val="auto"/>
              </w:rPr>
            </w:pPr>
            <w:r>
              <w:rPr>
                <w:rFonts w:ascii="Arial" w:cs="Arial" w:eastAsia="Arial" w:hAnsi="Arial"/>
                <w:sz w:val="14"/>
                <w:szCs w:val="14"/>
                <w:b w:val="1"/>
                <w:bCs w:val="1"/>
                <w:color w:val="auto"/>
              </w:rPr>
              <w:t>Column A</w:t>
            </w: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Column B</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Column C</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Column D</w:t>
            </w:r>
          </w:p>
        </w:tc>
        <w:tc>
          <w:tcPr>
            <w:tcW w:w="220" w:type="dxa"/>
            <w:vAlign w:val="bottom"/>
          </w:tcPr>
          <w:p>
            <w:pPr>
              <w:spacing w:after="0"/>
              <w:rPr>
                <w:sz w:val="16"/>
                <w:szCs w:val="16"/>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7"/>
              </w:rPr>
              <w:t>Column E</w:t>
            </w:r>
          </w:p>
        </w:tc>
        <w:tc>
          <w:tcPr>
            <w:tcW w:w="160" w:type="dxa"/>
            <w:vAlign w:val="bottom"/>
          </w:tcPr>
          <w:p>
            <w:pPr>
              <w:spacing w:after="0"/>
              <w:rPr>
                <w:sz w:val="16"/>
                <w:szCs w:val="16"/>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Column F</w:t>
            </w:r>
          </w:p>
        </w:tc>
        <w:tc>
          <w:tcPr>
            <w:tcW w:w="160" w:type="dxa"/>
            <w:vAlign w:val="bottom"/>
          </w:tcPr>
          <w:p>
            <w:pPr>
              <w:spacing w:after="0"/>
              <w:rPr>
                <w:sz w:val="16"/>
                <w:szCs w:val="16"/>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Column G</w:t>
            </w:r>
          </w:p>
        </w:tc>
        <w:tc>
          <w:tcPr>
            <w:tcW w:w="140" w:type="dxa"/>
            <w:vAlign w:val="bottom"/>
          </w:tcPr>
          <w:p>
            <w:pPr>
              <w:spacing w:after="0"/>
              <w:rPr>
                <w:sz w:val="16"/>
                <w:szCs w:val="16"/>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Column H</w:t>
            </w:r>
          </w:p>
        </w:tc>
        <w:tc>
          <w:tcPr>
            <w:tcW w:w="0" w:type="dxa"/>
            <w:vAlign w:val="bottom"/>
          </w:tcPr>
          <w:p>
            <w:pPr>
              <w:spacing w:after="0"/>
              <w:rPr>
                <w:sz w:val="1"/>
                <w:szCs w:val="1"/>
                <w:color w:val="auto"/>
              </w:rPr>
            </w:pPr>
          </w:p>
        </w:tc>
      </w:tr>
      <w:tr>
        <w:trPr>
          <w:trHeight w:val="152"/>
        </w:trPr>
        <w:tc>
          <w:tcPr>
            <w:tcW w:w="1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center"/>
              <w:ind w:right="480"/>
              <w:spacing w:after="0" w:line="152"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of Loans</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Subject to</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Periodic Payment</w:t>
            </w:r>
          </w:p>
        </w:tc>
        <w:tc>
          <w:tcPr>
            <w:tcW w:w="220" w:type="dxa"/>
            <w:vAlign w:val="bottom"/>
          </w:tcPr>
          <w:p>
            <w:pPr>
              <w:spacing w:after="0"/>
              <w:rPr>
                <w:sz w:val="12"/>
                <w:szCs w:val="12"/>
                <w:color w:val="auto"/>
              </w:rPr>
            </w:pPr>
          </w:p>
        </w:tc>
        <w:tc>
          <w:tcPr>
            <w:tcW w:w="120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7"/>
              </w:rPr>
              <w:t>Prior</w:t>
            </w:r>
          </w:p>
        </w:tc>
        <w:tc>
          <w:tcPr>
            <w:tcW w:w="160" w:type="dxa"/>
            <w:vAlign w:val="bottom"/>
          </w:tcPr>
          <w:p>
            <w:pPr>
              <w:spacing w:after="0"/>
              <w:rPr>
                <w:sz w:val="12"/>
                <w:szCs w:val="12"/>
                <w:color w:val="auto"/>
              </w:rPr>
            </w:pPr>
          </w:p>
        </w:tc>
        <w:tc>
          <w:tcPr>
            <w:tcW w:w="11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0"/>
              </w:rPr>
              <w:t>Face Amount</w:t>
            </w:r>
          </w:p>
        </w:tc>
        <w:tc>
          <w:tcPr>
            <w:tcW w:w="1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delinquent</w:t>
            </w:r>
          </w:p>
        </w:tc>
        <w:tc>
          <w:tcPr>
            <w:tcW w:w="0" w:type="dxa"/>
            <w:vAlign w:val="bottom"/>
          </w:tcPr>
          <w:p>
            <w:pPr>
              <w:spacing w:after="0"/>
              <w:rPr>
                <w:sz w:val="1"/>
                <w:szCs w:val="1"/>
                <w:color w:val="auto"/>
              </w:rPr>
            </w:pPr>
          </w:p>
        </w:tc>
      </w:tr>
      <w:tr>
        <w:trPr>
          <w:trHeight w:val="148"/>
        </w:trPr>
        <w:tc>
          <w:tcPr>
            <w:tcW w:w="1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Lien</w:t>
            </w:r>
          </w:p>
        </w:tc>
        <w:tc>
          <w:tcPr>
            <w:tcW w:w="120" w:type="dxa"/>
            <w:vAlign w:val="bottom"/>
            <w:vMerge w:val="restart"/>
          </w:tcPr>
          <w:p>
            <w:pPr>
              <w:spacing w:after="0"/>
              <w:rPr>
                <w:sz w:val="12"/>
                <w:szCs w:val="12"/>
                <w:color w:val="auto"/>
              </w:rPr>
            </w:pPr>
          </w:p>
        </w:tc>
        <w:tc>
          <w:tcPr>
            <w:tcW w:w="1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Interest Rate</w:t>
            </w:r>
          </w:p>
        </w:tc>
        <w:tc>
          <w:tcPr>
            <w:tcW w:w="120" w:type="dxa"/>
            <w:vAlign w:val="bottom"/>
            <w:vMerge w:val="restart"/>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140" w:type="dxa"/>
            <w:vAlign w:val="bottom"/>
            <w:vMerge w:val="restart"/>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Terms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Liens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0"/>
              </w:rPr>
              <w:t>of Mortgages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of Mortgages(1)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3"/>
              </w:rPr>
              <w:t>or Interest</w:t>
            </w:r>
          </w:p>
        </w:tc>
        <w:tc>
          <w:tcPr>
            <w:tcW w:w="0" w:type="dxa"/>
            <w:vAlign w:val="bottom"/>
          </w:tcPr>
          <w:p>
            <w:pPr>
              <w:spacing w:after="0"/>
              <w:rPr>
                <w:sz w:val="1"/>
                <w:szCs w:val="1"/>
                <w:color w:val="auto"/>
              </w:rPr>
            </w:pPr>
          </w:p>
        </w:tc>
      </w:tr>
      <w:tr>
        <w:trPr>
          <w:trHeight w:val="219"/>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Mortgage on</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8% or 10%</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May 2021</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only</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w w:val="98"/>
              </w:rPr>
              <w:t>21,179</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21,179   (2)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retail buildings in</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based on</w:t>
            </w: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monthly; balloon</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Philadelphia, PA</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timing of</w:t>
            </w: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payment due</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draws, plus</w:t>
            </w: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at maturity</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participation</w:t>
            </w: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Mortgage on retail</w:t>
            </w: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10% plus</w:t>
            </w:r>
          </w:p>
        </w:tc>
        <w:tc>
          <w:tcPr>
            <w:tcW w:w="1400" w:type="dxa"/>
            <w:vAlign w:val="bottom"/>
            <w:gridSpan w:val="2"/>
          </w:tcPr>
          <w:p>
            <w:pPr>
              <w:ind w:left="20"/>
              <w:spacing w:after="0"/>
              <w:rPr>
                <w:sz w:val="20"/>
                <w:szCs w:val="20"/>
                <w:color w:val="auto"/>
              </w:rPr>
            </w:pPr>
            <w:r>
              <w:rPr>
                <w:rFonts w:ascii="Arial" w:cs="Arial" w:eastAsia="Arial" w:hAnsi="Arial"/>
                <w:sz w:val="16"/>
                <w:szCs w:val="16"/>
                <w:color w:val="auto"/>
              </w:rPr>
              <w:t>May 2021</w:t>
            </w:r>
          </w:p>
        </w:tc>
        <w:tc>
          <w:tcPr>
            <w:tcW w:w="1600" w:type="dxa"/>
            <w:vAlign w:val="bottom"/>
            <w:gridSpan w:val="2"/>
          </w:tcPr>
          <w:p>
            <w:pPr>
              <w:ind w:left="20"/>
              <w:spacing w:after="0"/>
              <w:rPr>
                <w:sz w:val="20"/>
                <w:szCs w:val="20"/>
                <w:color w:val="auto"/>
              </w:rPr>
            </w:pPr>
            <w:r>
              <w:rPr>
                <w:rFonts w:ascii="Arial" w:cs="Arial" w:eastAsia="Arial" w:hAnsi="Arial"/>
                <w:sz w:val="16"/>
                <w:szCs w:val="16"/>
                <w:color w:val="auto"/>
              </w:rPr>
              <w:t>Interest only</w:t>
            </w:r>
          </w:p>
        </w:tc>
        <w:tc>
          <w:tcPr>
            <w:tcW w:w="220" w:type="dxa"/>
            <w:vAlign w:val="bottom"/>
          </w:tcPr>
          <w:p>
            <w:pPr>
              <w:spacing w:after="0"/>
              <w:rPr>
                <w:sz w:val="19"/>
                <w:szCs w:val="19"/>
                <w:color w:val="auto"/>
              </w:rPr>
            </w:pPr>
          </w:p>
        </w:tc>
        <w:tc>
          <w:tcPr>
            <w:tcW w:w="120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620" w:type="dxa"/>
            <w:vAlign w:val="bottom"/>
          </w:tcPr>
          <w:p>
            <w:pPr>
              <w:jc w:val="right"/>
              <w:ind w:right="44"/>
              <w:spacing w:after="0"/>
              <w:rPr>
                <w:sz w:val="20"/>
                <w:szCs w:val="20"/>
                <w:color w:val="auto"/>
              </w:rPr>
            </w:pPr>
            <w:r>
              <w:rPr>
                <w:rFonts w:ascii="Arial" w:cs="Arial" w:eastAsia="Arial" w:hAnsi="Arial"/>
                <w:sz w:val="16"/>
                <w:szCs w:val="16"/>
                <w:color w:val="auto"/>
              </w:rPr>
              <w:t>9,250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44"/>
              <w:spacing w:after="0"/>
              <w:rPr>
                <w:sz w:val="20"/>
                <w:szCs w:val="20"/>
                <w:color w:val="auto"/>
              </w:rPr>
            </w:pPr>
            <w:r>
              <w:rPr>
                <w:rFonts w:ascii="Arial" w:cs="Arial" w:eastAsia="Arial" w:hAnsi="Arial"/>
                <w:sz w:val="16"/>
                <w:szCs w:val="16"/>
                <w:color w:val="auto"/>
              </w:rPr>
              <w:t>9,250</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buildings in</w:t>
            </w: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participation</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auto"/>
              </w:rPr>
              <w:t>monthly;</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Philadelphia, PA</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auto"/>
              </w:rPr>
              <w:t>balloon payment due</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auto"/>
              </w:rPr>
              <w:t>at maturity</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w w:val="98"/>
              </w:rPr>
              <w:t>30,429</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30,429</w:t>
            </w: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gridSpan w:val="3"/>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For Federal tax purposes, the aggregate tax basis is approximately $30.4 million as of December 31, 2017.</w:t>
      </w:r>
    </w:p>
    <w:p>
      <w:pPr>
        <w:spacing w:after="0" w:line="8" w:lineRule="exact"/>
        <w:rPr>
          <w:rFonts w:ascii="Arial" w:cs="Arial" w:eastAsia="Arial" w:hAnsi="Arial"/>
          <w:sz w:val="16"/>
          <w:szCs w:val="16"/>
          <w:color w:val="auto"/>
        </w:rPr>
      </w:pPr>
    </w:p>
    <w:p>
      <w:pPr>
        <w:ind w:left="340" w:hanging="332"/>
        <w:spacing w:after="0"/>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This mortgage is available for up to $25.0 million.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126"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84"/>
        </w:trPr>
        <w:tc>
          <w:tcPr>
            <w:tcW w:w="3220" w:type="dxa"/>
            <w:vAlign w:val="bottom"/>
            <w:gridSpan w:val="2"/>
          </w:tcPr>
          <w:p>
            <w:pPr>
              <w:spacing w:after="0"/>
              <w:rPr>
                <w:rFonts w:ascii="Arial" w:cs="Arial" w:eastAsia="Arial" w:hAnsi="Arial"/>
                <w:sz w:val="16"/>
                <w:szCs w:val="16"/>
                <w:b w:val="1"/>
                <w:bCs w:val="1"/>
                <w:color w:val="0000EE"/>
              </w:rPr>
            </w:pPr>
            <w:hyperlink w:anchor="page59">
              <w:r>
                <w:rPr>
                  <w:rFonts w:ascii="Arial" w:cs="Arial" w:eastAsia="Arial" w:hAnsi="Arial"/>
                  <w:sz w:val="16"/>
                  <w:szCs w:val="16"/>
                  <w:b w:val="1"/>
                  <w:bCs w:val="1"/>
                  <w:color w:val="0000EE"/>
                </w:rPr>
                <w:t>Table of Contents</w:t>
              </w:r>
            </w:hyperlink>
          </w:p>
        </w:tc>
        <w:tc>
          <w:tcPr>
            <w:tcW w:w="6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636"/>
        </w:trPr>
        <w:tc>
          <w:tcPr>
            <w:tcW w:w="122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7240" w:type="dxa"/>
            <w:vAlign w:val="bottom"/>
            <w:gridSpan w:val="2"/>
          </w:tcPr>
          <w:p>
            <w:pPr>
              <w:jc w:val="center"/>
              <w:ind w:right="2170"/>
              <w:spacing w:after="0"/>
              <w:rPr>
                <w:sz w:val="20"/>
                <w:szCs w:val="20"/>
                <w:color w:val="auto"/>
              </w:rPr>
            </w:pPr>
            <w:r>
              <w:rPr>
                <w:rFonts w:ascii="Arial" w:cs="Arial" w:eastAsia="Arial" w:hAnsi="Arial"/>
                <w:sz w:val="18"/>
                <w:szCs w:val="18"/>
                <w:b w:val="1"/>
                <w:bCs w:val="1"/>
                <w:color w:val="auto"/>
              </w:rPr>
              <w:t>FEDERAL REALTY INVESTMENT TRUST</w:t>
            </w:r>
          </w:p>
        </w:tc>
        <w:tc>
          <w:tcPr>
            <w:tcW w:w="96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gridSpan w:val="2"/>
          </w:tcPr>
          <w:p>
            <w:pPr>
              <w:jc w:val="center"/>
              <w:ind w:right="2150"/>
              <w:spacing w:after="0"/>
              <w:rPr>
                <w:sz w:val="20"/>
                <w:szCs w:val="20"/>
                <w:color w:val="auto"/>
              </w:rPr>
            </w:pPr>
            <w:r>
              <w:rPr>
                <w:rFonts w:ascii="Arial" w:cs="Arial" w:eastAsia="Arial" w:hAnsi="Arial"/>
                <w:sz w:val="18"/>
                <w:szCs w:val="18"/>
                <w:b w:val="1"/>
                <w:bCs w:val="1"/>
                <w:color w:val="auto"/>
              </w:rPr>
              <w:t>SCHEDULE IV</w:t>
            </w:r>
          </w:p>
        </w:tc>
        <w:tc>
          <w:tcPr>
            <w:tcW w:w="96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gridSpan w:val="2"/>
          </w:tcPr>
          <w:p>
            <w:pPr>
              <w:jc w:val="center"/>
              <w:ind w:right="2170"/>
              <w:spacing w:after="0"/>
              <w:rPr>
                <w:sz w:val="20"/>
                <w:szCs w:val="20"/>
                <w:color w:val="auto"/>
              </w:rPr>
            </w:pPr>
            <w:r>
              <w:rPr>
                <w:rFonts w:ascii="Arial" w:cs="Arial" w:eastAsia="Arial" w:hAnsi="Arial"/>
                <w:sz w:val="18"/>
                <w:szCs w:val="18"/>
                <w:b w:val="1"/>
                <w:bCs w:val="1"/>
                <w:color w:val="auto"/>
                <w:w w:val="99"/>
              </w:rPr>
              <w:t>MORTGAGE LOANS ON REAL ESTATE - CONTINUED</w:t>
            </w:r>
          </w:p>
        </w:tc>
        <w:tc>
          <w:tcPr>
            <w:tcW w:w="96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gridSpan w:val="2"/>
          </w:tcPr>
          <w:p>
            <w:pPr>
              <w:jc w:val="center"/>
              <w:ind w:right="2170"/>
              <w:spacing w:after="0"/>
              <w:rPr>
                <w:sz w:val="20"/>
                <w:szCs w:val="20"/>
                <w:color w:val="auto"/>
              </w:rPr>
            </w:pPr>
            <w:r>
              <w:rPr>
                <w:rFonts w:ascii="Arial" w:cs="Arial" w:eastAsia="Arial" w:hAnsi="Arial"/>
                <w:sz w:val="18"/>
                <w:szCs w:val="18"/>
                <w:b w:val="1"/>
                <w:bCs w:val="1"/>
                <w:color w:val="auto"/>
                <w:w w:val="90"/>
              </w:rPr>
              <w:t>Three Years Ended December 31, 2017</w:t>
            </w:r>
          </w:p>
        </w:tc>
        <w:tc>
          <w:tcPr>
            <w:tcW w:w="96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gridSpan w:val="2"/>
          </w:tcPr>
          <w:p>
            <w:pPr>
              <w:jc w:val="center"/>
              <w:ind w:right="2150"/>
              <w:spacing w:after="0"/>
              <w:rPr>
                <w:sz w:val="20"/>
                <w:szCs w:val="20"/>
                <w:color w:val="auto"/>
              </w:rPr>
            </w:pPr>
            <w:r>
              <w:rPr>
                <w:rFonts w:ascii="Arial" w:cs="Arial" w:eastAsia="Arial" w:hAnsi="Arial"/>
                <w:sz w:val="18"/>
                <w:szCs w:val="18"/>
                <w:b w:val="1"/>
                <w:bCs w:val="1"/>
                <w:color w:val="auto"/>
                <w:w w:val="91"/>
              </w:rPr>
              <w:t>Reconciliation of Carrying Amount</w:t>
            </w:r>
          </w:p>
        </w:tc>
        <w:tc>
          <w:tcPr>
            <w:tcW w:w="960" w:type="dxa"/>
            <w:vAlign w:val="bottom"/>
          </w:tcPr>
          <w:p>
            <w:pPr>
              <w:spacing w:after="0"/>
              <w:rPr>
                <w:sz w:val="18"/>
                <w:szCs w:val="18"/>
                <w:color w:val="auto"/>
              </w:rPr>
            </w:pPr>
          </w:p>
        </w:tc>
      </w:tr>
      <w:tr>
        <w:trPr>
          <w:trHeight w:val="234"/>
        </w:trPr>
        <w:tc>
          <w:tcPr>
            <w:tcW w:w="1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240" w:type="dxa"/>
            <w:vAlign w:val="bottom"/>
            <w:gridSpan w:val="2"/>
          </w:tcPr>
          <w:p>
            <w:pPr>
              <w:jc w:val="center"/>
              <w:ind w:right="2170"/>
              <w:spacing w:after="0"/>
              <w:rPr>
                <w:sz w:val="20"/>
                <w:szCs w:val="20"/>
                <w:color w:val="auto"/>
              </w:rPr>
            </w:pPr>
            <w:r>
              <w:rPr>
                <w:rFonts w:ascii="Arial" w:cs="Arial" w:eastAsia="Arial" w:hAnsi="Arial"/>
                <w:sz w:val="18"/>
                <w:szCs w:val="18"/>
                <w:b w:val="1"/>
                <w:bCs w:val="1"/>
                <w:color w:val="auto"/>
                <w:w w:val="88"/>
              </w:rPr>
              <w:t>(in thousands)</w:t>
            </w:r>
          </w:p>
        </w:tc>
        <w:tc>
          <w:tcPr>
            <w:tcW w:w="960" w:type="dxa"/>
            <w:vAlign w:val="bottom"/>
          </w:tcPr>
          <w:p>
            <w:pPr>
              <w:spacing w:after="0"/>
              <w:rPr>
                <w:sz w:val="20"/>
                <w:szCs w:val="20"/>
                <w:color w:val="auto"/>
              </w:rPr>
            </w:pPr>
          </w:p>
        </w:tc>
      </w:tr>
      <w:tr>
        <w:trPr>
          <w:trHeight w:val="378"/>
        </w:trPr>
        <w:tc>
          <w:tcPr>
            <w:tcW w:w="1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724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50,988</w:t>
            </w:r>
          </w:p>
        </w:tc>
      </w:tr>
      <w:tr>
        <w:trPr>
          <w:trHeight w:val="243"/>
        </w:trPr>
        <w:tc>
          <w:tcPr>
            <w:tcW w:w="3220" w:type="dxa"/>
            <w:vAlign w:val="bottom"/>
            <w:gridSpan w:val="2"/>
          </w:tcPr>
          <w:p>
            <w:pPr>
              <w:ind w:left="280"/>
              <w:spacing w:after="0"/>
              <w:rPr>
                <w:sz w:val="20"/>
                <w:szCs w:val="20"/>
                <w:color w:val="auto"/>
              </w:rPr>
            </w:pPr>
            <w:r>
              <w:rPr>
                <w:rFonts w:ascii="Arial" w:cs="Arial" w:eastAsia="Arial" w:hAnsi="Arial"/>
                <w:sz w:val="18"/>
                <w:szCs w:val="18"/>
                <w:color w:val="auto"/>
              </w:rPr>
              <w:t>Additions during period:</w:t>
            </w:r>
          </w:p>
        </w:tc>
        <w:tc>
          <w:tcPr>
            <w:tcW w:w="6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Issuance of loans</w:t>
            </w:r>
          </w:p>
        </w:tc>
        <w:tc>
          <w:tcPr>
            <w:tcW w:w="6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r>
      <w:tr>
        <w:trPr>
          <w:trHeight w:val="243"/>
        </w:trPr>
        <w:tc>
          <w:tcPr>
            <w:tcW w:w="3220" w:type="dxa"/>
            <w:vAlign w:val="bottom"/>
            <w:gridSpan w:val="2"/>
          </w:tcPr>
          <w:p>
            <w:pPr>
              <w:ind w:left="280"/>
              <w:spacing w:after="0"/>
              <w:rPr>
                <w:sz w:val="20"/>
                <w:szCs w:val="20"/>
                <w:color w:val="auto"/>
              </w:rPr>
            </w:pPr>
            <w:r>
              <w:rPr>
                <w:rFonts w:ascii="Arial" w:cs="Arial" w:eastAsia="Arial" w:hAnsi="Arial"/>
                <w:sz w:val="18"/>
                <w:szCs w:val="18"/>
                <w:color w:val="auto"/>
              </w:rPr>
              <w:t>Deductions during period:</w:t>
            </w:r>
          </w:p>
        </w:tc>
        <w:tc>
          <w:tcPr>
            <w:tcW w:w="6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w w:val="97"/>
              </w:rPr>
              <w:t>Collection and satisfaction of loans</w:t>
            </w:r>
          </w:p>
        </w:tc>
        <w:tc>
          <w:tcPr>
            <w:tcW w:w="6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(10,692)</w:t>
            </w:r>
          </w:p>
        </w:tc>
      </w:tr>
      <w:tr>
        <w:trPr>
          <w:trHeight w:val="243"/>
        </w:trPr>
        <w:tc>
          <w:tcPr>
            <w:tcW w:w="3220" w:type="dxa"/>
            <w:vAlign w:val="bottom"/>
            <w:gridSpan w:val="2"/>
          </w:tcPr>
          <w:p>
            <w:pPr>
              <w:ind w:left="500"/>
              <w:spacing w:after="0"/>
              <w:rPr>
                <w:sz w:val="20"/>
                <w:szCs w:val="20"/>
                <w:color w:val="auto"/>
              </w:rPr>
            </w:pPr>
            <w:r>
              <w:rPr>
                <w:rFonts w:ascii="Arial" w:cs="Arial" w:eastAsia="Arial" w:hAnsi="Arial"/>
                <w:sz w:val="18"/>
                <w:szCs w:val="18"/>
                <w:color w:val="auto"/>
              </w:rPr>
              <w:t>Amortization of discount</w:t>
            </w:r>
          </w:p>
        </w:tc>
        <w:tc>
          <w:tcPr>
            <w:tcW w:w="6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954</w:t>
            </w:r>
          </w:p>
        </w:tc>
      </w:tr>
      <w:tr>
        <w:trPr>
          <w:trHeight w:val="27"/>
        </w:trPr>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6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41,618</w:t>
            </w:r>
          </w:p>
        </w:tc>
      </w:tr>
      <w:tr>
        <w:trPr>
          <w:trHeight w:val="243"/>
        </w:trPr>
        <w:tc>
          <w:tcPr>
            <w:tcW w:w="3220" w:type="dxa"/>
            <w:vAlign w:val="bottom"/>
            <w:gridSpan w:val="2"/>
          </w:tcPr>
          <w:p>
            <w:pPr>
              <w:ind w:left="280"/>
              <w:spacing w:after="0"/>
              <w:rPr>
                <w:sz w:val="20"/>
                <w:szCs w:val="20"/>
                <w:color w:val="auto"/>
              </w:rPr>
            </w:pPr>
            <w:r>
              <w:rPr>
                <w:rFonts w:ascii="Arial" w:cs="Arial" w:eastAsia="Arial" w:hAnsi="Arial"/>
                <w:sz w:val="18"/>
                <w:szCs w:val="18"/>
                <w:color w:val="auto"/>
              </w:rPr>
              <w:t>Deductions during period:</w:t>
            </w:r>
          </w:p>
        </w:tc>
        <w:tc>
          <w:tcPr>
            <w:tcW w:w="6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w w:val="97"/>
              </w:rPr>
              <w:t>Collection and satisfaction of loans</w:t>
            </w:r>
          </w:p>
        </w:tc>
        <w:tc>
          <w:tcPr>
            <w:tcW w:w="68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(11,714)</w:t>
            </w:r>
          </w:p>
        </w:tc>
      </w:tr>
      <w:tr>
        <w:trPr>
          <w:trHeight w:val="236"/>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Balance, December 31, 2016</w:t>
            </w:r>
          </w:p>
        </w:tc>
        <w:tc>
          <w:tcPr>
            <w:tcW w:w="68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29,904</w:t>
            </w:r>
          </w:p>
        </w:tc>
      </w:tr>
      <w:tr>
        <w:trPr>
          <w:trHeight w:val="27"/>
        </w:trPr>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Additions during period:</w:t>
            </w:r>
          </w:p>
        </w:tc>
        <w:tc>
          <w:tcPr>
            <w:tcW w:w="6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gridSpan w:val="2"/>
          </w:tcPr>
          <w:p>
            <w:pPr>
              <w:ind w:left="500"/>
              <w:spacing w:after="0"/>
              <w:rPr>
                <w:sz w:val="20"/>
                <w:szCs w:val="20"/>
                <w:color w:val="auto"/>
              </w:rPr>
            </w:pPr>
            <w:r>
              <w:rPr>
                <w:rFonts w:ascii="Arial" w:cs="Arial" w:eastAsia="Arial" w:hAnsi="Arial"/>
                <w:sz w:val="18"/>
                <w:szCs w:val="18"/>
                <w:color w:val="auto"/>
              </w:rPr>
              <w:t>Issuance of loans</w:t>
            </w:r>
          </w:p>
        </w:tc>
        <w:tc>
          <w:tcPr>
            <w:tcW w:w="6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525</w:t>
            </w:r>
          </w:p>
        </w:tc>
      </w:tr>
      <w:tr>
        <w:trPr>
          <w:trHeight w:val="27"/>
        </w:trPr>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68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30,429</w:t>
            </w:r>
          </w:p>
        </w:tc>
      </w:tr>
      <w:tr>
        <w:trPr>
          <w:trHeight w:val="20"/>
        </w:trPr>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35"/>
        </w:trPr>
        <w:tc>
          <w:tcPr>
            <w:tcW w:w="1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240" w:type="dxa"/>
            <w:vAlign w:val="bottom"/>
            <w:gridSpan w:val="2"/>
          </w:tcPr>
          <w:p>
            <w:pPr>
              <w:jc w:val="center"/>
              <w:ind w:right="2170"/>
              <w:spacing w:after="0"/>
              <w:rPr>
                <w:sz w:val="20"/>
                <w:szCs w:val="20"/>
                <w:color w:val="auto"/>
              </w:rPr>
            </w:pPr>
            <w:r>
              <w:rPr>
                <w:rFonts w:ascii="Arial" w:cs="Arial" w:eastAsia="Arial" w:hAnsi="Arial"/>
                <w:sz w:val="18"/>
                <w:szCs w:val="18"/>
                <w:color w:val="auto"/>
                <w:w w:val="91"/>
              </w:rPr>
              <w:t>F-40</w:t>
            </w:r>
          </w:p>
        </w:tc>
        <w:tc>
          <w:tcPr>
            <w:tcW w:w="96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21.1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8340" w:type="dxa"/>
            <w:vAlign w:val="bottom"/>
            <w:gridSpan w:val="3"/>
          </w:tcPr>
          <w:p>
            <w:pPr>
              <w:spacing w:after="0"/>
              <w:rPr>
                <w:sz w:val="20"/>
                <w:szCs w:val="20"/>
                <w:color w:val="auto"/>
              </w:rPr>
            </w:pPr>
            <w:r>
              <w:rPr>
                <w:rFonts w:ascii="Arial" w:cs="Arial" w:eastAsia="Arial" w:hAnsi="Arial"/>
                <w:sz w:val="18"/>
                <w:szCs w:val="18"/>
                <w:b w:val="1"/>
                <w:bCs w:val="1"/>
                <w:color w:val="auto"/>
              </w:rPr>
              <w:t>FEDERAL REALTY INVESTMENT TRUST AND SUBSIDIARIES</w:t>
            </w:r>
          </w:p>
        </w:tc>
      </w:tr>
      <w:tr>
        <w:trPr>
          <w:trHeight w:val="573"/>
        </w:trPr>
        <w:tc>
          <w:tcPr>
            <w:tcW w:w="3080" w:type="dxa"/>
            <w:vAlign w:val="bottom"/>
          </w:tcPr>
          <w:p>
            <w:pPr>
              <w:spacing w:after="0"/>
              <w:rPr>
                <w:sz w:val="24"/>
                <w:szCs w:val="24"/>
                <w:color w:val="auto"/>
              </w:rPr>
            </w:pPr>
          </w:p>
        </w:tc>
        <w:tc>
          <w:tcPr>
            <w:tcW w:w="284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3060" w:type="dxa"/>
            <w:vAlign w:val="bottom"/>
          </w:tcPr>
          <w:p>
            <w:pPr>
              <w:jc w:val="center"/>
              <w:ind w:right="150"/>
              <w:spacing w:after="0"/>
              <w:rPr>
                <w:sz w:val="20"/>
                <w:szCs w:val="20"/>
                <w:color w:val="auto"/>
              </w:rPr>
            </w:pPr>
            <w:r>
              <w:rPr>
                <w:rFonts w:ascii="Arial" w:cs="Arial" w:eastAsia="Arial" w:hAnsi="Arial"/>
                <w:sz w:val="18"/>
                <w:szCs w:val="18"/>
                <w:color w:val="auto"/>
                <w:w w:val="93"/>
              </w:rPr>
              <w:t>STATE OF INCORPORATION OR</w:t>
            </w:r>
          </w:p>
        </w:tc>
      </w:tr>
      <w:tr>
        <w:trPr>
          <w:trHeight w:val="230"/>
        </w:trPr>
        <w:tc>
          <w:tcPr>
            <w:tcW w:w="5920" w:type="dxa"/>
            <w:vAlign w:val="bottom"/>
            <w:gridSpan w:val="2"/>
          </w:tcPr>
          <w:p>
            <w:pPr>
              <w:ind w:left="40"/>
              <w:spacing w:after="0"/>
              <w:rPr>
                <w:sz w:val="20"/>
                <w:szCs w:val="20"/>
                <w:color w:val="auto"/>
              </w:rPr>
            </w:pPr>
            <w:r>
              <w:rPr>
                <w:rFonts w:ascii="Arial" w:cs="Arial" w:eastAsia="Arial" w:hAnsi="Arial"/>
                <w:sz w:val="18"/>
                <w:szCs w:val="18"/>
                <w:color w:val="auto"/>
              </w:rPr>
              <w:t>NAME OF SUBSIDIARY</w:t>
            </w:r>
          </w:p>
        </w:tc>
        <w:tc>
          <w:tcPr>
            <w:tcW w:w="2440" w:type="dxa"/>
            <w:vAlign w:val="bottom"/>
          </w:tcPr>
          <w:p>
            <w:pPr>
              <w:spacing w:after="0"/>
              <w:rPr>
                <w:sz w:val="20"/>
                <w:szCs w:val="20"/>
                <w:color w:val="auto"/>
              </w:rPr>
            </w:pPr>
          </w:p>
        </w:tc>
        <w:tc>
          <w:tcPr>
            <w:tcW w:w="3060" w:type="dxa"/>
            <w:vAlign w:val="bottom"/>
          </w:tcPr>
          <w:p>
            <w:pPr>
              <w:jc w:val="center"/>
              <w:ind w:right="150"/>
              <w:spacing w:after="0"/>
              <w:rPr>
                <w:sz w:val="20"/>
                <w:szCs w:val="20"/>
                <w:color w:val="auto"/>
              </w:rPr>
            </w:pPr>
            <w:r>
              <w:rPr>
                <w:rFonts w:ascii="Arial" w:cs="Arial" w:eastAsia="Arial" w:hAnsi="Arial"/>
                <w:sz w:val="18"/>
                <w:szCs w:val="18"/>
                <w:color w:val="auto"/>
                <w:w w:val="97"/>
              </w:rPr>
              <w:t>ORGANIZATION</w:t>
            </w:r>
          </w:p>
        </w:tc>
      </w:tr>
      <w:tr>
        <w:trPr>
          <w:trHeight w:val="27"/>
        </w:trPr>
        <w:tc>
          <w:tcPr>
            <w:tcW w:w="30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r>
      <w:tr>
        <w:trPr>
          <w:trHeight w:val="52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Associates Limited Partnership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Andorra Associates</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Pennsylvania</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Governor Plaza Associates</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Pennsylvania</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Shopping Center Associates</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Pennsylvania</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Berman Enterprises II Limited Partnership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FRIT Escondido Promenade,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California</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FRIT Leasing &amp; Development Services,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Congressional Plaza Associates,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Pike 7 Limited Partnership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Federal/LPF GP,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Federal Realty Partners L.P.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FRLP,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Federal Realty Partners,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East Bay Bridge,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East Bay Bridge Retail,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Federal Realty Management Services,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FRIT Solar,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Santana Row ROF,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Mercer Mall,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Mercer Mall,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Westgate Mall,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Assembly Square,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Crow Canyon,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Linden Square,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Chelsea Commons I,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Chelsea Commons I,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White Marsh,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Cordon Fairfield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Campbell-Philadelphia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Shoppes at Nottingham Square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Retail Properties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Nottingham Square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White Marsh Plaza,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White Marsh Plaza Limited Partnership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White Marsh Plaza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Byron Station,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Byron Station Limited Partnership, LLLP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The Avenue at White Marsh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NVI-Avenue,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Shoppers World,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Shoppers World,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Florida,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Rollingwood,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Rollingwood,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Federal Realty Boston,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Federal Realty West Coast,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Montrose Crossing,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Montrose Crossing,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Montrose Crossing Borrower,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FRIT CA Operations,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California</w:t>
            </w:r>
          </w:p>
        </w:tc>
      </w:tr>
    </w:tbl>
    <w:p>
      <w:pPr>
        <w:sectPr>
          <w:pgSz w:w="11900" w:h="16838" w:orient="portrait"/>
          <w:cols w:equalWidth="0" w:num="1">
            <w:col w:w="11420"/>
          </w:cols>
          <w:pgMar w:left="240" w:top="742" w:right="239" w:bottom="0" w:gutter="0" w:footer="0" w:header="0"/>
        </w:sectPr>
      </w:pPr>
    </w:p>
    <w:bookmarkStart w:id="99" w:name="page100"/>
    <w:bookmarkEnd w:id="99"/>
    <w:p>
      <w:pPr>
        <w:spacing w:after="0"/>
        <w:tabs>
          <w:tab w:leader="none" w:pos="8080" w:val="left"/>
        </w:tabs>
        <w:rPr>
          <w:sz w:val="20"/>
          <w:szCs w:val="20"/>
          <w:color w:val="auto"/>
        </w:rPr>
      </w:pPr>
      <w:r>
        <w:rPr>
          <w:rFonts w:ascii="Arial" w:cs="Arial" w:eastAsia="Arial" w:hAnsi="Arial"/>
          <w:sz w:val="20"/>
          <w:szCs w:val="20"/>
          <w:color w:val="auto"/>
        </w:rPr>
        <w:t>FR Huntington Square, LLC</w:t>
      </w:r>
      <w:r>
        <w:rPr>
          <w:sz w:val="20"/>
          <w:szCs w:val="20"/>
          <w:color w:val="auto"/>
        </w:rPr>
        <w:tab/>
      </w:r>
      <w:r>
        <w:rPr>
          <w:rFonts w:ascii="Arial" w:cs="Arial" w:eastAsia="Arial" w:hAnsi="Arial"/>
          <w:sz w:val="16"/>
          <w:szCs w:val="16"/>
          <w:color w:val="auto"/>
        </w:rPr>
        <w:t>Delaware</w:t>
      </w:r>
    </w:p>
    <w:p>
      <w:pPr>
        <w:sectPr>
          <w:pgSz w:w="11900" w:h="16838" w:orient="portrait"/>
          <w:cols w:equalWidth="0" w:num="1">
            <w:col w:w="10179"/>
          </w:cols>
          <w:pgMar w:left="280" w:top="122" w:right="1440" w:bottom="1440" w:gutter="0" w:footer="0" w:header="0"/>
        </w:sectPr>
      </w:pPr>
    </w:p>
    <w:bookmarkStart w:id="100" w:name="page101"/>
    <w:bookmarkEnd w:id="100"/>
    <w:p>
      <w:pPr>
        <w:spacing w:after="0"/>
        <w:rPr>
          <w:sz w:val="20"/>
          <w:szCs w:val="20"/>
          <w:color w:val="auto"/>
        </w:rPr>
      </w:pPr>
      <w:r>
        <w:rPr>
          <w:rFonts w:ascii="Arial" w:cs="Arial" w:eastAsia="Arial" w:hAnsi="Arial"/>
          <w:sz w:val="20"/>
          <w:szCs w:val="20"/>
          <w:color w:val="auto"/>
        </w:rPr>
        <w:t>FR Darien,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FR Hastings Ranch,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FR Riverpoint,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Inc.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SRI/CM 4th Street JV,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SRI Old Town,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I,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II,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3,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4,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6,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7,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10, L.P.</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FRIT San Jose Town and Country Village, LLC</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color w:val="auto"/>
        </w:rPr>
        <w:t>SRI Assembly Row B7,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SRI Assembly Row B8,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SRI Assembly Row B9,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Santana Row Services, Inc.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SRI/Continental JV,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CCA Sepulveda,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Rosecrans-Sepulveda Partners 3,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PES Partners,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The Grove Fee Owner,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Route 35 Shrewsbury Limited Partnership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Shrewsbury Commons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Sea Girt Limited Partnership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35 West,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Merritt Shrewsbury Commons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Cole Grove West,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FR 508 Broad,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FR San Antonio Center,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San Antonio Center II,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Pike &amp; Rose Condominium, Inc.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PNR Hotel XXVI JV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PNR Hotel XXVI Owner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PNR Hotel XXVI Operator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SR Winchester,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Assembly Row Condominium, Inc.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SRI Assembly Row Hotel, Inc.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Assembly Row Hotel Operator,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Assembly Row Hotel,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FRIT Shops at Sunset Place,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FRIT Shops at Sunset Place Owner, LLC</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FRIT Shops at Sunset Place Fee Owner, LLC</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color w:val="auto"/>
        </w:rPr>
        <w:t>FRIT Cocowalk,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FRIT Cocowalk Owner,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3112 Commodore Plaza Investments, Inc.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3131 Commodore Plaza Investments, Inc.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3206 Grand Avenue,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3406 Main Highway,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3419 Main Highway Investments,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Federal/Lion Venture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FLV Atlantic Plaza GP,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FLV Atlantic Plaza Limited Partnership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FLV Campus Plaza GP,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FLV Campus Plaza Limited Partnership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Maryland</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California</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California</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New Jersey</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Florida</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Florida</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Florida</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ectPr>
          <w:pgSz w:w="11900" w:h="16838" w:orient="portrait"/>
          <w:cols w:equalWidth="0" w:num="2">
            <w:col w:w="7380" w:space="720"/>
            <w:col w:w="2079"/>
          </w:cols>
          <w:pgMar w:left="280" w:top="743" w:right="1440" w:bottom="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FLV Plaza del Mercado,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99" w:lineRule="exact"/>
        <w:rPr>
          <w:sz w:val="20"/>
          <w:szCs w:val="20"/>
          <w:color w:val="auto"/>
        </w:rPr>
      </w:pPr>
    </w:p>
    <w:p>
      <w:pPr>
        <w:sectPr>
          <w:pgSz w:w="11900" w:h="16838" w:orient="portrait"/>
          <w:cols w:equalWidth="0" w:num="2">
            <w:col w:w="7380" w:space="720"/>
            <w:col w:w="2079"/>
          </w:cols>
          <w:pgMar w:left="280" w:top="121" w:right="1440" w:bottom="1440" w:gutter="0" w:footer="0" w:header="0"/>
        </w:sectPr>
      </w:pPr>
    </w:p>
    <w:p>
      <w:pPr>
        <w:spacing w:after="0"/>
        <w:rPr>
          <w:sz w:val="20"/>
          <w:szCs w:val="20"/>
          <w:color w:val="auto"/>
        </w:rPr>
      </w:pPr>
      <w:r>
        <w:rPr>
          <w:rFonts w:ascii="Arial" w:cs="Arial" w:eastAsia="Arial" w:hAnsi="Arial"/>
          <w:sz w:val="18"/>
          <w:szCs w:val="18"/>
          <w:color w:val="auto"/>
        </w:rPr>
        <w:t>FLV Plaza del Mercado,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ectPr>
          <w:pgSz w:w="11900" w:h="16838" w:orient="portrait"/>
          <w:cols w:equalWidth="0" w:num="2">
            <w:col w:w="7380" w:space="720"/>
            <w:col w:w="2079"/>
          </w:cols>
          <w:pgMar w:left="280" w:top="121" w:right="1440"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20"/>
          <w:szCs w:val="20"/>
          <w:color w:val="auto"/>
        </w:rPr>
        <w:t>FLV Greenlawn Plaza GP,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FLV Greenlawn Plaza,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FLV Barcroft Plaza GP,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FLV Barcroft Plaza,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FLV Free State GP, LLC</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FLV Free State Limited Partnership</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color w:val="auto"/>
        </w:rPr>
        <w:t>South Gate Joint Venture,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Primestor/FRIT JV,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Azalea Joint Venture,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Prime/FRIT Alameda,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Prime/FRIT Bell Gardens,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Prime/FRIT El Monte,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Prime/FRIT El Portal,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Prime/FRIT Los Jardines,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Prime/FRIT Mission Hills,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Prime/FRIT SCP,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Prime/FRIT Sylmar,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Prime/FRIT TRS JV, LLC</w:t>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color w:val="auto"/>
        </w:rPr>
        <w:t>Prime/FRIT Plaza Pacoima, LLC</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Prime/FRIT Olivo Land,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ectPr>
          <w:pgSz w:w="11900" w:h="16838" w:orient="portrait"/>
          <w:cols w:equalWidth="0" w:num="2">
            <w:col w:w="7380" w:space="720"/>
            <w:col w:w="2079"/>
          </w:cols>
          <w:pgMar w:left="280" w:top="743" w:right="1440"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issued our reports dated February 13, 2018, with respect to the consolidated financial statements, schedules, and internal control over financial reporting included in the Annual Report of Federal Realty Investment Trust on Form 10-K for the year ended December 31, 2017. We consent to the incorporation by reference of said reports in the Registration Statements of Federal Realty Investment Trust on Form S-3 (File No. 333-217607, File No. 333-204103, File No. 333-204009, File No. 333-203999, File No. 333-124195, and File No. 033-63687) and on Form S-8 (File No. 333-166531, File No. 333-147080, File No. 333-147081, and File No. 333-60364).</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13, 2018</w:t>
      </w:r>
    </w:p>
    <w:p>
      <w:pPr>
        <w:sectPr>
          <w:pgSz w:w="11900" w:h="16838" w:orient="portrait"/>
          <w:cols w:equalWidth="0" w:num="1">
            <w:col w:w="11420"/>
          </w:cols>
          <w:pgMar w:left="240" w:top="580"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Donald C. Wood, certify that:</w:t>
      </w:r>
    </w:p>
    <w:p>
      <w:pPr>
        <w:spacing w:after="0" w:line="90" w:lineRule="exact"/>
        <w:rPr>
          <w:sz w:val="20"/>
          <w:szCs w:val="20"/>
          <w:color w:val="auto"/>
        </w:rPr>
      </w:pPr>
    </w:p>
    <w:p>
      <w:pPr>
        <w:ind w:left="880" w:hanging="467"/>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Federal Realty Investment Trust;</w:t>
      </w:r>
    </w:p>
    <w:p>
      <w:pPr>
        <w:spacing w:after="0" w:line="89" w:lineRule="exact"/>
        <w:rPr>
          <w:rFonts w:ascii="Arial" w:cs="Arial" w:eastAsia="Arial" w:hAnsi="Arial"/>
          <w:sz w:val="18"/>
          <w:szCs w:val="18"/>
          <w:color w:val="auto"/>
        </w:rPr>
      </w:pPr>
    </w:p>
    <w:p>
      <w:pPr>
        <w:jc w:val="both"/>
        <w:ind w:left="880" w:right="80" w:hanging="467"/>
        <w:spacing w:after="0" w:line="263"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8"/>
          <w:szCs w:val="18"/>
          <w:color w:val="auto"/>
        </w:rPr>
      </w:pPr>
    </w:p>
    <w:p>
      <w:pPr>
        <w:ind w:left="880" w:right="60" w:hanging="467"/>
        <w:spacing w:after="0" w:line="307" w:lineRule="auto"/>
        <w:tabs>
          <w:tab w:leader="none" w:pos="8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 w:lineRule="exact"/>
        <w:rPr>
          <w:rFonts w:ascii="Arial" w:cs="Arial" w:eastAsia="Arial" w:hAnsi="Arial"/>
          <w:sz w:val="17"/>
          <w:szCs w:val="17"/>
          <w:color w:val="auto"/>
        </w:rPr>
      </w:pPr>
    </w:p>
    <w:p>
      <w:pPr>
        <w:ind w:left="880" w:right="80" w:hanging="467"/>
        <w:spacing w:after="0" w:line="263"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Arial" w:cs="Arial" w:eastAsia="Arial" w:hAnsi="Arial"/>
          <w:sz w:val="18"/>
          <w:szCs w:val="18"/>
          <w:color w:val="auto"/>
        </w:rPr>
      </w:pPr>
    </w:p>
    <w:p>
      <w:pPr>
        <w:ind w:left="1420" w:right="20" w:hanging="441"/>
        <w:spacing w:after="0" w:line="263" w:lineRule="auto"/>
        <w:tabs>
          <w:tab w:leader="none" w:pos="14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Arial" w:cs="Arial" w:eastAsia="Arial" w:hAnsi="Arial"/>
          <w:sz w:val="18"/>
          <w:szCs w:val="18"/>
          <w:color w:val="auto"/>
        </w:rPr>
      </w:pPr>
    </w:p>
    <w:p>
      <w:pPr>
        <w:ind w:left="1420" w:right="120" w:hanging="441"/>
        <w:spacing w:after="0" w:line="263" w:lineRule="auto"/>
        <w:tabs>
          <w:tab w:leader="none" w:pos="14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Arial" w:cs="Arial" w:eastAsia="Arial" w:hAnsi="Arial"/>
          <w:sz w:val="18"/>
          <w:szCs w:val="18"/>
          <w:color w:val="auto"/>
        </w:rPr>
      </w:pPr>
    </w:p>
    <w:p>
      <w:pPr>
        <w:ind w:left="1420" w:right="280" w:hanging="441"/>
        <w:spacing w:after="0" w:line="334" w:lineRule="auto"/>
        <w:tabs>
          <w:tab w:leader="none" w:pos="142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20" w:right="340" w:hanging="441"/>
        <w:spacing w:after="0" w:line="263" w:lineRule="auto"/>
        <w:tabs>
          <w:tab w:leader="none" w:pos="14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Arial" w:cs="Arial" w:eastAsia="Arial" w:hAnsi="Arial"/>
          <w:sz w:val="18"/>
          <w:szCs w:val="18"/>
          <w:color w:val="auto"/>
        </w:rPr>
      </w:pPr>
    </w:p>
    <w:p>
      <w:pPr>
        <w:ind w:left="880" w:right="260" w:hanging="467"/>
        <w:spacing w:after="0" w:line="334" w:lineRule="auto"/>
        <w:tabs>
          <w:tab w:leader="none" w:pos="8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20" w:right="580" w:hanging="441"/>
        <w:spacing w:after="0" w:line="334" w:lineRule="auto"/>
        <w:tabs>
          <w:tab w:leader="none" w:pos="142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20" w:right="280" w:hanging="441"/>
        <w:spacing w:after="0" w:line="277" w:lineRule="auto"/>
        <w:tabs>
          <w:tab w:leader="none" w:pos="14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February 13, 2018</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31750</wp:posOffset>
            </wp:positionV>
            <wp:extent cx="35464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5">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52"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Daniel Guglielmone</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Federal Realty Investment Trust;</w:t>
      </w:r>
    </w:p>
    <w:p>
      <w:pPr>
        <w:spacing w:after="0" w:line="89" w:lineRule="exact"/>
        <w:rPr>
          <w:rFonts w:ascii="Arial" w:cs="Arial" w:eastAsia="Arial" w:hAnsi="Arial"/>
          <w:sz w:val="18"/>
          <w:szCs w:val="18"/>
          <w:color w:val="auto"/>
        </w:rPr>
      </w:pPr>
    </w:p>
    <w:p>
      <w:pPr>
        <w:jc w:val="both"/>
        <w:ind w:left="880" w:right="80" w:hanging="467"/>
        <w:spacing w:after="0" w:line="263"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8"/>
          <w:szCs w:val="18"/>
          <w:color w:val="auto"/>
        </w:rPr>
      </w:pPr>
    </w:p>
    <w:p>
      <w:pPr>
        <w:ind w:left="880" w:right="60" w:hanging="467"/>
        <w:spacing w:after="0" w:line="307" w:lineRule="auto"/>
        <w:tabs>
          <w:tab w:leader="none" w:pos="8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 w:lineRule="exact"/>
        <w:rPr>
          <w:rFonts w:ascii="Arial" w:cs="Arial" w:eastAsia="Arial" w:hAnsi="Arial"/>
          <w:sz w:val="17"/>
          <w:szCs w:val="17"/>
          <w:color w:val="auto"/>
        </w:rPr>
      </w:pPr>
    </w:p>
    <w:p>
      <w:pPr>
        <w:ind w:left="880" w:right="80" w:hanging="467"/>
        <w:spacing w:after="0" w:line="263"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Arial" w:cs="Arial" w:eastAsia="Arial" w:hAnsi="Arial"/>
          <w:sz w:val="18"/>
          <w:szCs w:val="18"/>
          <w:color w:val="auto"/>
        </w:rPr>
      </w:pPr>
    </w:p>
    <w:p>
      <w:pPr>
        <w:ind w:left="1420" w:right="20" w:hanging="441"/>
        <w:spacing w:after="0" w:line="263" w:lineRule="auto"/>
        <w:tabs>
          <w:tab w:leader="none" w:pos="14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Arial" w:cs="Arial" w:eastAsia="Arial" w:hAnsi="Arial"/>
          <w:sz w:val="18"/>
          <w:szCs w:val="18"/>
          <w:color w:val="auto"/>
        </w:rPr>
      </w:pPr>
    </w:p>
    <w:p>
      <w:pPr>
        <w:ind w:left="1420" w:right="120" w:hanging="441"/>
        <w:spacing w:after="0" w:line="263" w:lineRule="auto"/>
        <w:tabs>
          <w:tab w:leader="none" w:pos="14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Arial" w:cs="Arial" w:eastAsia="Arial" w:hAnsi="Arial"/>
          <w:sz w:val="18"/>
          <w:szCs w:val="18"/>
          <w:color w:val="auto"/>
        </w:rPr>
      </w:pPr>
    </w:p>
    <w:p>
      <w:pPr>
        <w:ind w:left="1420" w:right="280" w:hanging="441"/>
        <w:spacing w:after="0" w:line="334" w:lineRule="auto"/>
        <w:tabs>
          <w:tab w:leader="none" w:pos="142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20" w:right="340" w:hanging="441"/>
        <w:spacing w:after="0" w:line="263" w:lineRule="auto"/>
        <w:tabs>
          <w:tab w:leader="none" w:pos="14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Arial" w:cs="Arial" w:eastAsia="Arial" w:hAnsi="Arial"/>
          <w:sz w:val="18"/>
          <w:szCs w:val="18"/>
          <w:color w:val="auto"/>
        </w:rPr>
      </w:pPr>
    </w:p>
    <w:p>
      <w:pPr>
        <w:ind w:left="880" w:right="260" w:hanging="467"/>
        <w:spacing w:after="0" w:line="334" w:lineRule="auto"/>
        <w:tabs>
          <w:tab w:leader="none" w:pos="8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20" w:right="580" w:hanging="441"/>
        <w:spacing w:after="0" w:line="334" w:lineRule="auto"/>
        <w:tabs>
          <w:tab w:leader="none" w:pos="142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20" w:right="280" w:hanging="441"/>
        <w:spacing w:after="0" w:line="277" w:lineRule="auto"/>
        <w:tabs>
          <w:tab w:leader="none" w:pos="14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February 13, 2018</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31750</wp:posOffset>
            </wp:positionV>
            <wp:extent cx="35464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6">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52"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4"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6" w:lineRule="exact"/>
        <w:rPr>
          <w:sz w:val="20"/>
          <w:szCs w:val="20"/>
          <w:color w:val="auto"/>
        </w:rPr>
      </w:pPr>
    </w:p>
    <w:p>
      <w:pPr>
        <w:ind w:right="60" w:firstLine="432"/>
        <w:spacing w:after="0" w:line="263"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Annual Report on Form 10-K for the period ended December 31, 2017 (the “Report”). The undersigned hereby certifies, to the best of his knowledge, that:</w:t>
      </w:r>
    </w:p>
    <w:p>
      <w:pPr>
        <w:spacing w:after="0" w:line="75" w:lineRule="exact"/>
        <w:rPr>
          <w:sz w:val="20"/>
          <w:szCs w:val="20"/>
          <w:color w:val="auto"/>
        </w:rPr>
      </w:pPr>
    </w:p>
    <w:p>
      <w:pPr>
        <w:ind w:left="1300" w:hanging="887"/>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left="1300" w:right="520" w:hanging="887"/>
        <w:spacing w:after="0" w:line="277"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February 13, 2018</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31750</wp:posOffset>
            </wp:positionV>
            <wp:extent cx="35464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7">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52"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6" w:lineRule="exact"/>
        <w:rPr>
          <w:sz w:val="20"/>
          <w:szCs w:val="20"/>
          <w:color w:val="auto"/>
        </w:rPr>
      </w:pPr>
    </w:p>
    <w:p>
      <w:pPr>
        <w:jc w:val="both"/>
        <w:ind w:right="120" w:firstLine="432"/>
        <w:spacing w:after="0" w:line="311" w:lineRule="auto"/>
        <w:rPr>
          <w:sz w:val="20"/>
          <w:szCs w:val="20"/>
          <w:color w:val="auto"/>
        </w:rPr>
      </w:pPr>
      <w:r>
        <w:rPr>
          <w:rFonts w:ascii="Arial" w:cs="Arial" w:eastAsia="Arial" w:hAnsi="Arial"/>
          <w:sz w:val="16"/>
          <w:szCs w:val="16"/>
          <w:color w:val="auto"/>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Annual Report on Form 10-K for the period ended December 31, 2017 (the “Report”). The undersigned hereby certifies, to the best of his knowledge, that:</w:t>
      </w:r>
    </w:p>
    <w:p>
      <w:pPr>
        <w:spacing w:after="0" w:line="40" w:lineRule="exact"/>
        <w:rPr>
          <w:sz w:val="20"/>
          <w:szCs w:val="20"/>
          <w:color w:val="auto"/>
        </w:rPr>
      </w:pPr>
    </w:p>
    <w:p>
      <w:pPr>
        <w:ind w:left="1300" w:hanging="887"/>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left="1300" w:right="520" w:hanging="887"/>
        <w:spacing w:after="0" w:line="277"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February 13, 2018</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31750</wp:posOffset>
            </wp:positionV>
            <wp:extent cx="35464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8">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52"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4"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lvl w:ilvl="1">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1)"/>
      <w:numFmt w:val="decimal"/>
      <w:start w:val="1"/>
    </w:lvl>
  </w:abstractNum>
  <w:abstractNum w:abstractNumId="24">
    <w:nsid w:val="6DE91B18"/>
    <w:multiLevelType w:val="hybridMultilevel"/>
    <w:lvl w:ilvl="0">
      <w:lvlJc w:val="left"/>
      <w:lvlText w:val="(%1)"/>
      <w:numFmt w:val="decimal"/>
      <w:start w:val="1"/>
    </w:lvl>
  </w:abstractNum>
  <w:abstractNum w:abstractNumId="25">
    <w:nsid w:val="38437FDB"/>
    <w:multiLevelType w:val="hybridMultilevel"/>
    <w:lvl w:ilvl="0">
      <w:lvlJc w:val="left"/>
      <w:lvlText w:val="(%1)"/>
      <w:numFmt w:val="decimal"/>
      <w:start w:val="2"/>
    </w:lvl>
  </w:abstractNum>
  <w:abstractNum w:abstractNumId="26">
    <w:nsid w:val="7644A45C"/>
    <w:multiLevelType w:val="hybridMultilevel"/>
    <w:lvl w:ilvl="0">
      <w:lvlJc w:val="left"/>
      <w:lvlText w:val="(%1)"/>
      <w:numFmt w:val="decimal"/>
      <w:start w:val="3"/>
    </w:lvl>
  </w:abstractNum>
  <w:abstractNum w:abstractNumId="27">
    <w:nsid w:val="32FFF902"/>
    <w:multiLevelType w:val="hybridMultilevel"/>
    <w:lvl w:ilvl="0">
      <w:lvlJc w:val="left"/>
      <w:lvlText w:val="(%1)"/>
      <w:numFmt w:val="decimal"/>
      <w:start w:val="4"/>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1)"/>
      <w:numFmt w:val="decimal"/>
      <w:start w:val="1"/>
    </w:lvl>
  </w:abstractNum>
  <w:abstractNum w:abstractNumId="49">
    <w:nsid w:val="15B5AF5C"/>
    <w:multiLevelType w:val="hybridMultilevel"/>
    <w:lvl w:ilvl="0">
      <w:lvlJc w:val="left"/>
      <w:lvlText w:val="(%1)"/>
      <w:numFmt w:val="lowerLetter"/>
      <w:start w:val="1"/>
    </w:lvl>
    <w:lvl w:ilvl="1">
      <w:lvlJc w:val="left"/>
      <w:lvlText w:val="(%2)"/>
      <w:numFmt w:val="lowerLetter"/>
      <w:start w:val="3"/>
    </w:lvl>
  </w:abstractNum>
  <w:abstractNum w:abstractNumId="50">
    <w:nsid w:val="741226BB"/>
    <w:multiLevelType w:val="hybridMultilevel"/>
    <w:lvl w:ilvl="0">
      <w:lvlJc w:val="left"/>
      <w:lvlText w:val="%1)"/>
      <w:numFmt w:val="decimal"/>
      <w:start w:val="1"/>
    </w:lvl>
  </w:abstractNum>
  <w:abstractNum w:abstractNumId="51">
    <w:nsid w:val="D34B6A8"/>
    <w:multiLevelType w:val="hybridMultilevel"/>
    <w:lvl w:ilvl="0">
      <w:lvlJc w:val="left"/>
      <w:lvlText w:val="%1)"/>
      <w:numFmt w:val="decimal"/>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1)"/>
      <w:numFmt w:val="decimal"/>
      <w:start w:val="1"/>
    </w:lvl>
  </w:abstractNum>
  <w:abstractNum w:abstractNumId="54">
    <w:nsid w:val="61574095"/>
    <w:multiLevelType w:val="hybridMultilevel"/>
    <w:lvl w:ilvl="0">
      <w:lvlJc w:val="left"/>
      <w:lvlText w:val="(%1)"/>
      <w:numFmt w:val="decimal"/>
      <w:start w:val="2"/>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1)"/>
      <w:numFmt w:val="lowerLetter"/>
      <w:start w:val="2"/>
    </w:lvl>
  </w:abstractNum>
  <w:abstractNum w:abstractNumId="57">
    <w:nsid w:val="579BE4F1"/>
    <w:multiLevelType w:val="hybridMultilevel"/>
    <w:lvl w:ilvl="0">
      <w:lvlJc w:val="left"/>
      <w:lvlText w:val="%1"/>
      <w:numFmt w:val="decimal"/>
      <w:start w:val="10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1)"/>
      <w:numFmt w:val="decimal"/>
      <w:start w:val="1"/>
    </w:lvl>
  </w:abstractNum>
  <w:abstractNum w:abstractNumId="60">
    <w:nsid w:val="2F305DEF"/>
    <w:multiLevelType w:val="hybridMultilevel"/>
    <w:lvl w:ilvl="0">
      <w:lvlJc w:val="left"/>
      <w:lvlText w:val="%1."/>
      <w:numFmt w:val="decimal"/>
      <w:start w:val="1"/>
    </w:lvl>
  </w:abstractNum>
  <w:abstractNum w:abstractNumId="61">
    <w:nsid w:val="25A70BF7"/>
    <w:multiLevelType w:val="hybridMultilevel"/>
    <w:lvl w:ilvl="0">
      <w:lvlJc w:val="left"/>
      <w:lvlText w:val="(%1)"/>
      <w:numFmt w:val="decimal"/>
      <w:start w:val="1"/>
    </w:lvl>
  </w:abstractNum>
  <w:abstractNum w:abstractNumId="62">
    <w:nsid w:val="1DBABF00"/>
    <w:multiLevelType w:val="hybridMultilevel"/>
    <w:lvl w:ilvl="0">
      <w:lvlJc w:val="left"/>
      <w:lvlText w:val="(%1)"/>
      <w:numFmt w:val="decimal"/>
      <w:start w:val="1"/>
    </w:lvl>
  </w:abstractNum>
  <w:abstractNum w:abstractNumId="63">
    <w:nsid w:val="4AD084E9"/>
    <w:multiLevelType w:val="hybridMultilevel"/>
    <w:lvl w:ilvl="0">
      <w:lvlJc w:val="left"/>
      <w:lvlText w:val="(%1)"/>
      <w:numFmt w:val="decimal"/>
      <w:start w:val="1"/>
    </w:lvl>
  </w:abstractNum>
  <w:abstractNum w:abstractNumId="64">
    <w:nsid w:val="1F48EAA1"/>
    <w:multiLevelType w:val="hybridMultilevel"/>
    <w:lvl w:ilvl="0">
      <w:lvlJc w:val="left"/>
      <w:lvlText w:val="(%1)"/>
      <w:numFmt w:val="decimal"/>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53" Type="http://schemas.openxmlformats.org/officeDocument/2006/relationships/image" Target="media/image5.png"/><Relationship Id="rId54" Type="http://schemas.openxmlformats.org/officeDocument/2006/relationships/image" Target="media/image6.png"/><Relationship Id="rId55" Type="http://schemas.openxmlformats.org/officeDocument/2006/relationships/image" Target="media/image7.png"/><Relationship Id="rId56" Type="http://schemas.openxmlformats.org/officeDocument/2006/relationships/image" Target="media/image8.png"/><Relationship Id="rId57" Type="http://schemas.openxmlformats.org/officeDocument/2006/relationships/image" Target="media/image9.png"/><Relationship Id="rId58" Type="http://schemas.openxmlformats.org/officeDocument/2006/relationships/image" Target="media/image10.png"/><Relationship Id="rId59" Type="http://schemas.openxmlformats.org/officeDocument/2006/relationships/image" Target="media/image11.png"/><Relationship Id="rId60" Type="http://schemas.openxmlformats.org/officeDocument/2006/relationships/image" Target="media/image12.png"/><Relationship Id="rId61" Type="http://schemas.openxmlformats.org/officeDocument/2006/relationships/image" Target="media/image13.png"/><Relationship Id="rId62" Type="http://schemas.openxmlformats.org/officeDocument/2006/relationships/image" Target="media/image14.png"/><Relationship Id="rId63" Type="http://schemas.openxmlformats.org/officeDocument/2006/relationships/image" Target="media/image15.png"/><Relationship Id="rId64" Type="http://schemas.openxmlformats.org/officeDocument/2006/relationships/image" Target="media/image16.png"/><Relationship Id="rId65" Type="http://schemas.openxmlformats.org/officeDocument/2006/relationships/image" Target="media/image17.png"/><Relationship Id="rId66" Type="http://schemas.openxmlformats.org/officeDocument/2006/relationships/image" Target="media/image18.png"/><Relationship Id="rId67" Type="http://schemas.openxmlformats.org/officeDocument/2006/relationships/image" Target="media/image19.png"/><Relationship Id="rId68" Type="http://schemas.openxmlformats.org/officeDocument/2006/relationships/image" Target="media/image20.png"/><Relationship Id="rId12" Type="http://schemas.openxmlformats.org/officeDocument/2006/relationships/hyperlink" Target="http://www.sec.gov/Archives/edgar/data/34903/000119312509131764/dex31.htm" TargetMode="External"/><Relationship Id="rId13" Type="http://schemas.openxmlformats.org/officeDocument/2006/relationships/hyperlink" Target="http://www.sec.gov/Archives/edgar/data/34903/000003490317000008/frt-12312016xex32.htm" TargetMode="External"/><Relationship Id="rId14" Type="http://schemas.openxmlformats.org/officeDocument/2006/relationships/hyperlink" Target="http://www.sec.gov/Archives/edgar/data/34903/000095010900001048/0000950109-00-001048.txt" TargetMode="External"/><Relationship Id="rId15" Type="http://schemas.openxmlformats.org/officeDocument/2006/relationships/hyperlink" Target="http://www.sec.gov/Archives/edgar/data/34903/000119312507053506/dex41.htm" TargetMode="External"/><Relationship Id="rId16" Type="http://schemas.openxmlformats.org/officeDocument/2006/relationships/hyperlink" Target="http://www.sec.gov/Archives/edgar/data/34903/0000950109-98-004542.txt" TargetMode="External"/><Relationship Id="rId17" Type="http://schemas.openxmlformats.org/officeDocument/2006/relationships/hyperlink" Target="http://www.sec.gov/Archives/edgar/data/34903/000119312517299279/d453589dex32.htm" TargetMode="External"/><Relationship Id="rId18" Type="http://schemas.openxmlformats.org/officeDocument/2006/relationships/hyperlink" Target="http://www.sec.gov/Archives/edgar/data/34903/000119312517299279/d453589dex41.htm" TargetMode="External"/><Relationship Id="rId19" Type="http://schemas.openxmlformats.org/officeDocument/2006/relationships/hyperlink" Target="http://www.sec.gov/Archives/edgar/data/34903/000119312517299279/d453589dex43.htm" TargetMode="External"/><Relationship Id="rId20" Type="http://schemas.openxmlformats.org/officeDocument/2006/relationships/hyperlink" Target="http://www.sec.gov/Archives/edgar/data/34903/0000928385-99-001432.txt" TargetMode="External"/><Relationship Id="rId21" Type="http://schemas.openxmlformats.org/officeDocument/2006/relationships/hyperlink" Target="http://www.sec.gov/Archives/edgar/data/34903/000119312505043736/dex1012.htm" TargetMode="External"/><Relationship Id="rId22" Type="http://schemas.openxmlformats.org/officeDocument/2006/relationships/hyperlink" Target="http://www.sec.gov/Archives/edgar/data/34903/000092838501500706/dex991.txt" TargetMode="External"/><Relationship Id="rId23" Type="http://schemas.openxmlformats.org/officeDocument/2006/relationships/hyperlink" Target="http://www.sec.gov/Archives/edgar/data/34903/000119312505043736/dex1026.htm" TargetMode="External"/><Relationship Id="rId24" Type="http://schemas.openxmlformats.org/officeDocument/2006/relationships/hyperlink" Target="http://www.sec.gov/Archives/edgar/data/34903/000119312505151516/dex1026.htm" TargetMode="External"/><Relationship Id="rId25" Type="http://schemas.openxmlformats.org/officeDocument/2006/relationships/hyperlink" Target="http://www.sec.gov/Archives/edgar/data/34903/000119312505043736/dex1027.htm" TargetMode="External"/><Relationship Id="rId26" Type="http://schemas.openxmlformats.org/officeDocument/2006/relationships/hyperlink" Target="http://www.sec.gov/Archives/edgar/data/34903/000119312505043736/dex1028.htm" TargetMode="External"/><Relationship Id="rId27" Type="http://schemas.openxmlformats.org/officeDocument/2006/relationships/hyperlink" Target="http://www.sec.gov/Archives/edgar/data/34903/000119312511036800/dex1035.htm" TargetMode="External"/><Relationship Id="rId28" Type="http://schemas.openxmlformats.org/officeDocument/2006/relationships/hyperlink" Target="http://www.sec.gov/Archives/edgar/data/34903/000119312506044561/dex1032.htm" TargetMode="External"/><Relationship Id="rId29" Type="http://schemas.openxmlformats.org/officeDocument/2006/relationships/hyperlink" Target="http://www.sec.gov/Archives/edgar/data/34903/000119312507168241/dex1034.htm" TargetMode="External"/><Relationship Id="rId30" Type="http://schemas.openxmlformats.org/officeDocument/2006/relationships/hyperlink" Target="http://www.sec.gov/Archives/edgar/data/34903/000119312509038641/dex1026.htm" TargetMode="External"/><Relationship Id="rId31" Type="http://schemas.openxmlformats.org/officeDocument/2006/relationships/hyperlink" Target="http://www.sec.gov/Archives/edgar/data/34903/000119312509038641/dex1027.htm" TargetMode="External"/><Relationship Id="rId32" Type="http://schemas.openxmlformats.org/officeDocument/2006/relationships/hyperlink" Target="http://www.sec.gov/Archives/edgar/data/34903/000119312509038641/dex1028.htm" TargetMode="External"/><Relationship Id="rId33" Type="http://schemas.openxmlformats.org/officeDocument/2006/relationships/hyperlink" Target="http://www.sec.gov/Archives/edgar/data/34903/000119312509038641/dex1030.htm" TargetMode="External"/><Relationship Id="rId34" Type="http://schemas.openxmlformats.org/officeDocument/2006/relationships/hyperlink" Target="http://www.sec.gov/Archives/edgar/data/34903/000119312510065274/ddef14a.htm#toc85041_80" TargetMode="External"/><Relationship Id="rId35" Type="http://schemas.openxmlformats.org/officeDocument/2006/relationships/hyperlink" Target="http://www.sec.gov/Archives/edgar/data/34903/000119312510246216/dex1036.htm" TargetMode="External"/><Relationship Id="rId36" Type="http://schemas.openxmlformats.org/officeDocument/2006/relationships/hyperlink" Target="http://www.sec.gov/Archives/edgar/data/34903/000119312511036800/dex1034.htm" TargetMode="External"/><Relationship Id="rId37" Type="http://schemas.openxmlformats.org/officeDocument/2006/relationships/hyperlink" Target="http://www.sec.gov/Archives/edgar/data/34903/000119312511036800/dex1038.htm" TargetMode="External"/><Relationship Id="rId38" Type="http://schemas.openxmlformats.org/officeDocument/2006/relationships/hyperlink" Target="http://www.sec.gov/Archives/edgar/data/34903/000119312511036800/dex1039.htm" TargetMode="External"/><Relationship Id="rId39" Type="http://schemas.openxmlformats.org/officeDocument/2006/relationships/hyperlink" Target="http://www.sec.gov/Archives/edgar/data/34903/000119312511036800/dex1040.htm" TargetMode="External"/><Relationship Id="rId40" Type="http://schemas.openxmlformats.org/officeDocument/2006/relationships/hyperlink" Target="http://www.sec.gov/Archives/edgar/data/34903/000119312511036800/dex1041.htm" TargetMode="External"/><Relationship Id="rId41" Type="http://schemas.openxmlformats.org/officeDocument/2006/relationships/hyperlink" Target="http://www.sec.gov/Archives/edgar/data/34903/000119312511186005/dex101.htm" TargetMode="External"/><Relationship Id="rId42" Type="http://schemas.openxmlformats.org/officeDocument/2006/relationships/hyperlink" Target="http://www.sec.gov/Archives/edgar/data/34903/000119312511322933/d260701dex101.htm" TargetMode="External"/><Relationship Id="rId43" Type="http://schemas.openxmlformats.org/officeDocument/2006/relationships/hyperlink" Target="http://www.sec.gov/Archives/edgar/data/34903/000003490313000006/frt-12312012xex1035.htm" TargetMode="External"/><Relationship Id="rId44" Type="http://schemas.openxmlformats.org/officeDocument/2006/relationships/hyperlink" Target="http://www.sec.gov/Archives/edgar/data/34903/000003490313000006/frt-12312012xex1036.htm" TargetMode="External"/><Relationship Id="rId45" Type="http://schemas.openxmlformats.org/officeDocument/2006/relationships/hyperlink" Target="http://www.sec.gov/Archives/edgar/data/34903/000003490313000006/frt-12312012xex1037.htm" TargetMode="External"/><Relationship Id="rId46" Type="http://schemas.openxmlformats.org/officeDocument/2006/relationships/hyperlink" Target="http://www.sec.gov/Archives/edgar/data/34903/000003490313000006/frt-12312012xex1038.htm" TargetMode="External"/><Relationship Id="rId47" Type="http://schemas.openxmlformats.org/officeDocument/2006/relationships/hyperlink" Target="http://www.sec.gov/Archives/edgar/data/34903/000003490313000012/frt-04262013ex101.htm" TargetMode="External"/><Relationship Id="rId48" Type="http://schemas.openxmlformats.org/officeDocument/2006/relationships/hyperlink" Target="http://www.sec.gov/Archives/edgar/data/34903/000003490313000018/frt-03312013xex1040.htm" TargetMode="External"/><Relationship Id="rId49" Type="http://schemas.openxmlformats.org/officeDocument/2006/relationships/hyperlink" Target="http://www.sec.gov/Archives/edgar/data/34903/000003490314000032/frt-08282014ex101.htm" TargetMode="External"/><Relationship Id="rId50" Type="http://schemas.openxmlformats.org/officeDocument/2006/relationships/hyperlink" Target="http://www.sec.gov/Archives/edgar/data/34903/000003490316000053/frt-042016ex101.htm" TargetMode="External"/><Relationship Id="rId51" Type="http://schemas.openxmlformats.org/officeDocument/2006/relationships/hyperlink" Target="http://www.sec.gov/Archives/edgar/data/34903/000003490316000054/frt-042016ex101tl.htm" TargetMode="External"/><Relationship Id="rId52" Type="http://schemas.openxmlformats.org/officeDocument/2006/relationships/hyperlink" Target="http://www.sec.gov/Archives/edgar/data/34903/000003490316000072/frt-09302016xex10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2019-12-29T01:19:37Z</dcterms:created>
  <dcterms:modified xsi:type="dcterms:W3CDTF">2019-12-29T01:19:37Z</dcterms:modified>
</cp:coreProperties>
</file>