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45085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-228600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5" w:lineRule="exact"/>
        <w:rPr>
          <w:sz w:val="24"/>
          <w:szCs w:val="24"/>
          <w:color w:val="auto"/>
        </w:rPr>
      </w:pPr>
    </w:p>
    <w:p>
      <w:pPr>
        <w:ind w:left="720" w:right="52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THE SECTION 13 OR 15(D) OF THE SECURITIES EXCHANGE ACT OF 1934</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quarterly period ended March 31, 2017</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57" w:lineRule="exact"/>
        <w:rPr>
          <w:sz w:val="24"/>
          <w:szCs w:val="24"/>
          <w:color w:val="auto"/>
        </w:rPr>
      </w:pPr>
    </w:p>
    <w:p>
      <w:pPr>
        <w:ind w:left="720" w:right="14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2" w:right="239" w:bottom="1440" w:gutter="0" w:footer="0" w:header="0"/>
        </w:sectPr>
      </w:pPr>
    </w:p>
    <w:p>
      <w:pPr>
        <w:spacing w:after="0" w:line="4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92" w:lineRule="exact"/>
        <w:rPr>
          <w:sz w:val="24"/>
          <w:szCs w:val="24"/>
          <w:color w:val="auto"/>
        </w:rPr>
      </w:pPr>
    </w:p>
    <w:p>
      <w:pPr>
        <w:sectPr>
          <w:pgSz w:w="11900" w:h="16838" w:orient="portrait"/>
          <w:cols w:equalWidth="0" w:num="2">
            <w:col w:w="6240" w:space="700"/>
            <w:col w:w="4480"/>
          </w:cols>
          <w:pgMar w:left="240" w:top="232" w:right="23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Commission file number: 1-07533</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FEDERAL REALTY INVESTMENT TRUST</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Declaration of Trust)</w:t>
      </w:r>
    </w:p>
    <w:p>
      <w:pPr>
        <w:sectPr>
          <w:pgSz w:w="11900" w:h="16838" w:orient="portrait"/>
          <w:cols w:equalWidth="0" w:num="1">
            <w:col w:w="11420"/>
          </w:cols>
          <w:pgMar w:left="240" w:top="232" w:right="239" w:bottom="1440" w:gutter="0" w:footer="0" w:header="0"/>
          <w:type w:val="continuous"/>
        </w:sectPr>
      </w:pPr>
    </w:p>
    <w:p>
      <w:pPr>
        <w:spacing w:after="0" w:line="248"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b w:val="1"/>
          <w:bCs w:val="1"/>
          <w:color w:val="auto"/>
        </w:rPr>
        <w:t>Maryland</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52-0782497</w:t>
      </w:r>
    </w:p>
    <w:p>
      <w:pPr>
        <w:spacing w:after="0" w:line="76" w:lineRule="exact"/>
        <w:rPr>
          <w:sz w:val="24"/>
          <w:szCs w:val="24"/>
          <w:color w:val="auto"/>
        </w:rPr>
      </w:pPr>
    </w:p>
    <w:p>
      <w:pPr>
        <w:sectPr>
          <w:pgSz w:w="11900" w:h="16838" w:orient="portrait"/>
          <w:cols w:equalWidth="0" w:num="2">
            <w:col w:w="7380" w:space="720"/>
            <w:col w:w="3320"/>
          </w:cols>
          <w:pgMar w:left="240" w:top="232" w:right="2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16"/>
          <w:szCs w:val="16"/>
          <w:b w:val="1"/>
          <w:bCs w:val="1"/>
          <w:color w:val="auto"/>
        </w:rPr>
        <w:t>(State of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232" w:right="239" w:bottom="1440" w:gutter="0" w:footer="0" w:header="0"/>
          <w:type w:val="continuous"/>
        </w:sectPr>
      </w:pPr>
    </w:p>
    <w:p>
      <w:pPr>
        <w:spacing w:after="0" w:line="91"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20852</w:t>
      </w:r>
    </w:p>
    <w:p>
      <w:pPr>
        <w:spacing w:after="0" w:line="65" w:lineRule="exact"/>
        <w:rPr>
          <w:sz w:val="24"/>
          <w:szCs w:val="24"/>
          <w:color w:val="auto"/>
        </w:rPr>
      </w:pPr>
    </w:p>
    <w:p>
      <w:pPr>
        <w:sectPr>
          <w:pgSz w:w="11900" w:h="16838" w:orient="portrait"/>
          <w:cols w:equalWidth="0" w:num="2">
            <w:col w:w="7600" w:space="720"/>
            <w:col w:w="3100"/>
          </w:cols>
          <w:pgMar w:left="240" w:top="232" w:right="2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31" w:lineRule="exact"/>
        <w:rPr>
          <w:sz w:val="24"/>
          <w:szCs w:val="24"/>
          <w:color w:val="auto"/>
        </w:rPr>
      </w:pPr>
    </w:p>
    <w:p>
      <w:pPr>
        <w:sectPr>
          <w:pgSz w:w="11900" w:h="16838" w:orient="portrait"/>
          <w:cols w:equalWidth="0" w:num="2">
            <w:col w:w="7480" w:space="720"/>
            <w:col w:w="3220"/>
          </w:cols>
          <w:pgMar w:left="240" w:top="232"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(301) 998-8100</w:t>
      </w:r>
    </w:p>
    <w:p>
      <w:pPr>
        <w:spacing w:after="0" w:line="4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70"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ectPr>
          <w:pgSz w:w="11900" w:h="16838" w:orient="portrait"/>
          <w:cols w:equalWidth="0" w:num="1">
            <w:col w:w="11420"/>
          </w:cols>
          <w:pgMar w:left="240" w:top="232" w:right="239" w:bottom="1440" w:gutter="0" w:footer="0" w:header="0"/>
          <w:type w:val="continuous"/>
        </w:sectPr>
      </w:pPr>
    </w:p>
    <w:p>
      <w:pPr>
        <w:spacing w:after="0" w:line="98"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submit and post such files).</w:t>
            </w:r>
          </w:p>
        </w:tc>
        <w:tc>
          <w:tcPr>
            <w:tcW w:w="502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39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1"/>
        </w:trPr>
        <w:tc>
          <w:tcPr>
            <w:tcW w:w="1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Indicate by check mark whether the Registrant is a large accelerated filer, an accelerated filer, a non-accelerated filer or a smaller reporting company. See</w:t>
            </w:r>
          </w:p>
        </w:tc>
        <w:tc>
          <w:tcPr>
            <w:tcW w:w="200" w:type="dxa"/>
            <w:vAlign w:val="bottom"/>
          </w:tcPr>
          <w:p>
            <w:pPr>
              <w:spacing w:after="0"/>
              <w:rPr>
                <w:sz w:val="23"/>
                <w:szCs w:val="23"/>
                <w:color w:val="auto"/>
              </w:rPr>
            </w:pPr>
          </w:p>
        </w:tc>
      </w:tr>
      <w:tr>
        <w:trPr>
          <w:trHeight w:val="234"/>
        </w:trPr>
        <w:tc>
          <w:tcPr>
            <w:tcW w:w="1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definitions of “large accelerated filer,” “accelerated filer” and “smaller reporting company” in Rule 12b-2 of the Exchange Act. (Check one):</w:t>
            </w:r>
          </w:p>
        </w:tc>
        <w:tc>
          <w:tcPr>
            <w:tcW w:w="200" w:type="dxa"/>
            <w:vAlign w:val="bottom"/>
          </w:tcPr>
          <w:p>
            <w:pPr>
              <w:spacing w:after="0"/>
              <w:rPr>
                <w:sz w:val="20"/>
                <w:szCs w:val="20"/>
                <w:color w:val="auto"/>
              </w:rPr>
            </w:pPr>
          </w:p>
        </w:tc>
      </w:tr>
      <w:tr>
        <w:trPr>
          <w:trHeight w:val="398"/>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Large Accelerated Filer</w:t>
            </w:r>
          </w:p>
        </w:tc>
        <w:tc>
          <w:tcPr>
            <w:tcW w:w="50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Accelerated filer</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Non-Accelerated Filer</w:t>
            </w:r>
          </w:p>
        </w:tc>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 (Do not check if a smaller reporting company)</w:t>
            </w: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53"/>
        </w:trPr>
        <w:tc>
          <w:tcPr>
            <w:tcW w:w="110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If an emerging growth company, indicate by checkmark if the registrant has elected not use the extended transition period for complying with any new</w:t>
            </w:r>
          </w:p>
        </w:tc>
        <w:tc>
          <w:tcPr>
            <w:tcW w:w="200" w:type="dxa"/>
            <w:vAlign w:val="bottom"/>
          </w:tcPr>
          <w:p>
            <w:pPr>
              <w:ind w:left="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4"/>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or revised financial accounting standards provided pursuant to Section 13(a) of the Exchange Act.</w:t>
            </w:r>
          </w:p>
        </w:tc>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15" w:lineRule="exact"/>
        <w:rPr>
          <w:sz w:val="24"/>
          <w:szCs w:val="24"/>
          <w:color w:val="auto"/>
        </w:rPr>
      </w:pPr>
    </w:p>
    <w:p>
      <w:pPr>
        <w:ind w:right="1800"/>
        <w:spacing w:after="0" w:line="30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The number of Registrant’s common shares outstanding on April 28, 2017 was 72,238,754.</w:t>
      </w:r>
    </w:p>
    <w:p>
      <w:pPr>
        <w:sectPr>
          <w:pgSz w:w="11900" w:h="16838" w:orient="portrait"/>
          <w:cols w:equalWidth="0" w:num="1">
            <w:col w:w="11420"/>
          </w:cols>
          <w:pgMar w:left="240" w:top="23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8"/>
        </w:trPr>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QUARTER ENDED MARCH 31,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3">
              <w:r>
                <w:rPr>
                  <w:rFonts w:ascii="Times New Roman" w:cs="Times New Roman" w:eastAsia="Times New Roman" w:hAnsi="Times New Roman"/>
                  <w:sz w:val="18"/>
                  <w:szCs w:val="18"/>
                  <w:color w:val="0000EE"/>
                  <w:w w:val="88"/>
                </w:rPr>
                <w:t>3</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Balance Sheets as of March 31, 2017 (unaudited) and December 31, 2016</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 for the three months ended March 31, 2017 and 2016</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Statement of Shareholders' Equity (unaudited) for the three months ended March 31, 2017</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three months ended March 31, 2017 and 2016</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8</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14</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5">
              <w:r>
                <w:rPr>
                  <w:rFonts w:ascii="Times New Roman" w:cs="Times New Roman" w:eastAsia="Times New Roman" w:hAnsi="Times New Roman"/>
                  <w:sz w:val="18"/>
                  <w:szCs w:val="18"/>
                  <w:color w:val="0000EE"/>
                  <w:w w:val="88"/>
                </w:rPr>
                <w:t>25</w:t>
              </w:r>
            </w:hyperlink>
          </w:p>
        </w:tc>
      </w:tr>
      <w:tr>
        <w:trPr>
          <w:trHeight w:val="574"/>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PART II. OTHER INFORMATION</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26</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26</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26</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6">
              <w:r>
                <w:rPr>
                  <w:rFonts w:ascii="Times New Roman" w:cs="Times New Roman" w:eastAsia="Times New Roman" w:hAnsi="Times New Roman"/>
                  <w:sz w:val="18"/>
                  <w:szCs w:val="18"/>
                  <w:color w:val="0000EE"/>
                  <w:w w:val="88"/>
                </w:rPr>
                <w:t>26</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27</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27</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27</w:t>
              </w:r>
            </w:hyperlink>
          </w:p>
        </w:tc>
      </w:tr>
      <w:tr>
        <w:trPr>
          <w:trHeight w:val="250"/>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10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27</w:t>
              </w:r>
            </w:hyperlink>
          </w:p>
        </w:tc>
      </w:tr>
      <w:tr>
        <w:trPr>
          <w:trHeight w:val="574"/>
        </w:trPr>
        <w:tc>
          <w:tcPr>
            <w:tcW w:w="1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SIGNATURES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28</w:t>
              </w:r>
            </w:hyperlink>
          </w:p>
        </w:tc>
      </w:tr>
      <w:tr>
        <w:trPr>
          <w:trHeight w:val="939"/>
        </w:trPr>
        <w:tc>
          <w:tcPr>
            <w:tcW w:w="820" w:type="dxa"/>
            <w:vAlign w:val="bottom"/>
          </w:tcPr>
          <w:p>
            <w:pPr>
              <w:spacing w:after="0"/>
              <w:rPr>
                <w:sz w:val="24"/>
                <w:szCs w:val="24"/>
                <w:color w:val="auto"/>
              </w:rPr>
            </w:pPr>
          </w:p>
        </w:tc>
        <w:tc>
          <w:tcPr>
            <w:tcW w:w="1040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consolidated balance sheet as of December 31, 2016, which has been derived from audited financial statements, and unaudited interim consolidated financial statements have been prepared pursuant to the rules and regulations of the Securities and Exchange Commission. Certain information and note disclosures normally included in annual financial statements prepared in accordance with accounting principles generally accepted in the United States (GAAP) have been omitted pursuant to those rules and regulations, although Federal Realty Investment Trust (the "Trust") believes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months ended March 31, 2017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124"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40" w:type="dxa"/>
            <w:vAlign w:val="bottom"/>
            <w:gridSpan w:val="4"/>
          </w:tcPr>
          <w:p>
            <w:pPr>
              <w:jc w:val="right"/>
              <w:ind w:right="231"/>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w:t>
            </w:r>
          </w:p>
        </w:tc>
        <w:tc>
          <w:tcPr>
            <w:tcW w:w="0" w:type="dxa"/>
            <w:vAlign w:val="bottom"/>
          </w:tcPr>
          <w:p>
            <w:pPr>
              <w:spacing w:after="0"/>
              <w:rPr>
                <w:sz w:val="1"/>
                <w:szCs w:val="1"/>
                <w:color w:val="auto"/>
              </w:rPr>
            </w:pPr>
          </w:p>
        </w:tc>
      </w:tr>
      <w:tr>
        <w:trPr>
          <w:trHeight w:val="190"/>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right"/>
              <w:ind w:right="971"/>
              <w:spacing w:after="0"/>
              <w:rPr>
                <w:sz w:val="20"/>
                <w:szCs w:val="20"/>
                <w:color w:val="auto"/>
              </w:rPr>
            </w:pPr>
            <w:r>
              <w:rPr>
                <w:rFonts w:ascii="Times New Roman" w:cs="Times New Roman" w:eastAsia="Times New Roman" w:hAnsi="Times New Roman"/>
                <w:sz w:val="14"/>
                <w:szCs w:val="14"/>
                <w:b w:val="1"/>
                <w:bCs w:val="1"/>
                <w:color w:val="auto"/>
              </w:rPr>
              <w:t>share data)</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(including $1,235,147 and $1,226,918 of consolidated variable interest entities, respectively)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6,294,142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6,125,957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Construction-in-progress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687,356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599,260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Asset held for sale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33,856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33,856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7,015,354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6,759,073</w:t>
            </w:r>
          </w:p>
        </w:tc>
        <w:tc>
          <w:tcPr>
            <w:tcW w:w="0" w:type="dxa"/>
            <w:vAlign w:val="bottom"/>
          </w:tcPr>
          <w:p>
            <w:pPr>
              <w:spacing w:after="0"/>
              <w:rPr>
                <w:sz w:val="1"/>
                <w:szCs w:val="1"/>
                <w:color w:val="auto"/>
              </w:rPr>
            </w:pPr>
          </w:p>
        </w:tc>
      </w:tr>
      <w:tr>
        <w:trPr>
          <w:trHeight w:val="225"/>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accumulated depreciation and amortization (including $217,449 and $209,239 of consolidated variable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(1,766,239)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(1,729,234)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5,249,115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5,029,839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23,368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115,775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116,749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29,904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29,904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 in real estate partnerships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14,864</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226,754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208,555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5,656,200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5,423,279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Mortgages payable (including $436,494 and $439,120 of consolidated variable interest entities,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468,284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471,117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71,582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71,590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Notes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496,311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279,151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1,977,192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1,976,594</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191,901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201,756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71,440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144,979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115,817</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3,438,395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3,203,750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141,003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143,694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Preferred shares, authorized 15,000,000 shares, $.01 par: 5.417% Series 1 Cumulative Convertible Preferred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Shares, (stated at liquidation preference $25 per share), 399,896 shares issued and outstanding</w:t>
            </w: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Common shares of beneficial interest, $.01 par, 100,000,000 shares authorized, 72,236,981 and 71,995,897</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2,736,921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2,718,325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(749,734)</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1,981,692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1,976,733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95,110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99,102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2,076,802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2,075,835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5,656,200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5,423,279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ectPr>
          <w:pgSz w:w="11900" w:h="16838" w:orient="portrait"/>
          <w:cols w:equalWidth="0" w:num="1">
            <w:col w:w="11420"/>
          </w:cols>
          <w:pgMar w:left="240" w:top="12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4"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1"/>
        </w:trPr>
        <w:tc>
          <w:tcPr>
            <w:tcW w:w="53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3"/>
        </w:trPr>
        <w:tc>
          <w:tcPr>
            <w:tcW w:w="5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Rental income</w:t>
            </w:r>
          </w:p>
        </w:tc>
        <w:tc>
          <w:tcPr>
            <w:tcW w:w="3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204,447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195,308</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property income</w:t>
            </w:r>
          </w:p>
        </w:tc>
        <w:tc>
          <w:tcPr>
            <w:tcW w:w="3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2,312</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0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37"/>
        </w:trPr>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30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207,389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198,344</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Rental expenses</w:t>
            </w:r>
          </w:p>
        </w:tc>
        <w:tc>
          <w:tcPr>
            <w:tcW w:w="3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41,109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42,819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taxes</w:t>
            </w:r>
          </w:p>
        </w:tc>
        <w:tc>
          <w:tcPr>
            <w:tcW w:w="3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22,794</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8,010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51,379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47,799</w:t>
            </w:r>
          </w:p>
        </w:tc>
        <w:tc>
          <w:tcPr>
            <w:tcW w:w="0" w:type="dxa"/>
            <w:vAlign w:val="bottom"/>
          </w:tcPr>
          <w:p>
            <w:pPr>
              <w:spacing w:after="0"/>
              <w:rPr>
                <w:sz w:val="1"/>
                <w:szCs w:val="1"/>
                <w:color w:val="auto"/>
              </w:rPr>
            </w:pPr>
          </w:p>
        </w:tc>
      </w:tr>
      <w:tr>
        <w:trPr>
          <w:trHeight w:val="237"/>
        </w:trPr>
        <w:tc>
          <w:tcPr>
            <w:tcW w:w="5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125,845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121,422</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81,544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76,922</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interest income</w:t>
            </w:r>
          </w:p>
        </w:tc>
        <w:tc>
          <w:tcPr>
            <w:tcW w:w="3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3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3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53,337</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w:t>
            </w:r>
          </w:p>
        </w:tc>
        <w:tc>
          <w:tcPr>
            <w:tcW w:w="3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25,726</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79,063</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76,955</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3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3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56,055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76,820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3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3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3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Continuing operations</w:t>
            </w:r>
          </w:p>
        </w:tc>
        <w:tc>
          <w:tcPr>
            <w:tcW w:w="3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 net</w:t>
            </w:r>
          </w:p>
        </w:tc>
        <w:tc>
          <w:tcPr>
            <w:tcW w:w="3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Weighted average number of common shares, basic</w:t>
            </w:r>
          </w:p>
        </w:tc>
        <w:tc>
          <w:tcPr>
            <w:tcW w:w="3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71,862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69,771</w:t>
            </w:r>
          </w:p>
        </w:tc>
        <w:tc>
          <w:tcPr>
            <w:tcW w:w="0" w:type="dxa"/>
            <w:vAlign w:val="bottom"/>
          </w:tcPr>
          <w:p>
            <w:pPr>
              <w:spacing w:after="0"/>
              <w:rPr>
                <w:sz w:val="1"/>
                <w:szCs w:val="1"/>
                <w:color w:val="auto"/>
              </w:rPr>
            </w:pPr>
          </w:p>
        </w:tc>
      </w:tr>
      <w:tr>
        <w:trPr>
          <w:trHeight w:val="67"/>
        </w:trPr>
        <w:tc>
          <w:tcPr>
            <w:tcW w:w="5340" w:type="dxa"/>
            <w:vAlign w:val="bottom"/>
            <w:tcBorders>
              <w:bottom w:val="single" w:sz="8" w:color="CCEEFF"/>
            </w:tcBorders>
          </w:tcPr>
          <w:p>
            <w:pPr>
              <w:spacing w:after="0"/>
              <w:rPr>
                <w:sz w:val="5"/>
                <w:szCs w:val="5"/>
                <w:color w:val="auto"/>
              </w:rPr>
            </w:pPr>
          </w:p>
        </w:tc>
        <w:tc>
          <w:tcPr>
            <w:tcW w:w="30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EARNINGS PER COMMON SHARE, DILUTED</w:t>
            </w:r>
          </w:p>
        </w:tc>
        <w:tc>
          <w:tcPr>
            <w:tcW w:w="30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Continuing operations</w:t>
            </w:r>
          </w:p>
        </w:tc>
        <w:tc>
          <w:tcPr>
            <w:tcW w:w="3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 net</w:t>
            </w:r>
          </w:p>
        </w:tc>
        <w:tc>
          <w:tcPr>
            <w:tcW w:w="30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67"/>
        </w:trPr>
        <w:tc>
          <w:tcPr>
            <w:tcW w:w="5340" w:type="dxa"/>
            <w:vAlign w:val="bottom"/>
            <w:tcBorders>
              <w:bottom w:val="single" w:sz="8" w:color="CCEEFF"/>
            </w:tcBorders>
          </w:tcPr>
          <w:p>
            <w:pPr>
              <w:spacing w:after="0"/>
              <w:rPr>
                <w:sz w:val="5"/>
                <w:szCs w:val="5"/>
                <w:color w:val="auto"/>
              </w:rPr>
            </w:pPr>
          </w:p>
        </w:tc>
        <w:tc>
          <w:tcPr>
            <w:tcW w:w="30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diluted</w:t>
            </w:r>
          </w:p>
        </w:tc>
        <w:tc>
          <w:tcPr>
            <w:tcW w:w="3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72,005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69,957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4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3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59,154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76,288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 ATTRIBUTABLE TO THE TRUST</w:t>
            </w:r>
          </w:p>
        </w:tc>
        <w:tc>
          <w:tcPr>
            <w:tcW w:w="3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57,274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74,180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40" w:type="dxa"/>
            <w:vAlign w:val="bottom"/>
            <w:gridSpan w:val="3"/>
          </w:tcPr>
          <w:p>
            <w:pPr>
              <w:jc w:val="center"/>
              <w:ind w:left="269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40" w:type="dxa"/>
            <w:vAlign w:val="bottom"/>
          </w:tcPr>
          <w:p>
            <w:pPr>
              <w:spacing w:after="0"/>
              <w:rPr>
                <w:sz w:val="24"/>
                <w:szCs w:val="24"/>
                <w:color w:val="auto"/>
              </w:rPr>
            </w:pPr>
          </w:p>
        </w:tc>
        <w:tc>
          <w:tcPr>
            <w:tcW w:w="300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2017</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560" w:type="dxa"/>
            <w:vAlign w:val="bottom"/>
            <w:gridSpan w:val="4"/>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0" w:type="dxa"/>
            <w:vAlign w:val="bottom"/>
            <w:vMerge w:val="restart"/>
          </w:tcPr>
          <w:p>
            <w:pPr>
              <w:spacing w:after="0"/>
              <w:rPr>
                <w:sz w:val="12"/>
                <w:szCs w:val="12"/>
                <w:color w:val="auto"/>
              </w:rPr>
            </w:pPr>
          </w:p>
        </w:tc>
        <w:tc>
          <w:tcPr>
            <w:tcW w:w="1560" w:type="dxa"/>
            <w:vAlign w:val="bottom"/>
            <w:gridSpan w:val="4"/>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Dividends in</w:t>
            </w:r>
          </w:p>
        </w:tc>
        <w:tc>
          <w:tcPr>
            <w:tcW w:w="200" w:type="dxa"/>
            <w:vAlign w:val="bottom"/>
          </w:tcPr>
          <w:p>
            <w:pPr>
              <w:spacing w:after="0"/>
              <w:rPr>
                <w:sz w:val="13"/>
                <w:szCs w:val="13"/>
                <w:color w:val="auto"/>
              </w:rPr>
            </w:pPr>
          </w:p>
        </w:tc>
        <w:tc>
          <w:tcPr>
            <w:tcW w:w="9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940" w:type="dxa"/>
            <w:vAlign w:val="bottom"/>
          </w:tcPr>
          <w:p>
            <w:pPr>
              <w:spacing w:after="0"/>
              <w:rPr>
                <w:sz w:val="10"/>
                <w:szCs w:val="10"/>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Excess of Net</w:t>
            </w:r>
          </w:p>
        </w:tc>
        <w:tc>
          <w:tcPr>
            <w:tcW w:w="1120" w:type="dxa"/>
            <w:vAlign w:val="bottom"/>
            <w:gridSpan w:val="3"/>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95"/>
        </w:trPr>
        <w:tc>
          <w:tcPr>
            <w:tcW w:w="2940" w:type="dxa"/>
            <w:vAlign w:val="bottom"/>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shd w:val="clear" w:color="auto" w:fill="CCEEFF"/>
              </w:rPr>
              <w:t>BALANCE AT DECEMBER 31, 2016</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399,896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71,995,897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$2,718,325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(749,734)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99,102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$ 2,075,835</w:t>
            </w:r>
          </w:p>
        </w:tc>
        <w:tc>
          <w:tcPr>
            <w:tcW w:w="0" w:type="dxa"/>
            <w:vAlign w:val="bottom"/>
          </w:tcPr>
          <w:p>
            <w:pPr>
              <w:spacing w:after="0"/>
              <w:rPr>
                <w:sz w:val="1"/>
                <w:szCs w:val="1"/>
                <w:color w:val="auto"/>
              </w:rPr>
            </w:pPr>
          </w:p>
        </w:tc>
      </w:tr>
      <w:tr>
        <w:trPr>
          <w:trHeight w:val="216"/>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January 1, 2017 adoption of new accounting</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standard - See Note 2</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 excluding $806 attributable to</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56,190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1,074</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57,264</w:t>
            </w:r>
          </w:p>
        </w:tc>
        <w:tc>
          <w:tcPr>
            <w:tcW w:w="0" w:type="dxa"/>
            <w:vAlign w:val="bottom"/>
          </w:tcPr>
          <w:p>
            <w:pPr>
              <w:spacing w:after="0"/>
              <w:rPr>
                <w:sz w:val="1"/>
                <w:szCs w:val="1"/>
                <w:color w:val="auto"/>
              </w:rPr>
            </w:pPr>
          </w:p>
        </w:tc>
      </w:tr>
      <w:tr>
        <w:trPr>
          <w:trHeight w:val="216"/>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 change in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value of interest rate swaps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1,084</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Dividends declared to common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shareholders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(70,696)</w:t>
            </w:r>
          </w:p>
        </w:tc>
        <w:tc>
          <w:tcPr>
            <w:tcW w:w="0" w:type="dxa"/>
            <w:vAlign w:val="bottom"/>
          </w:tcPr>
          <w:p>
            <w:pPr>
              <w:spacing w:after="0"/>
              <w:rPr>
                <w:sz w:val="1"/>
                <w:szCs w:val="1"/>
                <w:color w:val="auto"/>
              </w:rPr>
            </w:pPr>
          </w:p>
        </w:tc>
      </w:tr>
      <w:tr>
        <w:trPr>
          <w:trHeight w:val="216"/>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 to preferred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shareholders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Distributions declared to noncontrolling</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shares issued</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98,674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color w:val="auto"/>
              </w:rPr>
              <w:t>13,414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13,415</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52,307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3,830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3,831</w:t>
            </w:r>
          </w:p>
        </w:tc>
        <w:tc>
          <w:tcPr>
            <w:tcW w:w="0" w:type="dxa"/>
            <w:vAlign w:val="bottom"/>
          </w:tcPr>
          <w:p>
            <w:pPr>
              <w:spacing w:after="0"/>
              <w:rPr>
                <w:sz w:val="1"/>
                <w:szCs w:val="1"/>
                <w:color w:val="auto"/>
              </w:rPr>
            </w:pPr>
          </w:p>
        </w:tc>
      </w:tr>
      <w:tr>
        <w:trPr>
          <w:trHeight w:val="216"/>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issued under dividend reinvestment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plan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4,660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654</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Share-based compensation expense, net of</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forfeitures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105,824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3,548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3,549</w:t>
            </w: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withheld for employee taxes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Conversion and redemption of OP units</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of noncontrolling interest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c>
          <w:tcPr>
            <w:tcW w:w="0" w:type="dxa"/>
            <w:vAlign w:val="bottom"/>
          </w:tcPr>
          <w:p>
            <w:pPr>
              <w:spacing w:after="0"/>
              <w:rPr>
                <w:sz w:val="1"/>
                <w:szCs w:val="1"/>
                <w:color w:val="auto"/>
              </w:rPr>
            </w:pPr>
          </w:p>
        </w:tc>
      </w:tr>
      <w:tr>
        <w:trPr>
          <w:trHeight w:val="217"/>
        </w:trPr>
        <w:tc>
          <w:tcPr>
            <w:tcW w:w="2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MARCH 31, 2017</w:t>
            </w: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399,896</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9,997</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72,236,981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$2,736,921</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(764,458)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95,110</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$ 2,076,802</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statements.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4"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8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r>
      <w:tr>
        <w:trPr>
          <w:trHeight w:val="25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58,070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79,063</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51,379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47,799</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698</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 and 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Decrease in prepaid expenses and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1,181</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Increase in accounts payable and accrued expenses</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4,359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5,066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Increase (decrease) in security deposits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4,273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121,066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104,879</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real estate</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(129,776)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Capital expenditures - development and redevelopment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(55,554)</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Capital expenditures - other</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sale of real estate partnership interests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real estate partnerships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of mortgage and other notes receivable, net</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(201,687)</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borrowings (repayments) under 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217,000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of mortgages and capital leases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Issuance of common shares, net of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17,359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181,757</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 paid to common and preferred shareholders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Shares withheld for employee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Distributions to and redemptions of noncontrolling interests,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Redemption of redeemable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153,954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95,478</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23,368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21,046</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20,112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19,716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4"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March 31, 2017</w:t>
      </w:r>
    </w:p>
    <w:p>
      <w:pPr>
        <w:spacing w:after="0" w:line="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1—BUSINESS AND ORGANIZATION</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March 31, 2017, we owned or had a majority interest in community and neighborhood shopping centers and mixed-use properties which are operated as 98 predominantly retail real estate projects.</w:t>
      </w:r>
    </w:p>
    <w:p>
      <w:pPr>
        <w:spacing w:after="0" w:line="13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2016 amounts have been reclassified to conform to current period presentation.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February 2017, the FASB issued ASU 2017-05, "Other Income - Gains and Losses from the Derecognition of Nonfinancial Assets (Subtopic 610-20): Clarifying the Scope of Asset Derecognition Guidance and Accounting for Partial Sales of Nonfinancial Assets." ASU 2017-05 clarifies that ASC 610-20 applies to all nonfinancial assets (including real estate) for which the counterparty is not a customer and also clarifies that all businesses are derecognized using the deconsolidation guidance. Additionally, it defines an insubstance nonfinancial asset as a financial asset that is promised to a counterparty in a contract in which substantially all of the fair value of the assets promised in the contract is concentrated in nonfinancial assets, which excludes cash or cash equivalents and liabilities. The new guidance is expected to impact the gain recognized when a real estate asset is sold to a non-customer and a noncontrolling interest is retained. Under the current guidance, a partial sale is recognized and carryover basis is used for the retained interest, however, the new guidance eliminates the use of carryover basis and generally requires a full gain to be recognized. ASU 2017-05 is effective for us in the first quarter of 2018, and we are currently assessing the impact of this standard to our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ASU 2016-09 simplifies the accounting for share-based payment transactions, including a policy election option with respect to accounting for forfeitures either as they occur or estimating forfeitures (as is currently required), as well as increasing the amount an employer can withhold to cover income taxes on equity awards. Additionally, ASU 2016-09 requires the cash paid to a taxing authority when shares are withheld to pay employee taxes to be classified as a "financing activity" rather than an "operating activity," as was done previously on the Statement of Cash Flows. We adopted this standard effective January 1, 2017, and as a result, we are now accounting for forfeitures as they occur, and have recorded the cumulative impact on the adoption date as a $0.1 million adjustment to additional paid in capital and retained earnings. The amount reclassified from "operating activities" to "financing activities" for shares withheld for employee taxes was $4.4 million.</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4"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January 2017, the FASB issued ASU 2017-01, "Clarifying the Definition of a Business." ASU 2017-01 changes the definition of a business to exclude acquisitions where substantially all of the fair value of the assets acquired are concentrated in a single identifiable asset or a group of similar identifiable assets. Given this change in definition, we believe most of our shopping center acquisitions will no longer be considered business combinations but rather asset acquisitions. While there are various differences between the accounting for an asset acquisition and a business combination, the largest impact will be that transaction costs are capitalized for asset acquisitions rather than expensed when they were considered business combinations. Based on acquisitions in the past several years, transaction costs for a single shopping center acquisition have typically ranged from $0.2 million to $2.4 million with significantly higher transaction costs expected for an acquisition of a larger portfolio. We adopted this standard effective January 1, 2017, and are applying the new guidance prospectively. Our acquisitions in first quarter 2017 (further discussed in Note 3 below) both qualified as asset acquisitions and consequently, all transaction costs were capitalized.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2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1"/>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29,209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27,559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23,758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23,729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25,089</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20,635</w:t>
            </w:r>
          </w:p>
        </w:tc>
        <w:tc>
          <w:tcPr>
            <w:tcW w:w="0" w:type="dxa"/>
            <w:vAlign w:val="bottom"/>
          </w:tcPr>
          <w:p>
            <w:pPr>
              <w:spacing w:after="0"/>
              <w:rPr>
                <w:sz w:val="1"/>
                <w:szCs w:val="1"/>
                <w:color w:val="auto"/>
              </w:rPr>
            </w:pPr>
          </w:p>
        </w:tc>
      </w:tr>
      <w:tr>
        <w:trPr>
          <w:trHeight w:val="67"/>
        </w:trPr>
        <w:tc>
          <w:tcPr>
            <w:tcW w:w="8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Mortgage loans assumed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34,385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DownREIT operating partnership units issued with acquisition of noncontrolling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5,918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DownREIT operating partnership units redeemed for common shares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4,281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Shares issued under dividend reinvestment plan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3—REAL ESTATE</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 2017, we acquired a leasehold interest in Hastings Ranch Plaza, a 274,000 square foot shopping center in Pasadena, California for $29.5 million. The land is subject to a long-term ground lease that expires on April 30, 2054. Approximately $21.5 million of assets acquired were allocated to lease intangibles and included within other assets. Approximately $15.2 million of net assets acquired were allocated to lease liabilities and included in other liabilities.</w:t>
      </w:r>
    </w:p>
    <w:p>
      <w:pPr>
        <w:spacing w:after="0" w:line="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March 31, 2017, we acquired the fee interest in Riverpoint Center, a 211,000 square foot shopping center in the Lincoln Park neighborhood of Chicago, Illinois for $107.0 million. Approximately $1.0 million and $12.3 million of net assets acquired were allocated to other assets for "above market leases," and other liabilities for "below market leases,"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Held for Sale</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lease three parcels of land at our Assembly Row property to two ground lessees. During 2016, both lessees exercised purchase options under the related ground leases. The sale transaction related to one of the land parcels was completed on April 4, 2017 for a sales price of $36.0 million and the gain was approximately $18 million. We expect the other two sale transactions to close in the second quarter of 2017. The total cost basis of the related land at March 31, 2017 was $33.9 million, and is included in "assets held for sale" on our consolidated balance sheets.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2017, the maximum amount of borrowings outstanding under our $800.0 million revolving credit facility was</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$217.0 million, the weighted average borrowings outstanding was $93.4 million, and the weighted average interest rate, before amortization of debt fees, was 1.6%. At March 31, 2017, the outstanding balance was $217.0 million. Our revolving credit facility, term loan and certain notes require us to comply with various financial covenants,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3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including the maintenance of minimum shareholders’ equity and debt coverage ratios and a maximum ratio of debt to net worth. As of March 31, 2017, we were in compliance with all debt covenants.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5—FAIR VALUE OF FINANCIAL INSTRUMENTS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0" w:type="dxa"/>
            <w:vAlign w:val="bottom"/>
          </w:tcPr>
          <w:p>
            <w:pPr>
              <w:spacing w:after="0"/>
              <w:rPr>
                <w:sz w:val="12"/>
                <w:szCs w:val="12"/>
                <w:color w:val="auto"/>
              </w:rPr>
            </w:pPr>
          </w:p>
        </w:tc>
        <w:tc>
          <w:tcPr>
            <w:tcW w:w="980" w:type="dxa"/>
            <w:vAlign w:val="bottom"/>
          </w:tcPr>
          <w:p>
            <w:pPr>
              <w:jc w:val="right"/>
              <w:ind w:right="341"/>
              <w:spacing w:after="0" w:line="149"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340" w:type="dxa"/>
            <w:vAlign w:val="bottom"/>
          </w:tcPr>
          <w:p>
            <w:pPr>
              <w:spacing w:after="0"/>
              <w:rPr>
                <w:sz w:val="12"/>
                <w:szCs w:val="12"/>
                <w:color w:val="auto"/>
              </w:rPr>
            </w:pPr>
          </w:p>
        </w:tc>
        <w:tc>
          <w:tcPr>
            <w:tcW w:w="11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964,595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975,520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750,268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760,260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1,977,192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2,020,304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1,976,594</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2,015,973</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March 31, 2017, we have two interest rate swap agreements with a notional amount of $275.0 million that are measured at fair value on a recurring basis. The interest rate swap agreements fix the variable portion of our $275.0 million term loan at 1.72% through November 1, 2018.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$1.3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March 31, 2017, and we do not anticipate it will have a significant effect in the future.</w:t>
      </w:r>
    </w:p>
    <w:p>
      <w:pPr>
        <w:spacing w:after="0" w:line="21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March 31, 2017 was a liability of $1.5 million and is included in "accounts payable and accrued expenses" on our consolidated balance sheet. For the three months ended March 31, 2017, the change in valuation on our interest rate swaps resulted in a $1.1 million decrease in our derivative liability (including $0.6 million reclassified from other comprehensive loss to interest expense). The change in valuation on our interest rate swaps is included in "accumulated other comprehensive loss."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financial liabilities that are measured at fair value on a recurring basis, by level within the fair value hierarchy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8"/>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1,493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2,577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2,577</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6—COMMITMENTS AND CONTINGENCIES</w:t>
      </w:r>
    </w:p>
    <w:p>
      <w:pPr>
        <w:spacing w:after="0" w:line="9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currently a party to various legal proceedings. We accrue a liability for litigation if an unfavorable outcome is probable and the amount of loss can be reasonably estimated. If an unfavorable outcome is probable and a reasonable estimate of the loss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4"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is a range, we accrue the best estimate within the range; however, if no amount within the range is a better estimate than any other amount, the minimum within the range is accrued. Legal fees related to litigation are expensed as incurred.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certain partnership agreements, the partners have the right to exchange their operating partnership units for cash or the same number of our common shares, at our option. A total of 799,962 downREIT operating partnership units are outstanding which have a total fair value of $106.8 million, based on our closing stock price on March 31, 2017.</w:t>
      </w:r>
    </w:p>
    <w:p>
      <w:pPr>
        <w:spacing w:after="0" w:line="12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January 12, 2017, we exercised our purchase option on non-controlling interests in San Antonio Center for $2.6 million of cash and 44,195 of downREIT operating partnership units.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dividends declared and paid per share: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Paid</w:t>
            </w: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0.980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0.940</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0.339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0.339</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0.339</w:t>
            </w:r>
          </w:p>
        </w:tc>
      </w:tr>
    </w:tbl>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an at the 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months ended March 31, 2017, we issued 98,658 common shares at a weighted average price per share of $137.90 for net cash proceeds of $13.4 million and paid $0.1 million in commissions and less than $0.1 million in additional offering expenses related to the sales of these common shares. As of March 31, 2017, we had the capacity to issue up to $357.3 million in common shares under our ATM equity program.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8—COMPONENTS OF RENTAL INCOME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components of rental income are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Retail and commercial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142,143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134,586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13,503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11,449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reimbursement</w:t>
            </w:r>
          </w:p>
        </w:tc>
        <w:tc>
          <w:tcPr>
            <w:tcW w:w="3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41,518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41,802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2,823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4,460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4,402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rental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204,447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195,308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Minimum rents include the following: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75"/>
        </w:trPr>
        <w:tc>
          <w:tcPr>
            <w:tcW w:w="85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Straight-line rents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above market leases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below market leases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9—SHARE-BASED COMPENSATION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share-based compensation expense included in net income is as follows:</w:t>
      </w:r>
    </w:p>
    <w:p>
      <w:pPr>
        <w:spacing w:after="0" w:line="39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24765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8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Grants of common shares and options</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8"/>
              </w:rPr>
              <w:t>3,549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3,529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Capitalized share-based compensation</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8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98"/>
              </w:rPr>
              <w:t>3,232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3,227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10—EARNINGS PER SHARE</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March 31, 2017 and 2016, we had 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3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dilutive EPS calculation, dilutive stock options were calculated using the treasury stock method consistent with prior periods. There were no anti-dilutive stock options for the three months ended March 31, 2017 and 2016.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4"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80" w:type="dxa"/>
            <w:vAlign w:val="bottom"/>
            <w:gridSpan w:val="4"/>
          </w:tcPr>
          <w:p>
            <w:pPr>
              <w:jc w:val="center"/>
              <w:ind w:right="7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75"/>
        </w:trPr>
        <w:tc>
          <w:tcPr>
            <w:tcW w:w="834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3"/>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0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90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57,892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53,337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Preferred share dividends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Income from continuing operations attributable to noncontrolling interests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Earnings allocated to unvested shares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available for common shareholders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6"/>
              </w:rPr>
              <w:t>55,750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50,858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 net</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25,726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available for common shareholders, basic and diluted</w:t>
            </w:r>
          </w:p>
        </w:tc>
        <w:tc>
          <w:tcPr>
            <w:tcW w:w="900" w:type="dxa"/>
            <w:vAlign w:val="bottom"/>
            <w:tcBorders>
              <w:top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6"/>
              </w:rPr>
              <w:t>55,820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76,584</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outstanding—basic</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71,862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69,771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outstanding—diluted</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96"/>
              </w:rPr>
              <w:t>72,005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69,957</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 net</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 net</w:t>
            </w:r>
          </w:p>
        </w:tc>
        <w:tc>
          <w:tcPr>
            <w:tcW w:w="9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attributable to the Trust</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96"/>
              </w:rPr>
              <w:t>56,120</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51,229</w:t>
            </w:r>
          </w:p>
        </w:tc>
        <w:tc>
          <w:tcPr>
            <w:tcW w:w="0" w:type="dxa"/>
            <w:vAlign w:val="bottom"/>
          </w:tcPr>
          <w:p>
            <w:pPr>
              <w:spacing w:after="0"/>
              <w:rPr>
                <w:sz w:val="1"/>
                <w:szCs w:val="1"/>
                <w:color w:val="auto"/>
              </w:rPr>
            </w:pPr>
          </w:p>
        </w:tc>
      </w:tr>
      <w:tr>
        <w:trPr>
          <w:trHeight w:val="486"/>
        </w:trPr>
        <w:tc>
          <w:tcPr>
            <w:tcW w:w="83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2016 filed with the Securities and Exchange Commission (the “SEC”) on February 13, 2017.</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2016 and under Part II, Item 1A in this Quarterly Report on Form 10-Q, before making any investments in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March 31, 2017, we owned or had a majority interest in community and neighborhood shopping centers and mixed-use properties which are operated as 98 predominantly retail real estate projects comprising approximately 23.1 million square feet. In total, the real estate projects were 94.6% leased and 93.1% occupied at March 31, 2017.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Significant Property Acquisitions &amp; Disposition</w:t>
      </w:r>
    </w:p>
    <w:p>
      <w:pPr>
        <w:spacing w:after="0" w:line="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 2017, we acquired a leasehold interest in Hastings Ranch Plaza, a 274,000 square foot shopping center in Pasadena, California for $29.5 million. The land is subject to a long-term ground lease that expires on April 30, 2054. Approximately $21.5 million of assets acquired were allocated to lease intangibles and included within other assets. Approximately $15.2 million of net assets acquired were allocated to lease liabilities and included in other liabilities.</w:t>
      </w:r>
    </w:p>
    <w:p>
      <w:pPr>
        <w:spacing w:after="0" w:line="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March 31, 2017, we acquired the fee interest in Riverpoint Center, a 211,000 square foot shopping center in the Lincoln Park neighborhood of Chicago, Illinois for $107.0 million. Approximately $1.0 million and $12.3 million of net assets acquired were allocated to other assets for "above market leases," and other liabilities for "below market leases," respectively.</w:t>
      </w:r>
    </w:p>
    <w:p>
      <w:pPr>
        <w:spacing w:after="0" w:line="4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On April 4, 2017, the sale transaction related to the purchase option on our Partners HealthCare ground lease closed at our Assembly Row property in Somerville, Massachusetts. The sales price was $36.0 million, and the gain was approximately $18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Significant Equity Transactions</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an at the market (“ATM”) equity program in which we may from time to time offer and sell common shares having an aggregate offering price of up to $400.0 million. We intend to use the net proceeds to fund potential acquisition opportunities, fund our development and redevelopment pipeline, repay amounts outstanding under our revolving credit facility and/or for general corporate purposes. For the three months ended March 31, 2017, we issued 98,658 common shares at a weighted average price per share of $137.90 for net cash proceeds of $13.4 million and paid $0.1 million in commissions and less than $0.1 million in additional offering expenses related to the sales of these common shares. As of March 31, 2017, we had the capacity to issue up to $357.3 million in common shares under our ATM equity program.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Costs</w:t>
      </w:r>
    </w:p>
    <w:p>
      <w:pPr>
        <w:spacing w:after="0" w:line="9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$104 million and $2 million, respectively, for the three months ended March 31, 2017, and $68 million and $2 million, respectively, for the three months ended March 31, 2016. We capitalized external and internal costs related to other property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4"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327"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improvements of $12 million and $1 million, respectively, for the three months ended March 31, 2017, and $8 million and $1 million for the three months ended March 31, 2016. We capitalized external and internal costs related to leasing activities of $2 million and $2 million, respectively, for the three months ended March 31, 2017, and $2 million and $1 million, respectively, for the three months ended March 31, 2016. The amount of capitalized internal costs for salaries and related benefits for development and redevelopment activities, other property improvements, and leasing activities were $2 million, $1 million, and $1 million, respectively, for the three months ended March 31, 2017, and $2 million, less than $1 million, and $1 million, respectively, for the three months ended March 31, 2016. Total capitalized costs were $122 million and $82 million for the three months ended March 31, 2017 and 2016,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Recently Adopted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same-center portfolio,</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our portfolio from property development and redevelopments,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portfolio through property acquisitions.</w:t>
      </w:r>
    </w:p>
    <w:p>
      <w:pPr>
        <w:spacing w:after="0" w:line="18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Our same-center growth is primarily driven by increases in rental rates on new leases and lease renewals, changes in portfolio occupancy, and the redevelopment of those assets. Over the long-term, the infill nature and strong demographics of our properties provide a strategic advantage allowing us to maintain relatively high occupancy and increase rental rates. We continue to see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and have seen a recent uptick in the number of retail tenants closing early and/or filing for bankruptcy. We believe the locations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March 31, 2017, no single tenant accounted for more than 3.0% of annualized base rent.</w:t>
      </w:r>
    </w:p>
    <w:p>
      <w:pPr>
        <w:spacing w:after="0" w:line="12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cost of approximately $198 million that we expect to stabilize in the next several years.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continue our ongoing redevelopment efforts at Santana Row and are proceeding with an eight story 284,000 square foot office building which will include 29,000 square feet of retail space and 1,300 parking spaces. The building is expected to cost between $205 million and $215 million and to deliver in 2019. After current phases, we have approximately 4 acres remaining for further redevelopment and entitlements in place for an additional 395 residential units and 321,000 square feet of commercial space. Additionally, we control 12 acres of land adjacent to Santana Row.</w:t>
      </w:r>
    </w:p>
    <w:p>
      <w:pPr>
        <w:spacing w:after="0" w:line="12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continue to invest in our long-term multi-phased mixed-use development projects at Assembly Row in Somerville, Massachusetts and Pike &amp; Rose in North Bethesda, Maryland which we expect to be involved in over the coming years.</w:t>
      </w:r>
    </w:p>
    <w:p>
      <w:pPr>
        <w:spacing w:after="0" w:line="10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Construction of Phase II of Assembly Row which will include 161,000 square feet of retail space, a 159 room boutique hotel and 447 residential units is underway. The hotel will be owned and operated by a joint venture in which we are a partner. Total expected costs range from $280 million to $295 million and delivery is expected in 2017/2018. Phase II will also include 122 for-sale condominium units with an expected total cost of $70 million to $75 million. Additionally, as part of the second phase, we entered into a ground lease agreement with Partners HealthCare to bring 741,500 square feet of office space to Assembly Row. The ground lease agreement includes a purchase option, which was exercised and the related sale closed on April 4, 2017.</w:t>
      </w:r>
    </w:p>
    <w:p>
      <w:pPr>
        <w:spacing w:after="0" w:line="13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Construction of Phase II of Pike &amp; Rose is also underway. Phase II will include approximately 216,000 square feet of retail space, a 177 room select-service hotel and 272 residential units. Total expected costs range from $200 million to $207 million and delivery is expected in 2017/2018. The hotel will be owned and operated by a joint venture in which we are a partner. Phase II will also include 99 for-sale condominium units with an expected cost of $53 million to $58 million.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4"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Including costs incurred in the first three months of 2017, we expect to invest between $270 million and $300 million at Assembly Row and Pike &amp; Rose in 2017, net of public funding.</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 and property sales.</w:t>
      </w:r>
    </w:p>
    <w:p>
      <w:pPr>
        <w:spacing w:after="0" w:line="13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March 31, 2017, the leasable square feet in our properties was 94.6% leased and 93.1% occupied.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closings and bankruptcies.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Rollovers</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For the first quarter of 2017, we signed leases for a total of 592,000 square feet of retail space including 524,000 square feet of comparable space leases (leases for which there was a prior tenant) at an average rental increase of 11% on a cash basis and 23% on a straight-line basis. New leases for comparable spaces were signed for 288,000 square feet at an average rental increase of 17% on a cash basis and 31% on a straight-line basis. Renewals for comparable spaces were signed for 235,000 square feet at an average rental increase of 5% on a cash basis and 14% on a straight-line basis. Tenant improvements and incentives for comparable spaces were $66.67 per square foot for new leases and $1.89 per square foot for renewals for the three months ended March 31, 2017.</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leases signed in 2017 generally become effective over the following two years though some may not become effective until 2020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Historically, we have executed comparable space leases for 1.2 to 1.5 million square feet of retail space each year, and expect that volume for 2017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Same-Center</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Throughout this section, we have provided certain information on a “same-center” basis. Information provided on a same-center basis includes the results of properties that we owned and operated for the entirety of both periods being compared</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40"/>
          </w:cols>
          <w:pgMar w:left="240" w:top="124"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3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except for properties for which significant redevelopment or expansion occurred during either of the periods being compared. For the three months ended March 31, 2017, all or a portion of 79 properties were considered same-center and 15 were considered redevelopment or expansion. For the three months ended March 31, 2017, one property and one portion of a property were moved from redevelopment to same-center, compared to the designations as of December 31, 2016. While there is judgment surrounding changes in designations, we typically move redevelopment properties to same-center once they have stabilized, which is typically considered 95% physical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240" w:top="124"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MARCH 31, 2017 AND 2016</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5"/>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204,447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195,308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9,139</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207,389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198,344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9,045</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42,819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22,794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2,296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66,199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65,613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586</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141,190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132,731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8,459</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81,544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76,922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4,622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interest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3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57,892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53,337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4,555</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25,726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(25,548)</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37"/>
        </w:trPr>
        <w:tc>
          <w:tcPr>
            <w:tcW w:w="5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58,070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79,063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(20,993)</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57"/>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56,190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76,955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(20,765)</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right="18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operating income is a non-GAAP measure that consists of rental income, other property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Revenues</w:t>
      </w:r>
    </w:p>
    <w:p>
      <w:pPr>
        <w:spacing w:after="0" w:line="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Total property revenue increased $9.0 million, or 4.6%, to $207.4 million in the three months ended March 31, 2017 compared to $198.3 million in the three months ended March 31, 2016. The percentage occupied at our shopping centers increased to 93.1% at March 31, 2017 compared to 92.7% at March 31, 2016. Changes in the components of property revenue are discussed below.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Income</w:t>
      </w:r>
    </w:p>
    <w:p>
      <w:pPr>
        <w:spacing w:after="0" w:line="9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Rental income consists primarily of minimum rent, cost reimbursements from tenants and percentage rent. Rental income increased $9.1 million, or 4.7%, to $204.4 million in the three months ended March 31, 2017 compared to $195.3 million in the three months ended March 31, 2016 due primarily to the following:</w:t>
      </w:r>
    </w:p>
    <w:p>
      <w:pPr>
        <w:spacing w:after="0" w:line="14" w:lineRule="exact"/>
        <w:rPr>
          <w:sz w:val="20"/>
          <w:szCs w:val="20"/>
          <w:color w:val="auto"/>
        </w:rPr>
      </w:pPr>
    </w:p>
    <w:p>
      <w:pPr>
        <w:ind w:left="1700" w:right="40" w:hanging="801"/>
        <w:spacing w:after="0" w:line="266" w:lineRule="auto"/>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$5.0 million at redevelopment properties due to the opening of our new office building at Santana Row in late 2016, the lease-up of three of our other retail redevelopments, and the lease-up of the new residential building at Congressional Plaza throughout 2016,</w:t>
      </w:r>
    </w:p>
    <w:p>
      <w:pPr>
        <w:spacing w:after="0" w:line="14"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$1.5 million from Assembly Row and Pike &amp; Rose due primarily to the lease-up of residential units at Pike &amp; Rose,</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 million from the acquisition of six previously unconsolidated Clarion joint venture properties in January 2016,</w:t>
      </w:r>
    </w:p>
    <w:p>
      <w:pPr>
        <w:spacing w:after="0" w:line="63" w:lineRule="exact"/>
        <w:rPr>
          <w:rFonts w:ascii="Times New Roman" w:cs="Times New Roman" w:eastAsia="Times New Roman" w:hAnsi="Times New Roman"/>
          <w:sz w:val="18"/>
          <w:szCs w:val="18"/>
          <w:color w:val="auto"/>
        </w:rPr>
      </w:pPr>
    </w:p>
    <w:p>
      <w:pPr>
        <w:ind w:left="1700" w:right="40" w:hanging="801"/>
        <w:spacing w:after="0" w:line="282" w:lineRule="auto"/>
        <w:tabs>
          <w:tab w:leader="none" w:pos="1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$0.8 million at same-center properties due primarily to higher rental rates of approximately $2.0 million, partially offset by lower recoveries of $1.0 million primarily the net result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4"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327" w:lineRule="exact"/>
        <w:rPr>
          <w:sz w:val="20"/>
          <w:szCs w:val="20"/>
          <w:color w:val="auto"/>
        </w:rPr>
      </w:pPr>
    </w:p>
    <w:p>
      <w:pPr>
        <w:ind w:left="1700" w:right="40"/>
        <w:spacing w:after="0" w:line="313" w:lineRule="auto"/>
        <w:rPr>
          <w:sz w:val="20"/>
          <w:szCs w:val="20"/>
          <w:color w:val="auto"/>
        </w:rPr>
      </w:pPr>
      <w:r>
        <w:rPr>
          <w:rFonts w:ascii="Times New Roman" w:cs="Times New Roman" w:eastAsia="Times New Roman" w:hAnsi="Times New Roman"/>
          <w:sz w:val="18"/>
          <w:szCs w:val="18"/>
          <w:color w:val="auto"/>
        </w:rPr>
        <w:t>of lower snow removal expense partially offset by higher real estate tax expense, and lower average occupancy of approximately $0.3 million, and</w:t>
      </w:r>
    </w:p>
    <w:p>
      <w:pPr>
        <w:ind w:left="1700" w:hanging="801"/>
        <w:spacing w:after="0"/>
        <w:tabs>
          <w:tab w:leader="none" w:pos="1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$0.8 million from 2017 and late 2016 acquisitions, primarily related to Hastings Ranch Plaza.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Expenses</w:t>
      </w:r>
    </w:p>
    <w:p>
      <w:pPr>
        <w:spacing w:after="0" w:line="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Total property expenses increased $0.6 million, or 0.9%, to $66.2 million in the three months ended March 31, 2017 compared to $65.6 million in the three months ended March 31, 2016. Changes in the components of property expenses are discussed below.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Rental Expenses</w:t>
      </w:r>
    </w:p>
    <w:p>
      <w:pPr>
        <w:spacing w:after="0" w:line="9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Rental expenses decreased $1.7 million, or 4.0%, to $41.1 million in the three months ended March 31, 2017 compared to $42.8 million in the three months ended March 31, 2016. This decrease is primarily due to the following:</w:t>
      </w:r>
    </w:p>
    <w:p>
      <w:pPr>
        <w:spacing w:after="0" w:line="2" w:lineRule="exact"/>
        <w:rPr>
          <w:sz w:val="20"/>
          <w:szCs w:val="20"/>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$2.0 million at same-center properties primarily due to lower snow removal costs and lower bad debt expense,</w:t>
      </w:r>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$0.3 million from the acquisitions in 2017 and 2016.</w:t>
      </w:r>
    </w:p>
    <w:p>
      <w:pPr>
        <w:spacing w:after="0" w:line="1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a result of the changes in rental income and rental expenses as discussed above, rental expenses as a percentage of rental income plus other property income decreased to 19.9% in the three months ended March 31, 2017 from 21.7% in the three months ended March 31, 2016.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Taxes</w:t>
      </w:r>
    </w:p>
    <w:p>
      <w:pPr>
        <w:spacing w:after="0" w:line="9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Real estate tax expense increased $2.3 million, or 10.1%, to $25.1 million in the three months ended March 31, 2017 compared to $22.8 million in the three months ended March 31, 2016 due primarily to:</w:t>
      </w:r>
    </w:p>
    <w:p>
      <w:pPr>
        <w:spacing w:after="0" w:line="2" w:lineRule="exact"/>
        <w:rPr>
          <w:sz w:val="20"/>
          <w:szCs w:val="20"/>
          <w:color w:val="auto"/>
        </w:rPr>
      </w:pPr>
    </w:p>
    <w:p>
      <w:pPr>
        <w:ind w:left="1700" w:hanging="80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 million due primarily to higher assessments at same-center properties,</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$0.6 million from Assembly Row and Pike &amp; Rose,</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$0.5 million from redevelopment properties, primarily related to our new office building at Santana Row, and</w:t>
      </w:r>
    </w:p>
    <w:p>
      <w:pPr>
        <w:spacing w:after="0" w:line="63" w:lineRule="exact"/>
        <w:rPr>
          <w:rFonts w:ascii="Times New Roman" w:cs="Times New Roman" w:eastAsia="Times New Roman" w:hAnsi="Times New Roman"/>
          <w:sz w:val="18"/>
          <w:szCs w:val="18"/>
          <w:color w:val="auto"/>
        </w:rPr>
      </w:pPr>
    </w:p>
    <w:p>
      <w:pPr>
        <w:ind w:left="1700" w:hanging="801"/>
        <w:spacing w:after="0" w:line="282" w:lineRule="auto"/>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$0.2 million from the acquisitions of Hastings Ranch Plaza in February 2017 and six previously unconsolidated Clarion joint venture properties in January 2016.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Operating Income</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Property operating income increased $8.5 million, or 6.4%, to $141.2 million in the three months ended March 31, 2017 compared to $132.7 million in the three months ended March 31, 2016. This increase is primarily due to growth in earnings at redevelopment and same-center properties, Assembly Row and Pike &amp; Rose, the acquisition of the six previously unconsolidated Clarion joint venture properties in January 2016, and the acquisition of Hastings Ranch Plaza in February 2017.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$3.6 million, or 7.5%, to $51.4 million in the three months ended March 31, 2017 from $47.8 million in the three months ended March 31, 2016. This increase is primarily due to redevelopment properties (largely the new office building at Santana Row), Assembly Row, and Pike &amp; Rose.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increased $4.6 million, or 6.0%, to $81.5 million in the three months ended March 31, 2017 compared to $76.9 million in the three months ended March 31, 2016. This increase is primarily due to growth in earnings at redevelopment and same-center properties, the acquisition of the six previously unconsolidated Clarion joint venture properties in January 2016, and earnings growth at Assembly Row and Pike &amp; Rose.</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124" w:right="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increased to $23.8 million in the three months ended March 31, 2017 compared to $23.7 million in the three months ended March 31,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is due primarily to the following:</w:t>
      </w:r>
    </w:p>
    <w:p>
      <w:pPr>
        <w:spacing w:after="0" w:line="45" w:lineRule="exact"/>
        <w:rPr>
          <w:sz w:val="20"/>
          <w:szCs w:val="20"/>
          <w:color w:val="auto"/>
        </w:rPr>
      </w:pPr>
    </w:p>
    <w:p>
      <w:pPr>
        <w:ind w:left="1700" w:hanging="801"/>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 million due to higher borrowings primarily attributable to the 3.625% senior notes issued in July 2016,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$0.4 million due to a higher overall weighted average borrowing rate,</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 million in capitalized interest.</w:t>
      </w:r>
    </w:p>
    <w:p>
      <w:pPr>
        <w:spacing w:after="0" w:line="17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Gross interest costs were $29.2 million and $27.6 million in the three months ended March 31, 2017 and 2016, respectively. Capitalized interest was $5.5 million and $3.8 million in the three months ended March 31, 2017 and 2016,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Real Estate and Change in Control of Interests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$0.2 million gain on sale of real estate for the three months ended March 31, 2017 is the result of the sale of a building in Coconut Grove, Florida.</w:t>
      </w:r>
    </w:p>
    <w:p>
      <w:pPr>
        <w:spacing w:after="0" w:line="9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$25.7 million gain on change in control of interests for the three months ended March 31, 2016 is the result of our obtaining control of six properties when we acquired Clarion’s 70% interest in the partnership that owned those properties. The properties were previously accounted for under the equity method of accounting. We consolidated these assets effective January 13, 2016, and consequently recognized a gain on obtaining the controlling interest.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2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March 31, 2017, we had cash and cash equivalents of $20.1 million and $217.0 million of borrowings outstanding on our $800.0 million unsecured revolving credit facility which matures on April 20, 2020, subject to two six-month extensions at our option. In addition, we have an option (subject to bank approval) to increase the credit facility through an accordion feature to $1.5 billion. Our $275.0 million unsecured term loan, which matures on November 21, 2018, subject to a one-year extension at our option, also has an option (subject to bank approval) to increase the term loan through an accordion feature to $350.0 million. As of March 31, 2017, we had the capacity to issue up to $357.3 million in common shares under our ATM equity program.</w:t>
      </w:r>
    </w:p>
    <w:p>
      <w:pPr>
        <w:spacing w:after="0" w:line="13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2017, the maximum amount of borrowings outstanding under our revolving credit facility was $217.0 million, the weighted average amount of borrowings outstanding was $93.4 million and the weighted average interest rate, before amortization of debt fees, was 1.6%. For the remainder of 2017, we have $217.3 million of mortgage debt maturing which we expect to refinance primarily with new mortgage loans on Plaza El Segundo and The Grove at Shrewsbury. We currently believe that cash flows from operations, cash on hand, our ATM program, our revolving credit facility and our general ability to access the capital markets will be sufficient to finance our operations and fund our debt service requirements (including maturities) and capital expenditures.</w:t>
      </w:r>
    </w:p>
    <w:p>
      <w:pPr>
        <w:spacing w:after="0" w:line="13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overall capital requirements for the remainder of 2017 will depend upon acquisition opportunities, the level of improvements and redevelopments on existing properties and the timing and cost of development of Assembly Row, Pike &amp;</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4"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Rose and future phases of Santana Row. While the amount of future expenditures will depend on numerous factors, we expect to continue to see higher levels of capital investments in our properties under development and redevelopment which is the result of construction on Phase II at both Assembly Row and Pike</w:t>
      </w:r>
    </w:p>
    <w:p>
      <w:pPr>
        <w:ind w:right="80" w:firstLine="8"/>
        <w:spacing w:after="0" w:line="252"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Rose, the construction of our next phase of Santana Row, and our redevelopment pipeline.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delay the timing of certain development and redevelopment projects as well as limit future acquisitions, reduce our operating expenditures, or re-evaluate our dividend policy.</w:t>
      </w:r>
    </w:p>
    <w:p>
      <w:pPr>
        <w:spacing w:after="0" w:line="13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conditions in the capital markets which could affect our ability to access those markets, the following factors could affect our ability to meet our liquidity requirements:</w:t>
      </w:r>
    </w:p>
    <w:p>
      <w:pPr>
        <w:ind w:left="1700" w:right="40" w:hanging="801"/>
        <w:spacing w:after="0" w:line="250" w:lineRule="auto"/>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service additional or replacement debt due to increases in interest rates or a decline in our operating performance.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8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121,066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104,879</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(201,687)</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153,954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95,478</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23,368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21,046</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20,112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19,716</w:t>
            </w:r>
          </w:p>
        </w:tc>
      </w:tr>
      <w:tr>
        <w:trPr>
          <w:trHeight w:val="27"/>
        </w:trPr>
        <w:tc>
          <w:tcPr>
            <w:tcW w:w="8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$16.2 million to $121.1 million during the three months ended March 31, 2017 from $104.9 million during the three months ended March 31, 2016. The increase was primarily attributable to higher net income before certain non-cash items and timing of payments from tenants.</w:t>
      </w:r>
    </w:p>
    <w:p>
      <w:pPr>
        <w:spacing w:after="0" w:line="12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increased $76.6 million to $278.3 million during the three months ended March 31, 2017 from $201.7 million during the three months ended March 31, 2016. The increase was primarily attributable to:</w:t>
      </w:r>
    </w:p>
    <w:p>
      <w:pPr>
        <w:spacing w:after="0" w:line="2" w:lineRule="exact"/>
        <w:rPr>
          <w:sz w:val="20"/>
          <w:szCs w:val="20"/>
          <w:color w:val="auto"/>
        </w:rPr>
      </w:pPr>
    </w:p>
    <w:p>
      <w:pPr>
        <w:ind w:left="1700" w:right="340" w:hanging="801"/>
        <w:spacing w:after="0" w:line="281" w:lineRule="auto"/>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$67.3 million increase in capital investments and leasing costs as we continue to invest in Pike &amp; Rose, Assembly Row, Santana Row, and other current redevelopments, and</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$10.4 million increase in acquisitions of real estate.</w:t>
      </w:r>
    </w:p>
    <w:p>
      <w:pPr>
        <w:spacing w:after="0" w:line="17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increased $58.5 million to $154.0 million during the three months ended March 31, 2017 from $95.5 million during the three months ended March 31, 2016. The increase was primarily attributable to:</w:t>
      </w:r>
    </w:p>
    <w:p>
      <w:pPr>
        <w:spacing w:after="0" w:line="2" w:lineRule="exact"/>
        <w:rPr>
          <w:sz w:val="20"/>
          <w:szCs w:val="20"/>
          <w:color w:val="auto"/>
        </w:rPr>
      </w:pPr>
    </w:p>
    <w:p>
      <w:pPr>
        <w:ind w:left="1700" w:hanging="801"/>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$217.0 million in net borrowings in 2017 on our revolving credit facility,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 million 2016 acquisition of the 10% noncontrolling interest of a partnership which owns a project in Southern California,</w:t>
      </w:r>
    </w:p>
    <w:p>
      <w:pPr>
        <w:spacing w:after="0" w:line="63"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w:t>
      </w:r>
    </w:p>
    <w:p>
      <w:pPr>
        <w:spacing w:after="0" w:line="63" w:lineRule="exact"/>
        <w:rPr>
          <w:rFonts w:ascii="Times New Roman" w:cs="Times New Roman" w:eastAsia="Times New Roman" w:hAnsi="Times New Roman"/>
          <w:sz w:val="18"/>
          <w:szCs w:val="18"/>
          <w:color w:val="auto"/>
        </w:rPr>
      </w:pPr>
    </w:p>
    <w:p>
      <w:pPr>
        <w:ind w:left="1700" w:right="520" w:hanging="801"/>
        <w:spacing w:after="0" w:line="281" w:lineRule="auto"/>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$164.4 million decrease in net proceeds from the issuance of common shares primarily due to our March 2016 issuance of 1.0 million common shares at $149.43 per share in an underwritten public offering,</w:t>
      </w:r>
    </w:p>
    <w:p>
      <w:pPr>
        <w:spacing w:after="0" w:line="1" w:lineRule="exact"/>
        <w:rPr>
          <w:rFonts w:ascii="Times New Roman" w:cs="Times New Roman" w:eastAsia="Times New Roman" w:hAnsi="Times New Roman"/>
          <w:sz w:val="18"/>
          <w:szCs w:val="18"/>
          <w:color w:val="auto"/>
        </w:rPr>
      </w:pPr>
    </w:p>
    <w:p>
      <w:pPr>
        <w:ind w:left="1700" w:right="340" w:hanging="801"/>
        <w:spacing w:after="0" w:line="282" w:lineRule="auto"/>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$5.2 million increase in dividends paid to shareholders due to an increase in the dividend rate and an increased number of shares outstanding.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total debt outstanding as of March 31, 2017:</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11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Principal Balance as</w:t>
            </w:r>
          </w:p>
        </w:tc>
        <w:tc>
          <w:tcPr>
            <w:tcW w:w="120" w:type="dxa"/>
            <w:vAlign w:val="bottom"/>
          </w:tcPr>
          <w:p>
            <w:pPr>
              <w:spacing w:after="0"/>
              <w:rPr>
                <w:sz w:val="13"/>
                <w:szCs w:val="13"/>
                <w:color w:val="auto"/>
              </w:rPr>
            </w:pPr>
          </w:p>
        </w:tc>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 as of</w:t>
            </w: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Debt</w:t>
            </w:r>
          </w:p>
        </w:tc>
        <w:tc>
          <w:tcPr>
            <w:tcW w:w="1140" w:type="dxa"/>
            <w:vAlign w:val="bottom"/>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2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11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of March 31, 2017</w:t>
            </w:r>
          </w:p>
        </w:tc>
        <w:tc>
          <w:tcPr>
            <w:tcW w:w="1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480" w:type="dxa"/>
            <w:vAlign w:val="bottom"/>
            <w:tcBorders>
              <w:top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Mortgages payable</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Plaza El Segundo</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5, 2017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42,272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 2017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The Grove at Shrewsbury (West)</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10,732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March 1, 2018</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Rollingwood Apartments</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24,050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21,165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May 1, 2019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The Shops at Sunset Place</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68,124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September 1, 2020</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29th Place</w:t>
            </w:r>
          </w:p>
        </w:tc>
        <w:tc>
          <w:tcPr>
            <w:tcW w:w="1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4,501</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31,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The AVENUE at White Marsh</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52,705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Montrose Crossing</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72,314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10,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Brook 35</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July 1, 2029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Chelsea</w:t>
            </w:r>
          </w:p>
        </w:tc>
        <w:tc>
          <w:tcPr>
            <w:tcW w:w="11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Acquired</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2031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464,813</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unamortized premium and debt issuance costs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3,471</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mortgages payable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468,284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Notes payable</w:t>
            </w:r>
          </w:p>
        </w:tc>
        <w:tc>
          <w:tcPr>
            <w:tcW w:w="1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Term loan (1)</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LIBOR + 0.90%</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21, 2018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Various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5,271</w:t>
            </w:r>
          </w:p>
        </w:tc>
        <w:tc>
          <w:tcPr>
            <w:tcW w:w="17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 through 2028</w:t>
            </w: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Unsecured variable rate</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Revolving credit facility (2)</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800,000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217,000</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LIBOR + 0.825%</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April 20, 2020</w:t>
            </w: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Subtotal</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497,271</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52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notes payable</w:t>
            </w:r>
          </w:p>
        </w:tc>
        <w:tc>
          <w:tcPr>
            <w:tcW w:w="1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496,311</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Senior notes and debentures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5.90% notes</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1, 2020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2.55%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January 15, 2021</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3.00% notes</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2.75%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June 1, 2023</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3.95% notes</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300,000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15, 2024</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7.48% debentures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29,200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August 15, 2026</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6.82% medium term notes</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40,000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2027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4.50%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450,000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December 1, 2044</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3.625% notes</w:t>
            </w:r>
          </w:p>
        </w:tc>
        <w:tc>
          <w:tcPr>
            <w:tcW w:w="11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August 1, 2046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1,994,200</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unamortized discount and debt issuance costs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(17,008)</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senior notes and debentures</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1,977,192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Capital lease obligations</w:t>
            </w:r>
          </w:p>
        </w:tc>
        <w:tc>
          <w:tcPr>
            <w:tcW w:w="1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Various</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71,582</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Various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Various through 2106</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debt and capital lease obligations</w:t>
            </w:r>
          </w:p>
        </w:tc>
        <w:tc>
          <w:tcPr>
            <w:tcW w:w="114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3,013,369</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right="160" w:hanging="652"/>
        <w:spacing w:after="0" w:line="28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1" w:lineRule="exact"/>
        <w:rPr>
          <w:rFonts w:ascii="Times New Roman" w:cs="Times New Roman" w:eastAsia="Times New Roman" w:hAnsi="Times New Roman"/>
          <w:sz w:val="18"/>
          <w:szCs w:val="18"/>
          <w:color w:val="auto"/>
        </w:rPr>
      </w:pPr>
    </w:p>
    <w:p>
      <w:pPr>
        <w:ind w:left="660" w:right="6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drawn under our revolving credit facility during the three months ended March 31, 2017 was $217.0 million, and the weighted average interest rate on borrowings under our revolving credit facility, before amortization of debt fees, was 1.6%.</w:t>
      </w:r>
    </w:p>
    <w:p>
      <w:pPr>
        <w:spacing w:after="0" w:line="108"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Our revolving credit facility, term loan and other debt agreements include financial and other covenants that may limit our operating activities in the future. As of March 31, 2017,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w:t>
      </w:r>
    </w:p>
    <w:p>
      <w:pPr>
        <w:sectPr>
          <w:pgSz w:w="11900" w:h="16838" w:orient="portrait"/>
          <w:cols w:equalWidth="0" w:num="1">
            <w:col w:w="11420"/>
          </w:cols>
          <w:pgMar w:left="240" w:top="124" w:right="239" w:bottom="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4" w:right="239"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scheduled principal repayments as of March 31, 2017:</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2017</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486</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220,953</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221,469</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275,513</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15,477</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291,027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2019</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567</w:t>
            </w:r>
          </w:p>
        </w:tc>
        <w:tc>
          <w:tcPr>
            <w:tcW w:w="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25,006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25,615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367,629</w:t>
            </w: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64,687</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432,362</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250,700</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5,984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256,735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1,596,576</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132,706</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71,376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1,800,658</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2,491,471</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464,813</w:t>
            </w:r>
          </w:p>
        </w:tc>
        <w:tc>
          <w:tcPr>
            <w:tcW w:w="4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71,582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3,027,866</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$275.0 million unsecured term loan matures on November 21, 2018, subject to a one-year extension at our option.</w:t>
      </w:r>
    </w:p>
    <w:p>
      <w:pPr>
        <w:spacing w:after="0" w:line="63" w:lineRule="exact"/>
        <w:rPr>
          <w:rFonts w:ascii="Times New Roman" w:cs="Times New Roman" w:eastAsia="Times New Roman" w:hAnsi="Times New Roman"/>
          <w:sz w:val="18"/>
          <w:szCs w:val="18"/>
          <w:color w:val="auto"/>
        </w:rPr>
      </w:pPr>
    </w:p>
    <w:p>
      <w:pPr>
        <w:ind w:left="660" w:right="340" w:hanging="652"/>
        <w:spacing w:after="0" w:line="28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$800.0 million revolving credit facility matures on April 20, 2020, subject to two six-month extensions at our option. As of March 31, 2017, there was $217.0 million outstanding under this credit facility.</w:t>
      </w:r>
    </w:p>
    <w:p>
      <w:pPr>
        <w:spacing w:after="0" w:line="1"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debt maturities differs from the total reported on the consolidated balance sheet due to the unamortized net premium/(discount) and debt issuance costs on mortgage loans, notes payable, and senior notes as of March 31, 2017.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Hedging</w:t>
      </w:r>
    </w:p>
    <w:p>
      <w:pPr>
        <w:spacing w:after="0" w:line="9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3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March 31, 2017, we are party to two interest rate swap agreements that effectively fixed the rate on the term loan at 2.62%. Both swaps were designated and qualified as cash flow hedges and were recorded at fair value. Hedge ineffectiveness has not impacted earnings as of March 31, 2017, and we do not anticipate it will have a significant effect in the future.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REIT Qualification</w:t>
      </w:r>
    </w:p>
    <w:p>
      <w:pPr>
        <w:spacing w:after="0" w:line="17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2" w:lineRule="exact"/>
        <w:rPr>
          <w:sz w:val="20"/>
          <w:szCs w:val="20"/>
          <w:color w:val="auto"/>
        </w:rPr>
      </w:pPr>
    </w:p>
    <w:p>
      <w:pPr>
        <w:ind w:left="1700" w:right="460" w:hanging="801"/>
        <w:spacing w:after="0" w:line="281" w:lineRule="auto"/>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1"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be considered an alternative to net income as an indication of our performance; and</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net income to FFO available for common shareholders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58,070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79,063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44,682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41,728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Funds from operations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105,486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97,161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attributable to operating partnership units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105,795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97,589</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diluted (1)</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72,805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70,867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 per diluted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both"/>
        <w:ind w:left="660" w:right="60" w:hanging="652"/>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4"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March 31, 2017, we were party to two interest rate swap agreements that effectively fixed the rate on the term loan at 2.62%.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Interest Rate Debt</w:t>
      </w:r>
    </w:p>
    <w:p>
      <w:pPr>
        <w:spacing w:after="0" w:line="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majority of our outstanding debt obligations (maturing at various times through 2046 or, with respect to capital lease obligations, through 2106) have fixed interest rates which limit the risk of fluctuating interest rates. However, interest rate fluctuations may affect the fair value of our fixed rate debt instruments. At March 31, 2017, we had $2.7 billion of fixed-rate debt outstanding, including our $275.0 million term loan as the rate is effectively fixed by two interest rate swap agreements; we also had $71.6 million of capital lease obligations. If market interest rates used to calculate the fair value on our fixed-rate debt instruments at March 31, 2017 had been 1.0% higher, the fair value of those debt instruments on that date would have decreased by approximately $174.2 million. If market interest rates used to calculate the fair value on our fixed-rate debt instruments at March 31, 2017 had been 1.0% lower, the fair value of those debt instruments on that date would have increased by approximately $202.1 million.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Rate Debt</w:t>
      </w:r>
    </w:p>
    <w:p>
      <w:pPr>
        <w:spacing w:after="0" w:line="9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Generally, we believe that our primary interest rate risk is due to fluctuations in interest rates on our outstanding variable rate debt. At March 31, 2017, we had $217.0 million of variable rate debt outstanding on our revolving credit facility. Based upon this amount of variable rate debt and the specific terms, if market interest rates increased 1.0%, our annual interest expense would increase by approximately $2.2 million with a corresponding decrease in our net income and cash flows for the year. Conversely, if market interest rates decreased 1.0%, our annual interest expense would decrease by approximately $2.2 million with a corresponding increase in our net income and cash flows for the year.</w:t>
      </w: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Periodic Evaluation and Conclusion of Disclosure Controls and Procedures</w:t>
      </w:r>
    </w:p>
    <w:p>
      <w:pPr>
        <w:spacing w:after="0" w:line="9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2017. Based on this evaluation, our management, including our Chief Executive Officer and Chief Financial Officer, concluded that our disclosure controls and procedures were effective as of March 31, 2017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4"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quarterly period covered by this report that materially affected, or is reasonably likely to materially affect, our internal control over financial reporting.</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have been no material developments in any of our legal proceedings since the disclosure contained in our Annual Report to Form 10-K for the fiscal year ended December 31, 2016.</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9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for the year ended December 31, 2016 filed with the SEC on February 13, 2017. These factors include, but are not limited to, the following:</w:t>
      </w:r>
    </w:p>
    <w:p>
      <w:pPr>
        <w:spacing w:after="0" w:line="2" w:lineRule="exact"/>
        <w:rPr>
          <w:sz w:val="20"/>
          <w:szCs w:val="20"/>
          <w:color w:val="auto"/>
        </w:rPr>
      </w:pPr>
    </w:p>
    <w:p>
      <w:pPr>
        <w:ind w:left="1700" w:right="60" w:hanging="801"/>
        <w:spacing w:after="0" w:line="281"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tenants will not pay rent, may vacate early or may file for bankruptcy or that we may be unable to renew leases or re-let space at favorable rents as leases expire;</w:t>
      </w:r>
    </w:p>
    <w:p>
      <w:pPr>
        <w:spacing w:after="0" w:line="1" w:lineRule="exact"/>
        <w:rPr>
          <w:rFonts w:ascii="Times New Roman" w:cs="Times New Roman" w:eastAsia="Times New Roman" w:hAnsi="Times New Roman"/>
          <w:sz w:val="18"/>
          <w:szCs w:val="18"/>
          <w:color w:val="auto"/>
        </w:rPr>
      </w:pPr>
    </w:p>
    <w:p>
      <w:pPr>
        <w:ind w:left="1700" w:right="20" w:hanging="801"/>
        <w:spacing w:after="0" w:line="266"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4" w:lineRule="exact"/>
        <w:rPr>
          <w:rFonts w:ascii="Times New Roman" w:cs="Times New Roman" w:eastAsia="Times New Roman" w:hAnsi="Times New Roman"/>
          <w:sz w:val="18"/>
          <w:szCs w:val="18"/>
          <w:color w:val="auto"/>
        </w:rPr>
      </w:pPr>
    </w:p>
    <w:p>
      <w:pPr>
        <w:ind w:left="1700" w:right="240" w:hanging="801"/>
        <w:spacing w:after="0" w:line="266"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4"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normally associated with the real estate industry, including risks that:</w:t>
      </w:r>
    </w:p>
    <w:p>
      <w:pPr>
        <w:spacing w:after="0" w:line="63" w:lineRule="exact"/>
        <w:rPr>
          <w:rFonts w:ascii="Times New Roman" w:cs="Times New Roman" w:eastAsia="Times New Roman" w:hAnsi="Times New Roman"/>
          <w:sz w:val="18"/>
          <w:szCs w:val="18"/>
          <w:color w:val="auto"/>
        </w:rPr>
      </w:pPr>
    </w:p>
    <w:p>
      <w:pPr>
        <w:ind w:left="2760" w:right="520" w:hanging="807"/>
        <w:spacing w:after="0" w:line="281" w:lineRule="auto"/>
        <w:tabs>
          <w:tab w:leader="none" w:pos="2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levels at our properties and the amount of rent that we receive from our properties may be lower than expected,</w:t>
      </w:r>
    </w:p>
    <w:p>
      <w:pPr>
        <w:spacing w:after="0" w:line="1"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acquisitions may fail to perform as expected,</w:t>
      </w:r>
    </w:p>
    <w:p>
      <w:pPr>
        <w:spacing w:after="0" w:line="63"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acquisitions could result in increased prices for acquisitions,</w:t>
      </w:r>
    </w:p>
    <w:p>
      <w:pPr>
        <w:spacing w:after="0" w:line="63" w:lineRule="exact"/>
        <w:rPr>
          <w:rFonts w:ascii="Times New Roman" w:cs="Times New Roman" w:eastAsia="Times New Roman" w:hAnsi="Times New Roman"/>
          <w:sz w:val="18"/>
          <w:szCs w:val="18"/>
          <w:color w:val="auto"/>
        </w:rPr>
      </w:pPr>
    </w:p>
    <w:p>
      <w:pPr>
        <w:ind w:left="2760" w:right="220" w:hanging="807"/>
        <w:spacing w:after="0" w:line="281" w:lineRule="auto"/>
        <w:tabs>
          <w:tab w:leader="none" w:pos="2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costs associated with the periodic maintenance and repair or renovation of space, insurance and other operations may increase,</w:t>
      </w:r>
    </w:p>
    <w:p>
      <w:pPr>
        <w:spacing w:after="0" w:line="1"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may develop at our properties and result in unanticipated costs, and</w:t>
      </w:r>
    </w:p>
    <w:p>
      <w:pPr>
        <w:spacing w:after="0" w:line="63" w:lineRule="exact"/>
        <w:rPr>
          <w:rFonts w:ascii="Times New Roman" w:cs="Times New Roman" w:eastAsia="Times New Roman" w:hAnsi="Times New Roman"/>
          <w:sz w:val="18"/>
          <w:szCs w:val="18"/>
          <w:color w:val="auto"/>
        </w:rPr>
      </w:pPr>
    </w:p>
    <w:p>
      <w:pPr>
        <w:ind w:left="2760" w:hanging="807"/>
        <w:spacing w:after="0"/>
        <w:tabs>
          <w:tab w:leader="none" w:pos="27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real estate is illiquid, we may not be able to sell properties when appropriate;</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our growth will be limited if we cannot obtain additional capital;</w:t>
      </w:r>
    </w:p>
    <w:p>
      <w:pPr>
        <w:spacing w:after="0" w:line="63" w:lineRule="exact"/>
        <w:rPr>
          <w:rFonts w:ascii="Times New Roman" w:cs="Times New Roman" w:eastAsia="Times New Roman" w:hAnsi="Times New Roman"/>
          <w:sz w:val="18"/>
          <w:szCs w:val="18"/>
          <w:color w:val="auto"/>
        </w:rPr>
      </w:pPr>
    </w:p>
    <w:p>
      <w:pPr>
        <w:ind w:left="1700" w:hanging="801"/>
        <w:spacing w:after="0"/>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general economic conditions, including local economic conditions in our geographic markets;</w:t>
      </w:r>
    </w:p>
    <w:p>
      <w:pPr>
        <w:spacing w:after="0" w:line="63" w:lineRule="exact"/>
        <w:rPr>
          <w:rFonts w:ascii="Times New Roman" w:cs="Times New Roman" w:eastAsia="Times New Roman" w:hAnsi="Times New Roman"/>
          <w:sz w:val="18"/>
          <w:szCs w:val="18"/>
          <w:color w:val="auto"/>
        </w:rPr>
      </w:pPr>
    </w:p>
    <w:p>
      <w:pPr>
        <w:ind w:left="1700" w:right="240" w:hanging="801"/>
        <w:spacing w:after="0" w:line="266"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4" w:lineRule="exact"/>
        <w:rPr>
          <w:rFonts w:ascii="Times New Roman" w:cs="Times New Roman" w:eastAsia="Times New Roman" w:hAnsi="Times New Roman"/>
          <w:sz w:val="18"/>
          <w:szCs w:val="18"/>
          <w:color w:val="auto"/>
        </w:rPr>
      </w:pPr>
    </w:p>
    <w:p>
      <w:pPr>
        <w:ind w:left="1700" w:right="60" w:hanging="801"/>
        <w:spacing w:after="0" w:line="266"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33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various partnership agreements of certain of our affiliated limited partnerships, the interest of limited partners in those limited partnerships may be redeemed, subject to certain conditions, for cash or an equivalent number of common shares, at our option. During the three months ended March 31, 2017, we redeemed 8,030 downREIT operating partnership units for common shares.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80"/>
          </w:cols>
          <w:pgMar w:left="240" w:top="124" w:right="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From time to time, we could be deemed to have repurchased shares as a result of shares withheld for tax purposes upon a stock compensation related vesting event.</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80"/>
          </w:cols>
          <w:pgMar w:left="240" w:top="124"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authorized.</w:t>
      </w:r>
    </w:p>
    <w:p>
      <w:pPr>
        <w:spacing w:after="0" w:line="29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Times New Roman" w:cs="Times New Roman" w:eastAsia="Times New Roman" w:hAnsi="Times New Roman"/>
          <w:sz w:val="18"/>
          <w:szCs w:val="18"/>
          <w:color w:val="auto"/>
        </w:rPr>
        <w:t>May 3, 2017</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and Executive Officer)</w:t>
      </w: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189" w:lineRule="exact"/>
        <w:rPr>
          <w:sz w:val="20"/>
          <w:szCs w:val="20"/>
          <w:color w:val="auto"/>
        </w:rPr>
      </w:pPr>
    </w:p>
    <w:p>
      <w:pPr>
        <w:ind w:left="60"/>
        <w:spacing w:after="0"/>
        <w:tabs>
          <w:tab w:leader="none" w:pos="7600" w:val="left"/>
          <w:tab w:leader="none" w:pos="7940" w:val="left"/>
        </w:tabs>
        <w:rPr>
          <w:sz w:val="20"/>
          <w:szCs w:val="20"/>
          <w:color w:val="auto"/>
        </w:rPr>
      </w:pPr>
      <w:r>
        <w:rPr>
          <w:rFonts w:ascii="Times New Roman" w:cs="Times New Roman" w:eastAsia="Times New Roman" w:hAnsi="Times New Roman"/>
          <w:sz w:val="18"/>
          <w:szCs w:val="18"/>
          <w:color w:val="auto"/>
        </w:rPr>
        <w:t>May 3, 2017</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33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Executive Vice President</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80"/>
          </w:cols>
          <w:pgMar w:left="240" w:top="124"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1"/>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45"/>
        </w:trPr>
        <w:tc>
          <w:tcPr>
            <w:tcW w:w="1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0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Declaration of Trust of Federal Realty Investment Trust dated May 5, 1999 as amended by the Articles of Amendment of Declaration of</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 of Federal Realty Investment Trust dated May 6, 2004, as corrected by the Certificate of Correction of Articles of Amendment of</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Declaration of Trust of Federal Realty Investment Trust dated June 17, 2004, as amended by the Articles of Amendment of Declaration of</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 of Federal Realty Investment Trust dated May 6, 2009 (previously filed as Exhibit 3.1 to the Trust’s Registration Statement on Form S-</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 (File No. 333-160009)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Bylaws of Federal Realty Investment Trust dated February 12, 2003, as amended October 29, 2003, May 5, 2004,</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17, 2006, May 6, 2009, and November 2, 2016 (previously filed as Exhibit 3.2 to the 2016 10-K (File No. 1-07533) and</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414"/>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Specimen Common Share certificate (previously filed as Exhibit 4(i) to the Trust’s Annual Report on Form 10-K for the year ended</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1999 (File No. 1-07533)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Articles Supplementary relating to the 5.417% Series 1 Cumulative Convertible Preferred Shares of Beneficial Interest (previously filed as</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4.1 to the Trust’s Current Report on Form 8-K filed on March 13, 2007, (File No. 1-07533)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 dated December 1, 1993 related to the Trust’s 7.48% Debentures due August 15, 2026; and 6.82% Medium Term Notes due</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 2027; (previously filed as Exhibit 4(a) to the Trust’s Registration Statement on Form S-3 (File No. 33-51029), and amended on</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S-3 (File No. 33-63687), filed on December 13, 1993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Indenture dated September 1, 1998 related to the Trust’s 5.65% Notes due 2016; 6.20% Notes due 2017; 5.95% Notes due 2014 and the</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5.90% Notes due 2020; 3.00% Notes due 2022; 2.75% Notes due 2023; 3.95% Notes due 2024; 4.50% Notes due 2044; 2.55% Notes due</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 and 3.625% Notes due 2046 (previously filed as Exhibit 4(a) to the Trust’s Registration Statement on Form S-3 (File No. 333-63619)</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on September 17, 1998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Agreement between the Trust and Donald C. Wood dated February 22, 1999 (previously filed as a portion of Exhibit 10 to the</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Quarterly Report on Form 10-Q for the quarter ended March 31, 1999 (File No. 1-07533) (the “1999 1Q Form 10-Q”) and</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Agreement between Federal Realty Investment Trust and Donald C. Wood dated February 22, 1999 (previously filed as a portion</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Exhibit 10 to the 1999 1Q Form 10-Q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Executive Agreement between Federal Realty Investment Trust and Donald C. Wood dated February 16, 2005 (previously</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as Exhibit 10.12 to the Trust’s Annual Report on Form 10-K for the year ended December 31, 2004 (File No. 1-07533) (the “2004</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2001 Long-Term Incentive Plan (previously filed as Exhibit 99.1 to the Trust’s S-8 Registration Number 333-60364 filed on May 7, 2001</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Health Coverage Continuation Agreement between Federal Realty Investment Trust and Donald C. Wood dated February 16, 2005</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(previously filed as Exhibit 10.26 to the 2004 Form 10-K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Agreement between the Trust and Dawn M. Becker dated April 19, 2000 (previously filed as Exhibit 10.26 to the Trust’s 2005 2Q</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10-Q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Severance Agreement between the Trust and Dawn M. Becker dated February 16, 2005 (previously filed as Exhibit 10.27 to</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2004 Form 10-K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awards made under the Trust’s 2003 Long-Term Incentive Award Program for shares issued</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 of 2001 Long-Term Incentive Plan (previously filed as Exhibit 10.28 to the 2004 Form 10-K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for long term vesting and retention awards for shares issued out of the 2010 Plan (previously</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filed as Exhibit 10.35 to the Trust's Annual Report on Form 10-K for the year ended December 31, 2010 (File No. 1-07533) (the "2010 Form</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Form of Option Award Agreement for awards made under the Trust’s 2003 Long-Term Incentive Award Program for shares issued out of the</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2001 Long-Term Incentive Plan (previously filed as Exhibit 10.32 to the 2005 Form 10-K and incorporated herein by reference)</w:t>
            </w:r>
          </w:p>
        </w:tc>
      </w:tr>
    </w:tbl>
    <w:p>
      <w:pPr>
        <w:spacing w:after="0" w:line="200" w:lineRule="exact"/>
        <w:rPr>
          <w:sz w:val="20"/>
          <w:szCs w:val="20"/>
          <w:color w:val="auto"/>
        </w:rPr>
      </w:pPr>
    </w:p>
    <w:p>
      <w:pPr>
        <w:sectPr>
          <w:pgSz w:w="11900" w:h="16838" w:orient="portrait"/>
          <w:cols w:equalWidth="0" w:num="1">
            <w:col w:w="11420"/>
          </w:cols>
          <w:pgMar w:left="240" w:top="124"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4" w:right="2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1"/>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1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9"/>
                <w:szCs w:val="19"/>
                <w:color w:val="auto"/>
              </w:rPr>
            </w:pPr>
          </w:p>
        </w:tc>
        <w:tc>
          <w:tcPr>
            <w:tcW w:w="10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Amended and Restated 2001 Long-Term Incentive Plan (previously filed as Exhibit 10.34 to the Trust’s Quarterly Report on Form 10-Q for</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quarter ended June 30, 2007 (File No. 1-07533)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Severance Agreement between the Trust and Donald C. Wood dated January 1, 2009 (previously filed as Exhibit 10.26 to the</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Annual Report on Form 10-K for the year ended December 31, 2008 (File No. 1-07533) (“the 2008 Form 10-K”) and incorporated</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to Executive Agreement between the Trust and Donald C. Wood dated January 1, 2009 (previously filed as Exhibit</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10.27 to the Trust’s 2008 Form 10-K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Health Coverage Continuation Agreement between the Trust and Donald C. Wood dated January 1, 2009 (previously filed as</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10.28 to the Trust’s 2008 Form 10-K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to Severance Agreement between the Trust and Dawn M. Becker dated January 1, 2009 (previously filed as Exhibit</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10.30 to the Trust’s 2008 Form 10-K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 Performance Incentive Plan (previously filed as Appendix A to the Trust’s Definitive Proxy Statement for the 2010 Annual Meeting of</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(File No. 01-07533)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to 2010 Performance Incentive Plan (“the 2010 Plan”) (previously filed as Appendix A to the Trust’s Proxy Supplement for the</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2010 Annual Meeting of Shareholders (File No. 01-07533)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 Award Agreement between the Trust and Donald C. Wood dated October 12, 2010 (previously filed as Exhibit 10.36 to the</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Quarterly Report on Form 10-Q for the quarter ended September 30, 2010 (File No. 01-07533)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Form of Restricted Share Award Agreement for awards made under the Trust’s Long-Term Incentive Award Program and the Trust’s Annual</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Incentive Bonus Program and basic awards with annual vesting for shares issued out of the 2010 Plan (previously filed as Exhibit 10.34 to</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 2010 Form 10-K (File No. 1-07533)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Form of Option Award Agreement for awards made under the Trust’s Long-Term Incentive Award Program for shares issued out of the 2010</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(previously filed as Exhibit 10.38 to the Trust’s 2010 Form 10-K (File No. 1-07533)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Form of Option Award Agreement for front loaded awards made under the Trust’s Long-Term Incentive Award Program for shares issued out</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the 2010 Plan (previously filed as Exhibit 10.39 to the Trust’s 2010 Form 10-K (File No. 1-07533)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Form of Option Award Agreement for basic options awarded out of the 2010 Plan (previously filed as Exhibit 10.40 to the Trust’s 2010 Form</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10-K (File No. 1-07533)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10.23</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Restricted Share Award Agreement, dated as of February 10, 2011, between the Trust and Dawn M. Becker (previously filed as</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10.41 to the Trust’s 2010 Form 10-K (File No. 1-07533)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10.24</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Agreement dated as of July 7, 2011, by and among the Trust, as Borrower, the financial institutions party thereto and their permitted</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assignees under Section 12.6., as Lenders, Wells Fargo Bank, National Association, as Administrative Agent, PNC Bank, National</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Association, as Syndication Agent, Wells Fargo Securities, LLC, as a Lead Arranger and Book Manager, and PNC Capital Markets LLC, as</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Lead Arranger and Book Manager (previously filed as Exhibit 10.1 to the Trust’s Current Report on Form 8-K (File No. 1-07533), filed on</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July 11, 2011 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Loan Agreement dated as of November 22, 2011, by and among the Trust, as Borrower, the financial institutions party thereto and their</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permitted assignees under Section 12.6., as Lenders, PNC Bank, National Association, as Administrative Agent, Capital One, N.A., as</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Syndication Agent, PNC Capital Markets, LLC, as a Lead Arranger and Book Manager, and Capital One, N.A., as a Lead Arranger and</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 Manager (previously filed as Exhibit 10.1 to the Trust’s Current Report on Form 8-K (File No. 1-07533), filed on November 28, 2011</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incorporated herein by reference)</w:t>
            </w: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10.26</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Revised Form of Restricted Share Award Agreement for front loaded awards made under the Trust’s Long-Term Incentive Award Program</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shares issued out of the 2010 Plan (previously filed as Exhibit 10.35 to the Trust's Annual Report on Form 10-K for the year ended</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December 31, 2012 (File No. 1-07533) (the "2012 Form 10-K") and incorporated herein by reference)</w:t>
            </w:r>
          </w:p>
        </w:tc>
      </w:tr>
    </w:tbl>
    <w:p>
      <w:pPr>
        <w:spacing w:after="0" w:line="200" w:lineRule="exact"/>
        <w:rPr>
          <w:sz w:val="20"/>
          <w:szCs w:val="20"/>
          <w:color w:val="auto"/>
        </w:rPr>
      </w:pPr>
    </w:p>
    <w:p>
      <w:pPr>
        <w:sectPr>
          <w:pgSz w:w="11900" w:h="16838" w:orient="portrait"/>
          <w:cols w:equalWidth="0" w:num="1">
            <w:col w:w="11420"/>
          </w:cols>
          <w:pgMar w:left="240" w:top="124"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4" w:right="2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81"/>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23"/>
        </w:trPr>
        <w:tc>
          <w:tcPr>
            <w:tcW w:w="10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10.27</w:t>
            </w:r>
          </w:p>
        </w:tc>
        <w:tc>
          <w:tcPr>
            <w:tcW w:w="140" w:type="dxa"/>
            <w:vAlign w:val="bottom"/>
          </w:tcPr>
          <w:p>
            <w:pPr>
              <w:spacing w:after="0"/>
              <w:rPr>
                <w:sz w:val="19"/>
                <w:szCs w:val="19"/>
                <w:color w:val="auto"/>
              </w:rPr>
            </w:pPr>
          </w:p>
        </w:tc>
        <w:tc>
          <w:tcPr>
            <w:tcW w:w="102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Revised Form of Restricted Share Award Agreement for long-term vesting and retention awards made under the Trust’s Long-Term Incentive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Award Program for shares issued out of the 2010 Plan (previously filed as Exhibit 10.36 to the Trust's 2012 Form 10-K (File No. 1-07533)</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incorporated herein by reference)</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Revised Form of Performance Share Award Agreement for shares awarded out of the 2010 Plan (previously filed as Exhibit 10.37 to the</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Trust's 2012 Form 10-K (File No. 1-07533) and incorporated herein by reference)</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10.30</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thereto, and Wells Fargo Bank, National Association, as Administrative Agent (previously filed as Exhibit 10.1 to the Trust's Current Report</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Form 8-K (File No. 1-07533), filed on April 26, 2013 and incorporated herein by reference)</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10.31</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First Amendment to Term Loan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party thereto, and PNC Bank, National Association, as Administrative Agent (previously filed as Exhibit 10.40 to the Trust's Quarterly</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tcPr>
          <w:p>
            <w:pPr>
              <w:spacing w:after="0"/>
              <w:rPr>
                <w:sz w:val="24"/>
                <w:szCs w:val="24"/>
                <w:color w:val="auto"/>
              </w:rPr>
            </w:pPr>
          </w:p>
        </w:tc>
        <w:tc>
          <w:tcPr>
            <w:tcW w:w="10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3"/>
        </w:trPr>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Lenders party thereto, and PNC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454"/>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10.33</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Second Amendment to Credit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party thereto, and Wells Fargo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 on Form 8-K (File No. 1-07533), filed on April 26, 2016 and incorporated herein by reference)</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Amendment to Term Loan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party thereto, and PNC Bank, National Association, as Administrative Agent (previously filed as Exhibit 10.1 to the Trust's Current Report</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 Form 8-K (File No. 1-07533), filed on April 26, 2016 and incorporated herein by reference)</w:t>
            </w:r>
          </w:p>
        </w:tc>
        <w:tc>
          <w:tcPr>
            <w:tcW w:w="0" w:type="dxa"/>
            <w:vAlign w:val="bottom"/>
          </w:tcPr>
          <w:p>
            <w:pPr>
              <w:spacing w:after="0"/>
              <w:rPr>
                <w:sz w:val="1"/>
                <w:szCs w:val="1"/>
                <w:color w:val="auto"/>
              </w:rPr>
            </w:pPr>
          </w:p>
        </w:tc>
      </w:tr>
      <w:tr>
        <w:trPr>
          <w:trHeight w:val="37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Agreement between the Trust and Daniel Guglielmone dated August 15, 2016 previously filed as Exhibit 10.36 to the Trust's</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Quarterly Report on Form 10-Q for the quarter ended September 30, 2016 (File No. 1-07533 and incorporated herein by reference)</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 Certification of Principal Financial Officer (filed herewith)</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Principal Financial Officer (filed herewith)</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200" w:right="340" w:hanging="1165"/>
        <w:spacing w:after="0" w:line="261" w:lineRule="auto"/>
        <w:tabs>
          <w:tab w:leader="none" w:pos="1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Federal Realty Investment Trust’s Quarterly Report on Form 10-Q for the quarter ended March 31, 2017,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4"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Donald C. Wood</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880" w:hanging="467"/>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80" w:right="80" w:hanging="467"/>
        <w:spacing w:after="0" w:line="266"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420" w:hanging="440"/>
        <w:spacing w:after="0" w:line="266"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420" w:right="100" w:hanging="440"/>
        <w:spacing w:after="0" w:line="266"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340" w:hanging="440"/>
        <w:spacing w:after="0" w:line="266"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880" w:right="240" w:hanging="467"/>
        <w:spacing w:after="0" w:line="282"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560" w:hanging="440"/>
        <w:spacing w:after="0" w:line="282"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8"/>
          <w:szCs w:val="18"/>
          <w:color w:val="auto"/>
        </w:rPr>
        <w:t>May 3, 2017</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Executive Officer)</w:t>
      </w:r>
    </w:p>
    <w:p>
      <w:pPr>
        <w:sectPr>
          <w:pgSz w:w="11900" w:h="16838" w:orient="portrait"/>
          <w:cols w:equalWidth="0" w:num="1">
            <w:col w:w="11420"/>
          </w:cols>
          <w:pgMar w:left="240" w:top="576"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Daniel Guglielmone</w:t>
      </w:r>
      <w:r>
        <w:rPr>
          <w:rFonts w:ascii="Times New Roman" w:cs="Times New Roman" w:eastAsia="Times New Roman" w:hAnsi="Times New Roman"/>
          <w:sz w:val="18"/>
          <w:szCs w:val="18"/>
          <w:color w:val="auto"/>
        </w:rPr>
        <w:t>, certify that:</w:t>
      </w:r>
    </w:p>
    <w:p>
      <w:pPr>
        <w:spacing w:after="0" w:line="92" w:lineRule="exact"/>
        <w:rPr>
          <w:sz w:val="20"/>
          <w:szCs w:val="20"/>
          <w:color w:val="auto"/>
        </w:rPr>
      </w:pPr>
    </w:p>
    <w:p>
      <w:pPr>
        <w:ind w:left="880" w:hanging="467"/>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Federal Realty Investment Trust;</w:t>
      </w:r>
    </w:p>
    <w:p>
      <w:pPr>
        <w:spacing w:after="0" w:line="90" w:lineRule="exact"/>
        <w:rPr>
          <w:rFonts w:ascii="Times New Roman" w:cs="Times New Roman" w:eastAsia="Times New Roman" w:hAnsi="Times New Roman"/>
          <w:sz w:val="18"/>
          <w:szCs w:val="18"/>
          <w:color w:val="auto"/>
        </w:rPr>
      </w:pPr>
    </w:p>
    <w:p>
      <w:pPr>
        <w:jc w:val="both"/>
        <w:ind w:left="880" w:right="80" w:hanging="467"/>
        <w:spacing w:after="0" w:line="266"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8"/>
          <w:szCs w:val="18"/>
          <w:color w:val="auto"/>
        </w:rPr>
      </w:pPr>
    </w:p>
    <w:p>
      <w:pPr>
        <w:ind w:left="880" w:right="40" w:hanging="467"/>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80" w:right="80" w:hanging="467"/>
        <w:spacing w:after="0" w:line="266"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left="1420" w:hanging="440"/>
        <w:spacing w:after="0" w:line="266" w:lineRule="auto"/>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left="1420" w:right="100" w:hanging="440"/>
        <w:spacing w:after="0" w:line="266" w:lineRule="auto"/>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340" w:hanging="440"/>
        <w:spacing w:after="0" w:line="266" w:lineRule="auto"/>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left="880" w:right="240" w:hanging="467"/>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560" w:hanging="440"/>
        <w:spacing w:after="0" w:line="282" w:lineRule="auto"/>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260" w:hanging="440"/>
        <w:spacing w:after="0" w:line="282" w:lineRule="auto"/>
        <w:tabs>
          <w:tab w:leader="none" w:pos="14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18"/>
          <w:szCs w:val="18"/>
          <w:color w:val="auto"/>
        </w:rPr>
        <w:t>May 3, 2017</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4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ectPr>
          <w:pgSz w:w="11900" w:h="16838" w:orient="portrait"/>
          <w:cols w:equalWidth="0" w:num="1">
            <w:col w:w="11420"/>
          </w:cols>
          <w:pgMar w:left="240" w:top="576"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2017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500" w:hanging="887"/>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18"/>
          <w:szCs w:val="18"/>
          <w:color w:val="auto"/>
        </w:rPr>
        <w:t>May 3, 2017</w:t>
      </w:r>
      <w:r>
        <w:rPr>
          <w:sz w:val="20"/>
          <w:szCs w:val="20"/>
          <w:color w:val="auto"/>
        </w:rPr>
        <w:tab/>
      </w:r>
      <w:r>
        <w:rPr>
          <w:rFonts w:ascii="Times New Roman" w:cs="Times New Roman" w:eastAsia="Times New Roman" w:hAnsi="Times New Roman"/>
          <w:sz w:val="17"/>
          <w:szCs w:val="17"/>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Executive Officer)</w:t>
      </w:r>
    </w:p>
    <w:p>
      <w:pPr>
        <w:sectPr>
          <w:pgSz w:w="11900" w:h="16838" w:orient="portrait"/>
          <w:cols w:equalWidth="0" w:num="1">
            <w:col w:w="11420"/>
          </w:cols>
          <w:pgMar w:left="240" w:top="576"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undersigned, Daniel Guglielmone,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March 31, 2017 (the “Report”). The undersigned hereby certifies, to the best of his knowledge, that:</w:t>
      </w:r>
    </w:p>
    <w:p>
      <w:pPr>
        <w:spacing w:after="0" w:line="68" w:lineRule="exact"/>
        <w:rPr>
          <w:sz w:val="20"/>
          <w:szCs w:val="20"/>
          <w:color w:val="auto"/>
        </w:rPr>
      </w:pPr>
    </w:p>
    <w:p>
      <w:pPr>
        <w:ind w:left="1300" w:hanging="887"/>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500" w:hanging="887"/>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18"/>
          <w:szCs w:val="18"/>
          <w:color w:val="auto"/>
        </w:rPr>
        <w:t>May 3, 2017</w:t>
      </w:r>
      <w:r>
        <w:rPr>
          <w:sz w:val="20"/>
          <w:szCs w:val="20"/>
          <w:color w:val="auto"/>
        </w:rPr>
        <w:tab/>
      </w:r>
      <w:r>
        <w:rPr>
          <w:rFonts w:ascii="Times New Roman" w:cs="Times New Roman" w:eastAsia="Times New Roman" w:hAnsi="Times New Roman"/>
          <w:sz w:val="17"/>
          <w:szCs w:val="17"/>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34290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Daniel Guglielmone</w:t>
      </w:r>
    </w:p>
    <w:p>
      <w:pPr>
        <w:spacing w:after="0" w:line="6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Executive Vice President -</w:t>
      </w:r>
    </w:p>
    <w:p>
      <w:pPr>
        <w:spacing w:after="0" w:line="3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41"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amp;"/>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lvl w:ilvl="1">
      <w:lvlJc w:val="left"/>
      <w:lvlText w:val="•"/>
      <w:numFmt w:val="bullet"/>
      <w:start w:val="1"/>
    </w:lvl>
  </w:abstractNum>
  <w:abstractNum w:abstractNumId="19">
    <w:nsid w:val="721DA317"/>
    <w:multiLevelType w:val="hybridMultilevel"/>
    <w:lvl w:ilvl="0">
      <w:lvlJc w:val="left"/>
      <w:lvlText w:val="%1"/>
      <w:numFmt w:val="decimal"/>
      <w:start w:val="10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2019-12-29T06:49:19Z</dcterms:created>
  <dcterms:modified xsi:type="dcterms:W3CDTF">2019-12-29T06:49:19Z</dcterms:modified>
</cp:coreProperties>
</file>