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88900</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820" w:hanging="670"/>
        <w:spacing w:after="0"/>
        <w:tabs>
          <w:tab w:leader="none" w:pos="8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-235585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820" w:hanging="670"/>
        <w:spacing w:after="0" w:line="212" w:lineRule="auto"/>
        <w:tabs>
          <w:tab w:leader="none" w:pos="8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FEDERAL REALTY INVESTMENT TRUST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45"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4040" w:type="dxa"/>
            <w:vAlign w:val="bottom"/>
          </w:tcPr>
          <w:p>
            <w:pPr>
              <w:jc w:val="center"/>
              <w:ind w:right="279"/>
              <w:spacing w:after="0"/>
              <w:rPr>
                <w:sz w:val="20"/>
                <w:szCs w:val="20"/>
                <w:color w:val="auto"/>
              </w:rPr>
            </w:pPr>
            <w:r>
              <w:rPr>
                <w:rFonts w:ascii="Arial" w:cs="Arial" w:eastAsia="Arial" w:hAnsi="Arial"/>
                <w:sz w:val="18"/>
                <w:szCs w:val="18"/>
                <w:b w:val="1"/>
                <w:bCs w:val="1"/>
                <w:color w:val="auto"/>
                <w:w w:val="96"/>
              </w:rPr>
              <w:t>Maryland</w:t>
            </w:r>
          </w:p>
        </w:tc>
        <w:tc>
          <w:tcPr>
            <w:tcW w:w="4660" w:type="dxa"/>
            <w:vAlign w:val="bottom"/>
          </w:tcPr>
          <w:p>
            <w:pPr>
              <w:jc w:val="right"/>
              <w:ind w:right="537"/>
              <w:spacing w:after="0"/>
              <w:rPr>
                <w:sz w:val="20"/>
                <w:szCs w:val="20"/>
                <w:color w:val="auto"/>
              </w:rPr>
            </w:pPr>
            <w:r>
              <w:rPr>
                <w:rFonts w:ascii="Arial" w:cs="Arial" w:eastAsia="Arial" w:hAnsi="Arial"/>
                <w:sz w:val="18"/>
                <w:szCs w:val="18"/>
                <w:b w:val="1"/>
                <w:bCs w:val="1"/>
                <w:color w:val="auto"/>
              </w:rPr>
              <w:t>52-0782497</w:t>
            </w:r>
          </w:p>
        </w:tc>
      </w:tr>
      <w:tr>
        <w:trPr>
          <w:trHeight w:val="218"/>
        </w:trPr>
        <w:tc>
          <w:tcPr>
            <w:tcW w:w="4040" w:type="dxa"/>
            <w:vAlign w:val="bottom"/>
          </w:tcPr>
          <w:p>
            <w:pPr>
              <w:jc w:val="center"/>
              <w:ind w:right="279"/>
              <w:spacing w:after="0"/>
              <w:rPr>
                <w:sz w:val="20"/>
                <w:szCs w:val="20"/>
                <w:color w:val="auto"/>
              </w:rPr>
            </w:pPr>
            <w:r>
              <w:rPr>
                <w:rFonts w:ascii="Arial" w:cs="Arial" w:eastAsia="Arial" w:hAnsi="Arial"/>
                <w:sz w:val="14"/>
                <w:szCs w:val="14"/>
                <w:b w:val="1"/>
                <w:bCs w:val="1"/>
                <w:color w:val="auto"/>
                <w:w w:val="93"/>
              </w:rPr>
              <w:t>(State of Organization)</w:t>
            </w:r>
          </w:p>
        </w:tc>
        <w:tc>
          <w:tcPr>
            <w:tcW w:w="4660" w:type="dxa"/>
            <w:vAlign w:val="bottom"/>
          </w:tcPr>
          <w:p>
            <w:pPr>
              <w:jc w:val="center"/>
              <w:ind w:left="2477"/>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7"/>
        </w:trPr>
        <w:tc>
          <w:tcPr>
            <w:tcW w:w="4040" w:type="dxa"/>
            <w:vAlign w:val="bottom"/>
          </w:tcPr>
          <w:p>
            <w:pPr>
              <w:jc w:val="center"/>
              <w:ind w:right="279"/>
              <w:spacing w:after="0"/>
              <w:rPr>
                <w:sz w:val="20"/>
                <w:szCs w:val="20"/>
                <w:color w:val="auto"/>
              </w:rPr>
            </w:pPr>
            <w:r>
              <w:rPr>
                <w:rFonts w:ascii="Arial" w:cs="Arial" w:eastAsia="Arial" w:hAnsi="Arial"/>
                <w:sz w:val="18"/>
                <w:szCs w:val="18"/>
                <w:b w:val="1"/>
                <w:bCs w:val="1"/>
                <w:color w:val="auto"/>
                <w:w w:val="91"/>
              </w:rPr>
              <w:t>1626 East Jefferson Street, Rockville, Maryland</w:t>
            </w:r>
          </w:p>
        </w:tc>
        <w:tc>
          <w:tcPr>
            <w:tcW w:w="4660" w:type="dxa"/>
            <w:vAlign w:val="bottom"/>
          </w:tcPr>
          <w:p>
            <w:pPr>
              <w:jc w:val="right"/>
              <w:ind w:right="737"/>
              <w:spacing w:after="0"/>
              <w:rPr>
                <w:sz w:val="20"/>
                <w:szCs w:val="20"/>
                <w:color w:val="auto"/>
              </w:rPr>
            </w:pPr>
            <w:r>
              <w:rPr>
                <w:rFonts w:ascii="Arial" w:cs="Arial" w:eastAsia="Arial" w:hAnsi="Arial"/>
                <w:sz w:val="18"/>
                <w:szCs w:val="18"/>
                <w:b w:val="1"/>
                <w:bCs w:val="1"/>
                <w:color w:val="auto"/>
              </w:rPr>
              <w:t>20852</w:t>
            </w:r>
          </w:p>
        </w:tc>
      </w:tr>
      <w:tr>
        <w:trPr>
          <w:trHeight w:val="218"/>
        </w:trPr>
        <w:tc>
          <w:tcPr>
            <w:tcW w:w="4040" w:type="dxa"/>
            <w:vAlign w:val="bottom"/>
          </w:tcPr>
          <w:p>
            <w:pPr>
              <w:jc w:val="center"/>
              <w:ind w:right="2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660" w:type="dxa"/>
            <w:vAlign w:val="bottom"/>
          </w:tcPr>
          <w:p>
            <w:pPr>
              <w:jc w:val="center"/>
              <w:ind w:left="2477"/>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4040" w:type="dxa"/>
            <w:vAlign w:val="bottom"/>
          </w:tcPr>
          <w:p>
            <w:pPr>
              <w:spacing w:after="0"/>
              <w:rPr>
                <w:sz w:val="24"/>
                <w:szCs w:val="24"/>
                <w:color w:val="auto"/>
              </w:rPr>
            </w:pPr>
          </w:p>
        </w:tc>
        <w:tc>
          <w:tcPr>
            <w:tcW w:w="4660" w:type="dxa"/>
            <w:vAlign w:val="bottom"/>
          </w:tcPr>
          <w:p>
            <w:pPr>
              <w:jc w:val="right"/>
              <w:ind w:right="3077"/>
              <w:spacing w:after="0"/>
              <w:rPr>
                <w:sz w:val="20"/>
                <w:szCs w:val="20"/>
                <w:color w:val="auto"/>
              </w:rPr>
            </w:pPr>
            <w:r>
              <w:rPr>
                <w:rFonts w:ascii="Arial" w:cs="Arial" w:eastAsia="Arial" w:hAnsi="Arial"/>
                <w:sz w:val="18"/>
                <w:szCs w:val="18"/>
                <w:b w:val="1"/>
                <w:bCs w:val="1"/>
                <w:color w:val="auto"/>
              </w:rPr>
              <w:t>(301) 998-8100</w:t>
            </w:r>
          </w:p>
        </w:tc>
      </w:tr>
    </w:tbl>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b w:val="1"/>
                <w:bCs w:val="1"/>
                <w:color w:val="auto"/>
                <w:w w:val="89"/>
              </w:rPr>
              <w:t>Title of Each Class</w:t>
            </w:r>
          </w:p>
        </w:tc>
        <w:tc>
          <w:tcPr>
            <w:tcW w:w="2980" w:type="dxa"/>
            <w:vAlign w:val="bottom"/>
          </w:tcPr>
          <w:p>
            <w:pPr>
              <w:spacing w:after="0"/>
              <w:rPr>
                <w:sz w:val="16"/>
                <w:szCs w:val="16"/>
                <w:color w:val="auto"/>
              </w:rPr>
            </w:pPr>
          </w:p>
        </w:tc>
        <w:tc>
          <w:tcPr>
            <w:tcW w:w="37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2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r>
      <w:tr>
        <w:trPr>
          <w:trHeight w:val="267"/>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Common Shares of Beneficial Interest, $.01 par value per share, with associated Common Share</w:t>
            </w:r>
          </w:p>
        </w:tc>
        <w:tc>
          <w:tcPr>
            <w:tcW w:w="520" w:type="dxa"/>
            <w:vAlign w:val="bottom"/>
          </w:tcPr>
          <w:p>
            <w:pPr>
              <w:spacing w:after="0"/>
              <w:rPr>
                <w:sz w:val="23"/>
                <w:szCs w:val="23"/>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06"/>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Purchase Rights</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53"/>
        </w:trPr>
        <w:tc>
          <w:tcPr>
            <w:tcW w:w="6960" w:type="dxa"/>
            <w:vAlign w:val="bottom"/>
            <w:gridSpan w:val="3"/>
          </w:tcPr>
          <w:p>
            <w:pPr>
              <w:ind w:left="40"/>
              <w:spacing w:after="0"/>
              <w:rPr>
                <w:sz w:val="20"/>
                <w:szCs w:val="20"/>
                <w:color w:val="auto"/>
              </w:rPr>
            </w:pPr>
            <w:r>
              <w:rPr>
                <w:rFonts w:ascii="Arial" w:cs="Arial" w:eastAsia="Arial" w:hAnsi="Arial"/>
                <w:sz w:val="16"/>
                <w:szCs w:val="16"/>
                <w:color w:val="auto"/>
                <w:w w:val="97"/>
              </w:rPr>
              <w:t>Depositary Shares, each representing 1/1000 of a share of 5.00% Series C Cumulative Redeemable</w:t>
            </w:r>
          </w:p>
        </w:tc>
        <w:tc>
          <w:tcPr>
            <w:tcW w:w="520" w:type="dxa"/>
            <w:vAlign w:val="bottom"/>
          </w:tcPr>
          <w:p>
            <w:pPr>
              <w:spacing w:after="0"/>
              <w:rPr>
                <w:sz w:val="21"/>
                <w:szCs w:val="21"/>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06"/>
        </w:trPr>
        <w:tc>
          <w:tcPr>
            <w:tcW w:w="6960" w:type="dxa"/>
            <w:vAlign w:val="bottom"/>
            <w:gridSpan w:val="3"/>
          </w:tcPr>
          <w:p>
            <w:pPr>
              <w:ind w:left="40"/>
              <w:spacing w:after="0"/>
              <w:rPr>
                <w:sz w:val="20"/>
                <w:szCs w:val="20"/>
                <w:color w:val="auto"/>
              </w:rPr>
            </w:pPr>
            <w:r>
              <w:rPr>
                <w:rFonts w:ascii="Arial" w:cs="Arial" w:eastAsia="Arial" w:hAnsi="Arial"/>
                <w:sz w:val="16"/>
                <w:szCs w:val="16"/>
                <w:color w:val="auto"/>
              </w:rPr>
              <w:t>Preferred Stock, $.01 par value per share</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84"/>
        </w:trPr>
        <w:tc>
          <w:tcPr>
            <w:tcW w:w="696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0"/>
        </w:trPr>
        <w:tc>
          <w:tcPr>
            <w:tcW w:w="832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38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54"/>
        </w:trPr>
        <w:tc>
          <w:tcPr>
            <w:tcW w:w="832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Yes</w:t>
            </w:r>
          </w:p>
        </w:tc>
        <w:tc>
          <w:tcPr>
            <w:tcW w:w="238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spacing w:after="0" w:line="19" w:lineRule="exact"/>
        <w:rPr>
          <w:sz w:val="24"/>
          <w:szCs w:val="24"/>
          <w:color w:val="auto"/>
        </w:rPr>
      </w:pPr>
    </w:p>
    <w:p>
      <w:pPr>
        <w:ind w:right="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51"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4"/>
          <w:szCs w:val="24"/>
          <w:color w:val="auto"/>
        </w:rPr>
      </w:pPr>
    </w:p>
    <w:p>
      <w:pPr>
        <w:ind w:right="18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920" w:type="dxa"/>
            <w:vAlign w:val="bottom"/>
          </w:tcPr>
          <w:p>
            <w:pPr>
              <w:ind w:left="222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80" w:type="dxa"/>
            <w:vAlign w:val="bottom"/>
          </w:tcPr>
          <w:p>
            <w:pPr>
              <w:ind w:left="400"/>
              <w:spacing w:after="0"/>
              <w:rPr>
                <w:sz w:val="20"/>
                <w:szCs w:val="20"/>
                <w:color w:val="auto"/>
              </w:rPr>
            </w:pPr>
            <w:r>
              <w:rPr>
                <w:rFonts w:ascii="Arial" w:cs="Arial" w:eastAsia="Arial" w:hAnsi="Arial"/>
                <w:sz w:val="16"/>
                <w:szCs w:val="16"/>
                <w:color w:val="auto"/>
              </w:rPr>
              <w:t>o</w:t>
            </w:r>
          </w:p>
        </w:tc>
        <w:tc>
          <w:tcPr>
            <w:tcW w:w="5920" w:type="dxa"/>
            <w:vAlign w:val="bottom"/>
          </w:tcPr>
          <w:p>
            <w:pPr>
              <w:ind w:left="222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920" w:type="dxa"/>
            <w:vAlign w:val="bottom"/>
          </w:tcPr>
          <w:p>
            <w:pPr>
              <w:ind w:left="222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2"/>
        </w:trPr>
        <w:tc>
          <w:tcPr>
            <w:tcW w:w="10640" w:type="dxa"/>
            <w:vAlign w:val="bottom"/>
            <w:gridSpan w:val="3"/>
          </w:tcPr>
          <w:p>
            <w:pPr>
              <w:spacing w:after="0"/>
              <w:rPr>
                <w:sz w:val="20"/>
                <w:szCs w:val="20"/>
                <w:color w:val="auto"/>
              </w:rPr>
            </w:pPr>
            <w:r>
              <w:rPr>
                <w:rFonts w:ascii="Arial" w:cs="Arial" w:eastAsia="Arial" w:hAnsi="Arial"/>
                <w:sz w:val="16"/>
                <w:szCs w:val="16"/>
                <w:color w:val="auto"/>
                <w:w w:val="93"/>
              </w:rPr>
              <w:t>If an emerging growth company, indicate by checkmark if the registrant has elected not use the extended transition period for complying with any new or revised</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p>
      <w:pPr>
        <w:spacing w:after="0" w:line="29" w:lineRule="exact"/>
        <w:rPr>
          <w:sz w:val="24"/>
          <w:szCs w:val="24"/>
          <w:color w:val="auto"/>
        </w:rPr>
      </w:pPr>
    </w:p>
    <w:p>
      <w:pPr>
        <w:spacing w:after="0" w:line="184" w:lineRule="exact"/>
        <w:tabs>
          <w:tab w:leader="none" w:pos="7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70" w:lineRule="exact"/>
        <w:rPr>
          <w:sz w:val="24"/>
          <w:szCs w:val="24"/>
          <w:color w:val="auto"/>
        </w:rPr>
      </w:pPr>
    </w:p>
    <w:p>
      <w:pPr>
        <w:spacing w:after="0" w:line="265" w:lineRule="auto"/>
        <w:rPr>
          <w:sz w:val="20"/>
          <w:szCs w:val="20"/>
          <w:color w:val="auto"/>
        </w:rPr>
      </w:pPr>
      <w:r>
        <w:rPr>
          <w:rFonts w:ascii="Arial" w:cs="Arial" w:eastAsia="Arial" w:hAnsi="Arial"/>
          <w:sz w:val="16"/>
          <w:szCs w:val="16"/>
          <w:color w:val="auto"/>
        </w:rPr>
        <w:t>The aggregate market value of the Registrant's common shares held by non-affiliates of the Registrant, based upon the closing sales price of the Registrant's common shares on June 30, 2018 was $9.3 billion.</w:t>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February 8, 2019 was 74,365,801.</w:t>
      </w:r>
    </w:p>
    <w:p>
      <w:pPr>
        <w:sectPr>
          <w:pgSz w:w="11900" w:h="16838" w:orient="portrait"/>
          <w:cols w:equalWidth="0" w:num="1">
            <w:col w:w="11380"/>
          </w:cols>
          <w:pgMar w:left="240" w:top="234" w:right="27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FISCAL YEAR ENDED DECEMBER 31, 2018</w:t>
      </w: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2018 annual meeting of shareholders to be held in May 2019 will be incorporated by reference into Part III hereof.</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2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9"/>
                <w:szCs w:val="19"/>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615"/>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97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615"/>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97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9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615"/>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16.</w:t>
            </w:r>
          </w:p>
        </w:tc>
        <w:tc>
          <w:tcPr>
            <w:tcW w:w="972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574"/>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7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507"/>
        </w:trPr>
        <w:tc>
          <w:tcPr>
            <w:tcW w:w="1240" w:type="dxa"/>
            <w:vAlign w:val="bottom"/>
          </w:tcPr>
          <w:p>
            <w:pPr>
              <w:spacing w:after="0"/>
              <w:rPr>
                <w:sz w:val="24"/>
                <w:szCs w:val="24"/>
                <w:color w:val="auto"/>
              </w:rPr>
            </w:pPr>
          </w:p>
        </w:tc>
        <w:tc>
          <w:tcPr>
            <w:tcW w:w="9720" w:type="dxa"/>
            <w:vAlign w:val="bottom"/>
          </w:tcPr>
          <w:p>
            <w:pPr>
              <w:ind w:left="4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126" w:right="4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2018, we owned or had a majority interest in community and neighborhood shopping centers and mixed-use properties which are operated as 104 predominantly retail real estate projects comprising approximately 24.1 million square feet. In total, the real estate projects were 94.6% leased and 93.6% occupied at December 31, 2018. We have paid quarterly dividends to our shareholders continuously since our founding in 1962 and have increased our dividends per common share for 51 consecutive years.</w:t>
      </w:r>
    </w:p>
    <w:p>
      <w:pPr>
        <w:spacing w:after="0" w:line="1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 over the long term;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4" w:lineRule="exact"/>
        <w:rPr>
          <w:sz w:val="20"/>
          <w:szCs w:val="20"/>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 w:lineRule="exact"/>
        <w:rPr>
          <w:rFonts w:ascii="Arial" w:cs="Arial" w:eastAsia="Arial" w:hAnsi="Arial"/>
          <w:sz w:val="18"/>
          <w:szCs w:val="18"/>
          <w:color w:val="auto"/>
        </w:rPr>
      </w:pPr>
    </w:p>
    <w:p>
      <w:pPr>
        <w:ind w:left="660" w:right="32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6" w:right="27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23"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9"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 w:lineRule="exact"/>
        <w:rPr>
          <w:rFonts w:ascii="Arial" w:cs="Arial" w:eastAsia="Arial" w:hAnsi="Arial"/>
          <w:sz w:val="18"/>
          <w:szCs w:val="18"/>
          <w:color w:val="auto"/>
        </w:rPr>
      </w:pPr>
    </w:p>
    <w:p>
      <w:pPr>
        <w:ind w:left="660" w:right="5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right="5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returns in relation to our short and long-term cost of capital as well as the anticipated risk we will face in achieving the expected returns;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household incomes, education levels, as well as the population and income trends in that geographic area;</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gross leasable area (GLA) per capita, competition for tenants and the ability of others to create competing properties through redevelopment, new construction or renovation;</w:t>
      </w:r>
    </w:p>
    <w:p>
      <w:pPr>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 available line of credit to fund operating and investing needs on a short-term basis;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relative to our size does not mature in any one year;</w:t>
      </w:r>
    </w:p>
    <w:p>
      <w:pPr>
        <w:ind w:left="660" w:right="1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5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340" w:hanging="320"/>
        <w:spacing w:after="0" w:line="25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at-the-market ("ATM") equity program in which we may from time to time offer and sell common shares, or private placements,</w:t>
      </w: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1300" w:right="20" w:hanging="320"/>
        <w:spacing w:after="0" w:line="25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February 8, 2019, we had 298 full-time employees and 5 part-time employees. None of our employees are represented by a collective bargaining unit. We believe that our relationship with our employees is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6"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may impact the success of our tenants’ retail operations and therefore the amount of rent and expense reimbursements we receive from our tenants.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We continue to see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2018, our anchor tenant space is 97.6% leased and 96.9% occupied.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2018, we had approximately $3.2 billion of debt outstanding. Of that outstanding debt, approximately $475.3 million was secured by all or a portion of 13 of our real estate projects and approximately $71.5 million represented capital lease obligations on four of our properties. As of December 31, 2018, 91.5% of our debt is fixed rate, which includes all of our property secured debt, our unsecured senior notes, and our capital lease obligations. Our organizational documents do not limit the level or amount of debt that we may incur. The amount of our debt outstanding from time to time could have important consequences to our shareholders. For example, it could: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660" w:right="74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9" w:lineRule="exact"/>
        <w:rPr>
          <w:rFonts w:ascii="Arial" w:cs="Arial" w:eastAsia="Arial" w:hAnsi="Arial"/>
          <w:sz w:val="18"/>
          <w:szCs w:val="18"/>
          <w:color w:val="auto"/>
        </w:rPr>
      </w:pPr>
    </w:p>
    <w:p>
      <w:pPr>
        <w:ind w:left="660" w:right="8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Arial" w:cs="Arial" w:eastAsia="Arial" w:hAnsi="Arial"/>
          <w:sz w:val="16"/>
          <w:szCs w:val="16"/>
          <w:color w:val="auto"/>
        </w:rPr>
      </w:pPr>
    </w:p>
    <w:p>
      <w:pPr>
        <w:ind w:left="660" w:right="44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8"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2018,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6" w:right="3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2018, construction continued on the development of Phase II at both Assembly Row and Pike &amp; Rose, with portions of both projects opening during 2018. Additionally, we commenced construction on Phase III at both projects, and we continued our on-going redevelopment efforts at Santana Row. A further discussion of these projects, expected costs, and current status can be found in Item 7. Management's Discussion and Analysis of Financial Condition and Results of Operations in the "Outlook" subsection.</w:t>
      </w:r>
    </w:p>
    <w:p>
      <w:pPr>
        <w:spacing w:after="0" w:line="133"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residential product (both rental units and for sale condominium units) into uncertain residential environments may result in lower rents or sale prices than underwritten or longer time periods to reach economic stabilization;</w:t>
      </w:r>
    </w:p>
    <w:p>
      <w:pPr>
        <w:ind w:left="660" w:righ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and the overall value of the project may be negatively impacted if we do not complete subsequent phases;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public funding from governmental agencies to fund infrastructure projects, including public funding in connection with our development at Assembly Row;</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9" w:lineRule="exact"/>
        <w:rPr>
          <w:rFonts w:ascii="Arial" w:cs="Arial" w:eastAsia="Arial" w:hAnsi="Arial"/>
          <w:sz w:val="18"/>
          <w:szCs w:val="18"/>
          <w:color w:val="auto"/>
        </w:rPr>
      </w:pPr>
    </w:p>
    <w:p>
      <w:pPr>
        <w:ind w:left="660" w:right="520" w:hanging="328"/>
        <w:spacing w:after="0" w:line="32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ind w:left="660" w:right="30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hanging="328"/>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ind w:left="660" w:right="560" w:hanging="328"/>
        <w:spacing w:after="0" w:line="32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Of our approximately $3.2 billion of debt outstanding as of December 31, 2018, approximately $275.0 million bears interest at a variable rate of LIBOR plus 90.0 basis points. We also have an $800.0 million revolving credit facility, on which no balance was outstanding at December 31, 2018, that bears interest at LIBOR plus 82.5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debt or analyst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 w:lineRule="exact"/>
        <w:rPr>
          <w:rFonts w:ascii="Arial" w:cs="Arial" w:eastAsia="Arial" w:hAnsi="Arial"/>
          <w:sz w:val="18"/>
          <w:szCs w:val="18"/>
          <w:color w:val="auto"/>
        </w:rPr>
      </w:pPr>
    </w:p>
    <w:p>
      <w:pPr>
        <w:ind w:left="660" w:right="50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 of December 31, 2018, we held 17 predominantly retail real estate projects jointly with other persons in addition to properties owned in a “downREIT” structure. Additionally, we have entered into joint venture agreements related to the hotel component of Phase II of our Pike &amp; Rose and Assembly Row development projects.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2018, we held the controlling interests in all of our existing co-investments (except the hotel investments discussed above and the investment in the La Alameda shopping center acquired in 2017),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 for our taxable years ending on or prior to December 31, 2017;</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4" w:lineRule="exact"/>
        <w:rPr>
          <w:sz w:val="20"/>
          <w:szCs w:val="20"/>
          <w:color w:val="auto"/>
        </w:rPr>
      </w:pPr>
    </w:p>
    <w:p>
      <w:pPr>
        <w:ind w:left="660" w:right="1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tax reform legislation now and in the future could affect REITs, both positively and negatively, in ways that are difficult to anticipate.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Tax Cuts and Jobs Act of 2017 (the “2017 Tax Act”), signed into law on December 22, 2017, represents sweeping tax reform legislation that makes significant changes to corporate and individual tax rates and the calculation of taxes. While we currently do not expect the 2017 Tax Act will have a significant direct impact on us, it may impact us indirectly as our tenants and the jurisdictions in which we do business as well as the overall investment thesis for REITs may be impacted both positively and negatively in ways that are difficult to predict. Additionally, the overall impact of the 2017 Tax Act depends on future interpretations and regulations that may be issued by federal tax authorities, as well as changes in state and local taxation in response to the 2017 Tax Act, and it is possible that such future interpretations, regulations and other changes could adversely impact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4"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6" w:right="2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2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severe weather conditions could have an adverse impact on our cash flow and operating results.</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 attacks that could cause loss of confidential information and other business disruptions.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rely extensively on computer systems to process transactions and manage our business, and our business is at risk from and may be impacted by cyber attacks. These could include attempts to gain unauthorized access to our data and computer systems. Attacks can be both individual and/or highly organized attempts by very sophisticated hacking organizations. We employ a number of measures to prevent, detect and mitigate these threats, which include password encryption, frequent password change events, firewall detection systems, anti-virus software in-place, frequent backups, a redundant data system for core applications and annual penetration testing; however, there is no guarantee such efforts will be successful in preventing a cyber attack. A cyber attack could compromise the confidential information of our employees, tenants and vendors. A successful attack could disrupt and otherwise adversely affect our business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December 31, 2018, we owned or had a majority ownership interest in community and neighborhood shopping centers and mixed-used properties which are operated as 104 predominantly retail real estate projects comprising approximately 24.1 million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2018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2018, we had approximately 3,000 commercial leases and 2,600 residential leases, with tenants ranging from sole proprietors to major national and international retailers. No one tenant or affiliated group of tenants accounted for more than 2.7% of our annualized base rent as of December 31, 2018. As a result of our tenant diversification, we believe our exposure to any one bankruptcy filing in the retail sector has not been and will not be significant, however, multiple filings by a number of retailers could have a significant impact.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104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Gross</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Leasable</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11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Projects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250"/>
        </w:trPr>
        <w:tc>
          <w:tcPr>
            <w:tcW w:w="6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5,471,000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4,610,000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3,651,000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Pennsylvania(1)</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2,321,000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2,053,000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1,726,000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1,246,000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Connecticut</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District of Columbia</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169,000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159,000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104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24,127,000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17145</wp:posOffset>
            </wp:positionV>
            <wp:extent cx="3215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3" w:lineRule="exact"/>
        <w:rPr>
          <w:sz w:val="20"/>
          <w:szCs w:val="20"/>
          <w:color w:val="auto"/>
        </w:rPr>
      </w:pPr>
    </w:p>
    <w:p>
      <w:pPr>
        <w:ind w:right="500"/>
        <w:spacing w:after="0" w:line="391" w:lineRule="auto"/>
        <w:rPr>
          <w:sz w:val="20"/>
          <w:szCs w:val="20"/>
          <w:color w:val="auto"/>
        </w:rPr>
      </w:pPr>
      <w:r>
        <w:rPr>
          <w:rFonts w:ascii="Arial" w:cs="Arial" w:eastAsia="Arial" w:hAnsi="Arial"/>
          <w:sz w:val="18"/>
          <w:szCs w:val="18"/>
          <w:color w:val="auto"/>
        </w:rPr>
        <w:t xml:space="preserve">(1) Additionally, we own two participating mortgages totaling approximately $30.4 million secured by multiple buildings in Manayunk, Pennsylvania. </w:t>
      </w:r>
      <w:r>
        <w:rPr>
          <w:rFonts w:ascii="Arial" w:cs="Arial" w:eastAsia="Arial" w:hAnsi="Arial"/>
          <w:sz w:val="18"/>
          <w:szCs w:val="18"/>
          <w:b w:val="1"/>
          <w:bCs w:val="1"/>
          <w:color w:val="auto"/>
        </w:rPr>
        <w:t>Leases, Lease Terms and 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-427355</wp:posOffset>
            </wp:positionV>
            <wp:extent cx="3215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right="100"/>
        <w:spacing w:after="0" w:line="338"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pre-established rental rates that often include fixed rent increases, consumer price index adjustments or other market rate adjustments from the prior base 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 on residential units are generally for a period of one year or less and, in 2018, represented approximately 8.5% of total rental income.</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2018 for each of the 10 years beginning with 2019 and after 2028 in the aggregate assuming that none of the tenants exercise future renewal options. Annualized base rents reflect in-place contractual rents as of December 31, 2018.</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Leased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Annualized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Square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Leased Square</w:t>
            </w:r>
          </w:p>
        </w:tc>
        <w:tc>
          <w:tcPr>
            <w:tcW w:w="2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Annualized Base Rent</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Footage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Represented by Expiring</w:t>
            </w:r>
          </w:p>
        </w:tc>
        <w:tc>
          <w:tcPr>
            <w:tcW w:w="0" w:type="dxa"/>
            <w:vAlign w:val="bottom"/>
          </w:tcPr>
          <w:p>
            <w:pPr>
              <w:spacing w:after="0"/>
              <w:rPr>
                <w:sz w:val="1"/>
                <w:szCs w:val="1"/>
                <w:color w:val="auto"/>
              </w:rPr>
            </w:pPr>
          </w:p>
        </w:tc>
      </w:tr>
      <w:tr>
        <w:trPr>
          <w:trHeight w:val="192"/>
        </w:trPr>
        <w:tc>
          <w:tcPr>
            <w:tcW w:w="460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Expiring</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50"/>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44,352,000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2,223,000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59,515,000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2,557,000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76,611,000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3,036,000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78,507,000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2,620,000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75,880,000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2,895,000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69,640,000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1,417,000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41,728,000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942,000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31,996,000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49,308,000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1,132,000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36,245,000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2,761,000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61,278,000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22,510,000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625,060,000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2018, we signed leases for a total of 1,972,000 square feet of retail space including 1,874,000 square feet of comparable space leases (leases for which there was a prior tenant) at an average rental increase of 12% on a cash basis and 23% on a straight-line basis. New leases for comparable spaces were signed for 796,000 square feet at an average rental increase of 25% on a cash basis and 38% on a straight-line basis. Renewals for comparable spaces were signed for 1,078,000 square feet at an average rental increase of 4% on a cash basis and 13% on a straight-line basis. Tenant improvements and incentives for comparable spaces were $27.09 per square foot, of which, $61.02 per square foot was for new leases and $2.02 per square foot was for renewals in 2018.</w:t>
      </w:r>
    </w:p>
    <w:p>
      <w:pPr>
        <w:spacing w:after="0" w:line="2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During 2017, we signed leases for a total of 1,793,000 square feet of retail space including 1,622,000 square feet of comparable space leases (leases for which there was a prior tenant) at an average rental increase of 13% on a cash basis and 26% on a straight-line basis. New leases for comparable spaces were signed for 773,000 square feet at an average rental increase of 19% on a cash basis and 32% on a straight-line basis. Renewals for comparable spaces were signed for 848,000 square feet at an average rental increase of 9% on a cash basis and 21% on a straight-line basis. Tenant improvements and incentives for comparable spaces were $36.00 per square foot, of which, $62.11 per square foot was for new leases and $12.18 was for renewal leases in 2017.</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2018 generally become effective over the following two years though some may not become effective until 2021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Historically, we have executed comparable space leases for 1.2 to 1.7 million square feet of retail space each year and expect the volume for 2019 will be in line with our historical averages with overall positive increases in rental income. However,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2018. Except as otherwise noted, we are the sole owner of our real estate projects. Principal tenants are the largest tenants in the project based on square feet leased or are tenants important to a project’s success due to their ability to attract retail customers.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Percentage</w:t>
            </w:r>
          </w:p>
        </w:tc>
        <w:tc>
          <w:tcPr>
            <w:tcW w:w="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California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Azalea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223,000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$27.95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South Gate, CA 90280(5)(9)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Bell Gardens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1990, 2003,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2017/2018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330,000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$22.02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Bell Gardens, CA 90201(4)(5)(9)</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Colorado Blvd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1905-1988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1996/1998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62,000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$46.85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2"/>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Pasadena, CA 91103(4)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12 Units</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5"/>
                <w:szCs w:val="15"/>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Crow Canyon Commons</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1980, 1998,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2005/2007</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241,000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$28.48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San Ramon, CA 94583</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1994-2001,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441,000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$18.59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Pak-N-Save</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Emeryville &amp; Oakland, CA 94608</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2011, 2012</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Escondido Promenade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1996/2010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$29.62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Escondido, CA 92029(5)</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Fourth Street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1948, 1975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71,000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$28.98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55%</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CB2</w:t>
            </w: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Berkeley, CA 94710(5)</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Ingram Book Group</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Hastings Ranch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1958, 1984,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273,000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$7.22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Pasadena, CA 91107(4)</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2006, 2007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Hermosa Avenue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1922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23,000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$49.82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Hermosa Beach, CA 90254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Hollywood Blvd</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1929, 1991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179,000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$34.06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73%</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Hollywood, CA 90028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 La Land</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Jordan Downs Plaza</w:t>
            </w:r>
          </w:p>
        </w:tc>
        <w:tc>
          <w:tcPr>
            <w:tcW w:w="116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N/A</w:t>
            </w: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N/A</w:t>
            </w:r>
          </w:p>
        </w:tc>
        <w:tc>
          <w:tcPr>
            <w:tcW w:w="124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rPr>
              <w:t>N/A</w:t>
            </w:r>
          </w:p>
        </w:tc>
        <w:tc>
          <w:tcPr>
            <w:tcW w:w="11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Los Angeles County, CA 90002(4)(5)(6)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Kings Court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$40.29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Lunardi's</w:t>
            </w:r>
          </w:p>
        </w:tc>
        <w:tc>
          <w:tcPr>
            <w:tcW w:w="0" w:type="dxa"/>
            <w:vAlign w:val="bottom"/>
          </w:tcPr>
          <w:p>
            <w:pPr>
              <w:spacing w:after="0"/>
              <w:rPr>
                <w:sz w:val="1"/>
                <w:szCs w:val="1"/>
                <w:color w:val="auto"/>
              </w:rPr>
            </w:pPr>
          </w:p>
        </w:tc>
      </w:tr>
      <w:tr>
        <w:trPr>
          <w:trHeight w:val="194"/>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Los Gatos, CA 95032(4)(7)</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La Alameda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245,000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$23.39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88%</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Walnut Park, CA 90255(4)(8)(9)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Old Town Center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1962, 1998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$41.98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86%</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Los Gatos, CA 95030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Olivo at Mission Hills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136,000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$30.71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Mission Hills, CA 91345(5)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Plaza Del Sol</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$23.32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94"/>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South El Monte, CA 91733(5)(9)</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Plaza El Segundo / The Point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4"/>
              </w:rPr>
              <w:t>2006-2007, 2016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2011/2013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495,000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$45.49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El Segundo, CA 90245(5)(9)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Plaza Pacoima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204,000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$14.36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Costco</w:t>
            </w:r>
          </w:p>
        </w:tc>
        <w:tc>
          <w:tcPr>
            <w:tcW w:w="0" w:type="dxa"/>
            <w:vAlign w:val="bottom"/>
          </w:tcPr>
          <w:p>
            <w:pPr>
              <w:spacing w:after="0"/>
              <w:rPr>
                <w:sz w:val="1"/>
                <w:szCs w:val="1"/>
                <w:color w:val="auto"/>
              </w:rPr>
            </w:pPr>
          </w:p>
        </w:tc>
      </w:tr>
      <w:tr>
        <w:trPr>
          <w:trHeight w:val="194"/>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Pacoima, CA 91331(5)</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San Antonio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376,000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$14.74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Mountain View, CA 94040(4)(7)</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1964-1965,</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Walmart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1974-1975,</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1995-1997</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7"/>
                <w:shd w:val="clear" w:color="auto" w:fill="CCEEFF"/>
              </w:rPr>
              <w:t>Santana Row</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2002, 2009,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884,000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$53.64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Crate &amp; Barrel H&amp;M Container Store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6"/>
                <w:shd w:val="clear" w:color="auto" w:fill="CCEEFF"/>
              </w:rPr>
              <w:t>San Jose, CA</w:t>
            </w:r>
          </w:p>
        </w:tc>
        <w:tc>
          <w:tcPr>
            <w:tcW w:w="2180" w:type="dxa"/>
            <w:vAlign w:val="bottom"/>
            <w:shd w:val="clear" w:color="auto" w:fill="CCEEFF"/>
          </w:tcPr>
          <w:p>
            <w:pPr>
              <w:jc w:val="right"/>
              <w:ind w:right="1528"/>
              <w:spacing w:after="0" w:line="149" w:lineRule="exact"/>
              <w:rPr>
                <w:sz w:val="20"/>
                <w:szCs w:val="20"/>
                <w:color w:val="auto"/>
              </w:rPr>
            </w:pPr>
            <w:r>
              <w:rPr>
                <w:rFonts w:ascii="Arial" w:cs="Arial" w:eastAsia="Arial" w:hAnsi="Arial"/>
                <w:sz w:val="14"/>
                <w:szCs w:val="14"/>
                <w:color w:val="auto"/>
                <w:w w:val="99"/>
                <w:shd w:val="clear" w:color="auto" w:fill="CCEEFF"/>
              </w:rPr>
              <w:t>95128(4)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shd w:val="clear" w:color="auto" w:fill="CCEEFF"/>
              </w:rPr>
              <w:t>Splunk</w:t>
            </w:r>
          </w:p>
        </w:tc>
        <w:tc>
          <w:tcPr>
            <w:tcW w:w="1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78"/>
                <w:shd w:val="clear" w:color="auto" w:fill="CCEEFF"/>
              </w:rPr>
              <w:t>Multiple</w:t>
            </w:r>
          </w:p>
        </w:tc>
        <w:tc>
          <w:tcPr>
            <w:tcW w:w="1960" w:type="dxa"/>
            <w:vAlign w:val="bottom"/>
            <w:shd w:val="clear" w:color="auto" w:fill="CCEEFF"/>
          </w:tcPr>
          <w:p>
            <w:pPr>
              <w:ind w:left="120"/>
              <w:spacing w:after="0"/>
              <w:rPr>
                <w:sz w:val="20"/>
                <w:szCs w:val="20"/>
                <w:color w:val="auto"/>
              </w:rPr>
            </w:pPr>
            <w:r>
              <w:rPr>
                <w:rFonts w:ascii="Arial" w:cs="Arial" w:eastAsia="Arial" w:hAnsi="Arial"/>
                <w:sz w:val="14"/>
                <w:szCs w:val="14"/>
                <w:color w:val="auto"/>
                <w:shd w:val="clear" w:color="auto" w:fill="CCEEFF"/>
              </w:rPr>
              <w:t>Restaurants</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6" w:right="2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2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7"/>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Santana Row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1997/2012</w:t>
            </w:r>
          </w:p>
        </w:tc>
        <w:tc>
          <w:tcPr>
            <w:tcW w:w="120" w:type="dxa"/>
            <w:vAlign w:val="bottom"/>
          </w:tcPr>
          <w:p>
            <w:pPr>
              <w:spacing w:after="0"/>
              <w:rPr>
                <w:sz w:val="13"/>
                <w:szCs w:val="13"/>
                <w:color w:val="auto"/>
              </w:rPr>
            </w:pPr>
          </w:p>
        </w:tc>
        <w:tc>
          <w:tcPr>
            <w:tcW w:w="136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1"/>
              </w:rPr>
              <w:t>662 units</w:t>
            </w:r>
          </w:p>
        </w:tc>
        <w:tc>
          <w:tcPr>
            <w:tcW w:w="124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8"/>
          </w:tcPr>
          <w:p>
            <w:pPr>
              <w:ind w:left="40"/>
              <w:spacing w:after="0"/>
              <w:rPr>
                <w:sz w:val="20"/>
                <w:szCs w:val="20"/>
                <w:color w:val="auto"/>
              </w:rPr>
            </w:pPr>
            <w:r>
              <w:rPr>
                <w:rFonts w:ascii="Arial" w:cs="Arial" w:eastAsia="Arial" w:hAnsi="Arial"/>
                <w:sz w:val="14"/>
                <w:szCs w:val="14"/>
                <w:color w:val="auto"/>
              </w:rPr>
              <w:t>San Jose, CA 95128</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Sylmar Towne Center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$15.29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Food4Less</w:t>
            </w:r>
          </w:p>
        </w:tc>
        <w:tc>
          <w:tcPr>
            <w:tcW w:w="0" w:type="dxa"/>
            <w:vAlign w:val="bottom"/>
          </w:tcPr>
          <w:p>
            <w:pPr>
              <w:spacing w:after="0"/>
              <w:rPr>
                <w:sz w:val="1"/>
                <w:szCs w:val="1"/>
                <w:color w:val="auto"/>
              </w:rPr>
            </w:pPr>
          </w:p>
        </w:tc>
      </w:tr>
      <w:tr>
        <w:trPr>
          <w:trHeight w:val="194"/>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Sylmar, CA 91342(5)(9)</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1888-2000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1996-2000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209,000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$87.34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Adidas</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Santa Monica, CA 90401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63"/>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1960-1966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652,000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$19.34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Walmart Neighborhood Market</w:t>
            </w:r>
          </w:p>
        </w:tc>
        <w:tc>
          <w:tcPr>
            <w:tcW w:w="0" w:type="dxa"/>
            <w:vAlign w:val="bottom"/>
          </w:tcPr>
          <w:p>
            <w:pPr>
              <w:spacing w:after="0"/>
              <w:rPr>
                <w:sz w:val="1"/>
                <w:szCs w:val="1"/>
                <w:color w:val="auto"/>
              </w:rPr>
            </w:pPr>
          </w:p>
        </w:tc>
      </w:tr>
      <w:tr>
        <w:trPr>
          <w:trHeight w:val="149"/>
        </w:trPr>
        <w:tc>
          <w:tcPr>
            <w:tcW w:w="310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rPr>
              <w:t>San Jose, CA 95129</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Nike Factory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2"/>
        </w:trPr>
        <w:tc>
          <w:tcPr>
            <w:tcW w:w="3100" w:type="dxa"/>
            <w:vAlign w:val="bottom"/>
            <w:gridSpan w:val="8"/>
          </w:tcPr>
          <w:p>
            <w:pPr>
              <w:ind w:left="40"/>
              <w:spacing w:after="0"/>
              <w:rPr>
                <w:sz w:val="20"/>
                <w:szCs w:val="20"/>
                <w:color w:val="auto"/>
              </w:rPr>
            </w:pPr>
            <w:r>
              <w:rPr>
                <w:rFonts w:ascii="Arial" w:cs="Arial" w:eastAsia="Arial" w:hAnsi="Arial"/>
                <w:sz w:val="14"/>
                <w:szCs w:val="14"/>
                <w:b w:val="1"/>
                <w:bCs w:val="1"/>
                <w:color w:val="auto"/>
              </w:rPr>
              <w:t>Connecticut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Bristol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266,000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$13.93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94"/>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Bristol, CT 06010</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Darien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1920-2009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2013/2018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95,000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$30.46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Darien, CT 06820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6 Units</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2"/>
              </w:rPr>
              <w:t>67%</w:t>
            </w: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Greenwich Avenue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$70.15</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94"/>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Greenwich Avenue, CT 06830</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00" w:type="dxa"/>
            <w:vAlign w:val="bottom"/>
            <w:gridSpan w:val="8"/>
          </w:tcPr>
          <w:p>
            <w:pPr>
              <w:ind w:left="40"/>
              <w:spacing w:after="0"/>
              <w:rPr>
                <w:sz w:val="20"/>
                <w:szCs w:val="20"/>
                <w:color w:val="auto"/>
              </w:rPr>
            </w:pPr>
            <w:r>
              <w:rPr>
                <w:rFonts w:ascii="Arial" w:cs="Arial" w:eastAsia="Arial" w:hAnsi="Arial"/>
                <w:sz w:val="14"/>
                <w:szCs w:val="14"/>
                <w:b w:val="1"/>
                <w:bCs w:val="1"/>
                <w:color w:val="auto"/>
              </w:rPr>
              <w:t>District of Columbia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Friendship Center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2001</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119,000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$30.13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rPr>
              <w:t>Washington, DC 20015</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Sam's Park &amp; Shop</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1930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50,000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$39.79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89%</w:t>
            </w: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8"/>
          </w:tcPr>
          <w:p>
            <w:pPr>
              <w:ind w:left="40"/>
              <w:spacing w:after="0"/>
              <w:rPr>
                <w:sz w:val="20"/>
                <w:szCs w:val="20"/>
                <w:color w:val="auto"/>
              </w:rPr>
            </w:pPr>
            <w:r>
              <w:rPr>
                <w:rFonts w:ascii="Arial" w:cs="Arial" w:eastAsia="Arial" w:hAnsi="Arial"/>
                <w:sz w:val="14"/>
                <w:szCs w:val="14"/>
                <w:color w:val="auto"/>
              </w:rPr>
              <w:t>Washington, DC 20008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Florida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CocoWalk</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1990/1994,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2015-2017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170,000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$26.48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74%</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Coconut Grove, FL 33133(5)(12)</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1922-1973</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Cinepolis Theaters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Youfit Health Club</w:t>
            </w:r>
          </w:p>
        </w:tc>
        <w:tc>
          <w:tcPr>
            <w:tcW w:w="0" w:type="dxa"/>
            <w:vAlign w:val="bottom"/>
          </w:tcPr>
          <w:p>
            <w:pPr>
              <w:spacing w:after="0"/>
              <w:rPr>
                <w:sz w:val="1"/>
                <w:szCs w:val="1"/>
                <w:color w:val="auto"/>
              </w:rPr>
            </w:pPr>
          </w:p>
        </w:tc>
      </w:tr>
      <w:tr>
        <w:trPr>
          <w:trHeight w:val="163"/>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Del Mar Village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1982, 1994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2008/2014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191,000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$18.53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49"/>
        </w:trPr>
        <w:tc>
          <w:tcPr>
            <w:tcW w:w="310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rPr>
              <w:t>Boca Raton, FL 33433</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The Shops at Sunset Place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523,000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$18.74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74%</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South Miami, FL 33143(5)(9)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Restoration Hardware Outlet</w:t>
            </w:r>
          </w:p>
        </w:tc>
        <w:tc>
          <w:tcPr>
            <w:tcW w:w="0" w:type="dxa"/>
            <w:vAlign w:val="bottom"/>
          </w:tcPr>
          <w:p>
            <w:pPr>
              <w:spacing w:after="0"/>
              <w:rPr>
                <w:sz w:val="1"/>
                <w:szCs w:val="1"/>
                <w:color w:val="auto"/>
              </w:rPr>
            </w:pPr>
          </w:p>
        </w:tc>
      </w:tr>
      <w:tr>
        <w:trPr>
          <w:trHeight w:val="163"/>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1989, 2017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2011/2014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426,000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$24.21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rPr>
              <w:t>Davie, FL 33324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62"/>
        </w:trPr>
        <w:tc>
          <w:tcPr>
            <w:tcW w:w="3100" w:type="dxa"/>
            <w:vAlign w:val="bottom"/>
            <w:gridSpan w:val="8"/>
          </w:tcPr>
          <w:p>
            <w:pPr>
              <w:ind w:left="40"/>
              <w:spacing w:after="0"/>
              <w:rPr>
                <w:sz w:val="20"/>
                <w:szCs w:val="20"/>
                <w:color w:val="auto"/>
              </w:rPr>
            </w:pPr>
            <w:r>
              <w:rPr>
                <w:rFonts w:ascii="Arial" w:cs="Arial" w:eastAsia="Arial" w:hAnsi="Arial"/>
                <w:sz w:val="14"/>
                <w:szCs w:val="14"/>
                <w:b w:val="1"/>
                <w:bCs w:val="1"/>
                <w:color w:val="auto"/>
              </w:rPr>
              <w:t>Illinois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Crossroads</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168,000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$22.13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90%</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9"/>
        </w:trPr>
        <w:tc>
          <w:tcPr>
            <w:tcW w:w="3100" w:type="dxa"/>
            <w:vAlign w:val="bottom"/>
            <w:gridSpan w:val="8"/>
            <w:shd w:val="clear" w:color="auto" w:fill="CCEEFF"/>
          </w:tcPr>
          <w:p>
            <w:pPr>
              <w:ind w:left="40"/>
              <w:spacing w:after="0" w:line="149" w:lineRule="exact"/>
              <w:rPr>
                <w:sz w:val="20"/>
                <w:szCs w:val="20"/>
                <w:color w:val="auto"/>
              </w:rPr>
            </w:pPr>
            <w:r>
              <w:rPr>
                <w:rFonts w:ascii="Arial" w:cs="Arial" w:eastAsia="Arial" w:hAnsi="Arial"/>
                <w:sz w:val="14"/>
                <w:szCs w:val="14"/>
                <w:color w:val="auto"/>
              </w:rPr>
              <w:t>Highland Park, IL 60035</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Binny's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Ferguson's Bath, Kitchen, &amp; Lighting</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Gallery</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Finley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278,000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$15.52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Downers Grove, IL 60515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Petsmart Portillo's</w:t>
            </w:r>
          </w:p>
        </w:tc>
        <w:tc>
          <w:tcPr>
            <w:tcW w:w="0" w:type="dxa"/>
            <w:vAlign w:val="bottom"/>
          </w:tcPr>
          <w:p>
            <w:pPr>
              <w:spacing w:after="0"/>
              <w:rPr>
                <w:sz w:val="1"/>
                <w:szCs w:val="1"/>
                <w:color w:val="auto"/>
              </w:rPr>
            </w:pPr>
          </w:p>
        </w:tc>
      </w:tr>
      <w:tr>
        <w:trPr>
          <w:trHeight w:val="163"/>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Garden Market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$13.81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Mariano's Fresh Market</w:t>
            </w:r>
          </w:p>
        </w:tc>
        <w:tc>
          <w:tcPr>
            <w:tcW w:w="0" w:type="dxa"/>
            <w:vAlign w:val="bottom"/>
          </w:tcPr>
          <w:p>
            <w:pPr>
              <w:spacing w:after="0"/>
              <w:rPr>
                <w:sz w:val="1"/>
                <w:szCs w:val="1"/>
                <w:color w:val="auto"/>
              </w:rPr>
            </w:pPr>
          </w:p>
        </w:tc>
      </w:tr>
      <w:tr>
        <w:trPr>
          <w:trHeight w:val="194"/>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Western Springs, IL 60558</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Riverpoint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1989, 2012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0"/>
              </w:rPr>
              <w:t>211,000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$21.07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Chicago, IL 60614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8"/>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Maryland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6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Bethesda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1945-1991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1993-2006/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536,000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$52.99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8"/>
          </w:tcPr>
          <w:p>
            <w:pPr>
              <w:ind w:left="40"/>
              <w:spacing w:after="0" w:line="149" w:lineRule="exact"/>
              <w:rPr>
                <w:sz w:val="20"/>
                <w:szCs w:val="20"/>
                <w:color w:val="auto"/>
              </w:rPr>
            </w:pPr>
            <w:r>
              <w:rPr>
                <w:rFonts w:ascii="Arial" w:cs="Arial" w:eastAsia="Arial" w:hAnsi="Arial"/>
                <w:sz w:val="14"/>
                <w:szCs w:val="14"/>
                <w:color w:val="auto"/>
              </w:rPr>
              <w:t>Bethesda, MD 20814(4)</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2001, 2008</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2008/2010</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Apple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63"/>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Bethesda Row Residential</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180 units</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color w:val="auto"/>
              </w:rPr>
              <w:t>Bethesda, MD 20814</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2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325,000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$40.63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The Fresh Market</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Rockville, MD 20852(5)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Saks Fifth Avenue Off 5th</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Congressional Plaza Residential</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2003, 2016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1"/>
              </w:rPr>
              <w:t>194 units</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500"/>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Rockville, MD 20852(5)</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Courthouse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38,000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$23.86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70%</w:t>
            </w: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Rockville, MD 20852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Federal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250,000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$36.67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Rockville, MD 20852</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Free State Shopping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264,000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$19.38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Bowie, MD 20715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Gaithersburg Square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208,000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$28.30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Gaithersburg, MD 20878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Ashley Furniture HomeStore</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Governor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243,000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$19.90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Glen Burnie, MD 21961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Laurel</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1986</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389,000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$22.84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Laurel, MD 20707</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1960-1979,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2011/2013</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367,000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$31.55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Rockville, MD 20852(5)(9)</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1996, 2011</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Bob's Discount Furniture</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Perring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396,000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$15.30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Baltimore, MD 21134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Pike &amp; Rose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1963, 2014,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1"/>
              </w:rPr>
              <w:t>1982/2007/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441,000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$39.67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iPic Theater</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North Bethesda, MD 20852(11)</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Porsche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Uniqlo</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Pinstripes Multiple Restaurants</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Pike &amp; Rose Residential</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2014, 2016,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1982/2007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1"/>
              </w:rPr>
              <w:t>765 units</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500"/>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 Bethesda, MD 20852(11)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117,000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$30.74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Silver Spring, MD 20906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Quince Orchard</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267,000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$24.13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Gaithersburg, MD 20877(4)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Rockville Town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2006-2007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2006/2007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186,000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$30.82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Dawson's Market</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Rockville, MD 20852(4)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Rollingwood Apartments</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1"/>
              </w:rPr>
              <w:t>282 units</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308"/>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Silver Spring, MD 20910(9)</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THE AVENUE at White Marsh</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314,000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$25.51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Baltimore, MD 21236(7)(9)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Shoppes at Nottingham Square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2005-2006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32,000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$48.16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Towson Residential (Flats @703)</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4,000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$71.41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1"/>
              </w:rPr>
              <w:t>105 units</w:t>
            </w: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rPr>
              <w:t>N/A</w:t>
            </w: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White Marsh Other</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70,000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$30.82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White Marsh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80,000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$23.66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83,000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$103.39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Bethesda, MD 20814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2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00" w:type="dxa"/>
            <w:vAlign w:val="bottom"/>
            <w:gridSpan w:val="7"/>
          </w:tcPr>
          <w:p>
            <w:pPr>
              <w:ind w:left="40"/>
              <w:spacing w:after="0"/>
              <w:rPr>
                <w:sz w:val="20"/>
                <w:szCs w:val="20"/>
                <w:color w:val="auto"/>
              </w:rPr>
            </w:pPr>
            <w:r>
              <w:rPr>
                <w:rFonts w:ascii="Arial" w:cs="Arial" w:eastAsia="Arial" w:hAnsi="Arial"/>
                <w:sz w:val="14"/>
                <w:szCs w:val="14"/>
                <w:b w:val="1"/>
                <w:bCs w:val="1"/>
                <w:color w:val="auto"/>
              </w:rPr>
              <w:t>Massachusetts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Assembly Row/</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2005, 2014,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2005-2011/</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881,000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$28.07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Assembly Square Marketplace</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Somerville, MA 02145(11)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LEGOLAND Discovery Center</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Multiple Restaurants &amp; Outlets</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Assembly Row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2"/>
              </w:rPr>
              <w:t>2005-2011</w:t>
            </w:r>
          </w:p>
        </w:tc>
        <w:tc>
          <w:tcPr>
            <w:tcW w:w="120" w:type="dxa"/>
            <w:vAlign w:val="bottom"/>
          </w:tcPr>
          <w:p>
            <w:pPr>
              <w:spacing w:after="0"/>
              <w:rPr>
                <w:sz w:val="13"/>
                <w:szCs w:val="13"/>
                <w:color w:val="auto"/>
              </w:rPr>
            </w:pPr>
          </w:p>
        </w:tc>
        <w:tc>
          <w:tcPr>
            <w:tcW w:w="136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1"/>
              </w:rPr>
              <w:t>447 units</w:t>
            </w:r>
          </w:p>
        </w:tc>
        <w:tc>
          <w:tcPr>
            <w:tcW w:w="124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7"/>
          </w:tcPr>
          <w:p>
            <w:pPr>
              <w:ind w:left="40"/>
              <w:spacing w:after="0"/>
              <w:rPr>
                <w:sz w:val="20"/>
                <w:szCs w:val="20"/>
                <w:color w:val="auto"/>
              </w:rPr>
            </w:pPr>
            <w:r>
              <w:rPr>
                <w:rFonts w:ascii="Arial" w:cs="Arial" w:eastAsia="Arial" w:hAnsi="Arial"/>
                <w:sz w:val="14"/>
                <w:szCs w:val="14"/>
                <w:color w:val="auto"/>
              </w:rPr>
              <w:t>Somerville, MA 02145(11)</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Campus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116,000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$16.06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94"/>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Bridgewater, MA 02324</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1962-1969,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2006-2008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222,000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$12.71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8"/>
        </w:trPr>
        <w:tc>
          <w:tcPr>
            <w:tcW w:w="3100" w:type="dxa"/>
            <w:vAlign w:val="bottom"/>
            <w:gridSpan w:val="7"/>
          </w:tcPr>
          <w:p>
            <w:pPr>
              <w:ind w:left="40"/>
              <w:spacing w:after="0"/>
              <w:rPr>
                <w:sz w:val="20"/>
                <w:szCs w:val="20"/>
                <w:color w:val="auto"/>
              </w:rPr>
            </w:pPr>
            <w:r>
              <w:rPr>
                <w:rFonts w:ascii="Arial" w:cs="Arial" w:eastAsia="Arial" w:hAnsi="Arial"/>
                <w:sz w:val="14"/>
                <w:szCs w:val="14"/>
                <w:color w:val="auto"/>
              </w:rPr>
              <w:t>Chelsea, MA 02150(9)</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Dedham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1993/2016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245,000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$16.81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94"/>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Dedham, MA 02026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Linden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1960, 2008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223,000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$48.75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2"/>
        </w:trPr>
        <w:tc>
          <w:tcPr>
            <w:tcW w:w="3100" w:type="dxa"/>
            <w:vAlign w:val="bottom"/>
            <w:gridSpan w:val="7"/>
          </w:tcPr>
          <w:p>
            <w:pPr>
              <w:ind w:left="40"/>
              <w:spacing w:after="0"/>
              <w:rPr>
                <w:sz w:val="20"/>
                <w:szCs w:val="20"/>
                <w:color w:val="auto"/>
              </w:rPr>
            </w:pPr>
            <w:r>
              <w:rPr>
                <w:rFonts w:ascii="Arial" w:cs="Arial" w:eastAsia="Arial" w:hAnsi="Arial"/>
                <w:sz w:val="14"/>
                <w:szCs w:val="14"/>
                <w:color w:val="auto"/>
              </w:rPr>
              <w:t>Wellesley, MA 02481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7 Units</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5"/>
                <w:szCs w:val="15"/>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North Dartmouth</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48,000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$15.31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94"/>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North Dartmouth, MA 02747</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Queen Anne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149,000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$17.82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Big Y Foods</w:t>
            </w:r>
          </w:p>
        </w:tc>
        <w:tc>
          <w:tcPr>
            <w:tcW w:w="0" w:type="dxa"/>
            <w:vAlign w:val="bottom"/>
          </w:tcPr>
          <w:p>
            <w:pPr>
              <w:spacing w:after="0"/>
              <w:rPr>
                <w:sz w:val="1"/>
                <w:szCs w:val="1"/>
                <w:color w:val="auto"/>
              </w:rPr>
            </w:pPr>
          </w:p>
        </w:tc>
      </w:tr>
      <w:tr>
        <w:trPr>
          <w:trHeight w:val="149"/>
        </w:trPr>
        <w:tc>
          <w:tcPr>
            <w:tcW w:w="31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Norwell, MA 02061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Saugus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169,000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$16.77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94"/>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Saugus, MA 01906</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00" w:type="dxa"/>
            <w:vAlign w:val="bottom"/>
            <w:gridSpan w:val="7"/>
          </w:tcPr>
          <w:p>
            <w:pPr>
              <w:ind w:left="40"/>
              <w:spacing w:after="0"/>
              <w:rPr>
                <w:sz w:val="20"/>
                <w:szCs w:val="20"/>
                <w:color w:val="auto"/>
              </w:rPr>
            </w:pPr>
            <w:r>
              <w:rPr>
                <w:rFonts w:ascii="Arial" w:cs="Arial" w:eastAsia="Arial" w:hAnsi="Arial"/>
                <w:sz w:val="14"/>
                <w:szCs w:val="14"/>
                <w:b w:val="1"/>
                <w:bCs w:val="1"/>
                <w:color w:val="auto"/>
              </w:rPr>
              <w:t>Michigan</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Gratiot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217,000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$12.32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Roseville, MI 48066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2"/>
        </w:trPr>
        <w:tc>
          <w:tcPr>
            <w:tcW w:w="3100" w:type="dxa"/>
            <w:vAlign w:val="bottom"/>
            <w:gridSpan w:val="7"/>
          </w:tcPr>
          <w:p>
            <w:pPr>
              <w:ind w:left="40"/>
              <w:spacing w:after="0"/>
              <w:rPr>
                <w:sz w:val="20"/>
                <w:szCs w:val="20"/>
                <w:color w:val="auto"/>
              </w:rPr>
            </w:pPr>
            <w:r>
              <w:rPr>
                <w:rFonts w:ascii="Arial" w:cs="Arial" w:eastAsia="Arial" w:hAnsi="Arial"/>
                <w:sz w:val="14"/>
                <w:szCs w:val="14"/>
                <w:b w:val="1"/>
                <w:bCs w:val="1"/>
                <w:color w:val="auto"/>
              </w:rPr>
              <w:t>New Jersey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Brick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406,000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$22.73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78%</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Brick Township, NJ 08723(4)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Ulta L.A. Fitness</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Brook 35</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1986, 2004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99,000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$36.72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9"/>
        </w:trPr>
        <w:tc>
          <w:tcPr>
            <w:tcW w:w="31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Sea Grit, NJ 08750(5)(7)(9)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Ellisburg</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1992</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$16.00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Cherry Hill, NJ 08034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Mercer Mall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2003/2017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550,000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$24.53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49"/>
        </w:trPr>
        <w:tc>
          <w:tcPr>
            <w:tcW w:w="31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Lawrenceville, NJ 08648(4)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The Grove at Shrewsbury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1988, 1993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192,000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$46.88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Shrewsbury, NJ 07702(5)(7)(9)</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Troy Hills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0"/>
              </w:rPr>
              <w:t>211,000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$22.48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8"/>
        </w:trPr>
        <w:tc>
          <w:tcPr>
            <w:tcW w:w="3100" w:type="dxa"/>
            <w:vAlign w:val="bottom"/>
            <w:gridSpan w:val="7"/>
          </w:tcPr>
          <w:p>
            <w:pPr>
              <w:ind w:left="40"/>
              <w:spacing w:after="0"/>
              <w:rPr>
                <w:sz w:val="20"/>
                <w:szCs w:val="20"/>
                <w:color w:val="auto"/>
              </w:rPr>
            </w:pPr>
            <w:r>
              <w:rPr>
                <w:rFonts w:ascii="Arial" w:cs="Arial" w:eastAsia="Arial" w:hAnsi="Arial"/>
                <w:sz w:val="14"/>
                <w:szCs w:val="14"/>
                <w:color w:val="auto"/>
              </w:rPr>
              <w:t>Parsippany-Troy, NJ 07054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L.A. Fitness Michaels</w:t>
            </w:r>
          </w:p>
        </w:tc>
        <w:tc>
          <w:tcPr>
            <w:tcW w:w="0" w:type="dxa"/>
            <w:vAlign w:val="bottom"/>
          </w:tcPr>
          <w:p>
            <w:pPr>
              <w:spacing w:after="0"/>
              <w:rPr>
                <w:sz w:val="1"/>
                <w:szCs w:val="1"/>
                <w:color w:val="auto"/>
              </w:rPr>
            </w:pPr>
          </w:p>
        </w:tc>
      </w:tr>
      <w:tr>
        <w:trPr>
          <w:trHeight w:val="168"/>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New York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0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Fresh Meadows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1949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404,000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$34.47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Island of Gold</w:t>
            </w:r>
          </w:p>
        </w:tc>
        <w:tc>
          <w:tcPr>
            <w:tcW w:w="0" w:type="dxa"/>
            <w:vAlign w:val="bottom"/>
          </w:tcPr>
          <w:p>
            <w:pPr>
              <w:spacing w:after="0"/>
              <w:rPr>
                <w:sz w:val="1"/>
                <w:szCs w:val="1"/>
                <w:color w:val="auto"/>
              </w:rPr>
            </w:pPr>
          </w:p>
        </w:tc>
      </w:tr>
      <w:tr>
        <w:trPr>
          <w:trHeight w:val="149"/>
        </w:trPr>
        <w:tc>
          <w:tcPr>
            <w:tcW w:w="31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Queens, NY 11365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Greenlawn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1975, 2004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$18.87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94"/>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Greenlawn, NY 11743</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Hauppauge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134,000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$30.40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8"/>
        </w:trPr>
        <w:tc>
          <w:tcPr>
            <w:tcW w:w="3100" w:type="dxa"/>
            <w:vAlign w:val="bottom"/>
            <w:gridSpan w:val="7"/>
          </w:tcPr>
          <w:p>
            <w:pPr>
              <w:ind w:left="40"/>
              <w:spacing w:after="0"/>
              <w:rPr>
                <w:sz w:val="20"/>
                <w:szCs w:val="20"/>
                <w:color w:val="auto"/>
              </w:rPr>
            </w:pPr>
            <w:r>
              <w:rPr>
                <w:rFonts w:ascii="Arial" w:cs="Arial" w:eastAsia="Arial" w:hAnsi="Arial"/>
                <w:sz w:val="14"/>
                <w:szCs w:val="14"/>
                <w:color w:val="auto"/>
              </w:rPr>
              <w:t>Hauppauge, NY 11788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63"/>
        </w:trPr>
        <w:tc>
          <w:tcPr>
            <w:tcW w:w="31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Huntington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1988/2007/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277,000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$24.35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9"/>
        </w:trPr>
        <w:tc>
          <w:tcPr>
            <w:tcW w:w="3100" w:type="dxa"/>
            <w:vAlign w:val="bottom"/>
            <w:gridSpan w:val="7"/>
            <w:shd w:val="clear" w:color="auto" w:fill="CCEEFF"/>
          </w:tcPr>
          <w:p>
            <w:pPr>
              <w:ind w:left="40"/>
              <w:spacing w:after="0" w:line="149" w:lineRule="exact"/>
              <w:rPr>
                <w:sz w:val="20"/>
                <w:szCs w:val="20"/>
                <w:color w:val="auto"/>
              </w:rPr>
            </w:pPr>
            <w:r>
              <w:rPr>
                <w:rFonts w:ascii="Arial" w:cs="Arial" w:eastAsia="Arial" w:hAnsi="Arial"/>
                <w:sz w:val="14"/>
                <w:szCs w:val="14"/>
                <w:color w:val="auto"/>
              </w:rPr>
              <w:t>Huntington, NY 11746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57"/>
        </w:trPr>
        <w:tc>
          <w:tcPr>
            <w:tcW w:w="31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1980, 2007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74,000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$28.07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2"/>
        </w:trPr>
        <w:tc>
          <w:tcPr>
            <w:tcW w:w="3100" w:type="dxa"/>
            <w:vAlign w:val="bottom"/>
            <w:gridSpan w:val="7"/>
          </w:tcPr>
          <w:p>
            <w:pPr>
              <w:ind w:left="40"/>
              <w:spacing w:after="0"/>
              <w:rPr>
                <w:sz w:val="20"/>
                <w:szCs w:val="20"/>
                <w:color w:val="auto"/>
              </w:rPr>
            </w:pPr>
            <w:r>
              <w:rPr>
                <w:rFonts w:ascii="Arial" w:cs="Arial" w:eastAsia="Arial" w:hAnsi="Arial"/>
                <w:sz w:val="14"/>
                <w:szCs w:val="14"/>
                <w:color w:val="auto"/>
              </w:rPr>
              <w:t>East Northport, NY 11731(4)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2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5"/>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rPr>
              <w:t>Melville Mall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251,000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$26.23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Uncle Giuseppe's Marketplace</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Huntington, NY 11747(4)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Field &amp; Stream</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Macy's Backstage</w:t>
            </w:r>
          </w:p>
        </w:tc>
        <w:tc>
          <w:tcPr>
            <w:tcW w:w="0" w:type="dxa"/>
            <w:vAlign w:val="bottom"/>
          </w:tcPr>
          <w:p>
            <w:pPr>
              <w:spacing w:after="0"/>
              <w:rPr>
                <w:sz w:val="1"/>
                <w:szCs w:val="1"/>
                <w:color w:val="auto"/>
              </w:rPr>
            </w:pPr>
          </w:p>
        </w:tc>
      </w:tr>
      <w:tr>
        <w:trPr>
          <w:trHeight w:val="162"/>
        </w:trPr>
        <w:tc>
          <w:tcPr>
            <w:tcW w:w="3100" w:type="dxa"/>
            <w:vAlign w:val="bottom"/>
            <w:gridSpan w:val="6"/>
          </w:tcPr>
          <w:p>
            <w:pPr>
              <w:ind w:left="40"/>
              <w:spacing w:after="0"/>
              <w:rPr>
                <w:sz w:val="20"/>
                <w:szCs w:val="20"/>
                <w:color w:val="auto"/>
              </w:rPr>
            </w:pPr>
            <w:r>
              <w:rPr>
                <w:rFonts w:ascii="Arial" w:cs="Arial" w:eastAsia="Arial" w:hAnsi="Arial"/>
                <w:sz w:val="14"/>
                <w:szCs w:val="14"/>
                <w:b w:val="1"/>
                <w:bCs w:val="1"/>
                <w:color w:val="auto"/>
              </w:rPr>
              <w:t>North Carolina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rPr>
              <w:t>Eastgate Crossing</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159,000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$27.38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Chapel Hill, NC 27514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62"/>
        </w:trPr>
        <w:tc>
          <w:tcPr>
            <w:tcW w:w="3100" w:type="dxa"/>
            <w:vAlign w:val="bottom"/>
            <w:gridSpan w:val="6"/>
          </w:tcPr>
          <w:p>
            <w:pPr>
              <w:ind w:left="40"/>
              <w:spacing w:after="0"/>
              <w:rPr>
                <w:sz w:val="20"/>
                <w:szCs w:val="20"/>
                <w:color w:val="auto"/>
              </w:rPr>
            </w:pPr>
            <w:r>
              <w:rPr>
                <w:rFonts w:ascii="Arial" w:cs="Arial" w:eastAsia="Arial" w:hAnsi="Arial"/>
                <w:sz w:val="14"/>
                <w:szCs w:val="14"/>
                <w:b w:val="1"/>
                <w:bCs w:val="1"/>
                <w:color w:val="auto"/>
              </w:rPr>
              <w:t>Pennsylvania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6"/>
            <w:shd w:val="clear" w:color="auto" w:fill="CCEEFF"/>
          </w:tcPr>
          <w:p>
            <w:pPr>
              <w:ind w:left="40"/>
              <w:spacing w:after="0" w:line="157" w:lineRule="exact"/>
              <w:rPr>
                <w:sz w:val="20"/>
                <w:szCs w:val="20"/>
                <w:color w:val="auto"/>
              </w:rPr>
            </w:pPr>
            <w:r>
              <w:rPr>
                <w:rFonts w:ascii="Arial" w:cs="Arial" w:eastAsia="Arial" w:hAnsi="Arial"/>
                <w:sz w:val="14"/>
                <w:szCs w:val="14"/>
                <w:color w:val="auto"/>
              </w:rPr>
              <w:t>Andorra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1988</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265,000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$14.38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85%</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 19128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Bala Cynwyd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294,000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$25.02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Bala Cynwyd, PA 19004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156,000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$22.15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94"/>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Flourtown, PA 19031</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Movie Tavern</w:t>
            </w: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Lancaster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127,000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$18.58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98%</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3100" w:type="dxa"/>
            <w:vAlign w:val="bottom"/>
            <w:gridSpan w:val="6"/>
          </w:tcPr>
          <w:p>
            <w:pPr>
              <w:ind w:left="40"/>
              <w:spacing w:after="0"/>
              <w:rPr>
                <w:sz w:val="20"/>
                <w:szCs w:val="20"/>
                <w:color w:val="auto"/>
              </w:rPr>
            </w:pPr>
            <w:r>
              <w:rPr>
                <w:rFonts w:ascii="Arial" w:cs="Arial" w:eastAsia="Arial" w:hAnsi="Arial"/>
                <w:sz w:val="14"/>
                <w:szCs w:val="14"/>
                <w:color w:val="auto"/>
              </w:rPr>
              <w:t>Lancaster, PA 17601(4)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Langhorne Square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227,000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$17.12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Redner's Warehouse Mkts.</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Levittown, PA 19056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Lawrence Park</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1980/2017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374,000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$21.60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86%</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Broomall, PA 19008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Northeast</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292,000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$15.18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85%</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Philadelphia, PA 19114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Town Center of New Britain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124,000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$10.04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88%</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New Britain, PA 18901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Dollar Tree</w:t>
            </w: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Willow Grove</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211,000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$18.80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95%</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Willow Grove, PA 19090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Wynnewood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1948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251,000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$28.14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Wynnewood, PA 19096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9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67%</w:t>
            </w:r>
          </w:p>
        </w:tc>
        <w:tc>
          <w:tcPr>
            <w:tcW w:w="100" w:type="dxa"/>
            <w:vAlign w:val="bottom"/>
          </w:tcPr>
          <w:p>
            <w:pPr>
              <w:spacing w:after="0"/>
              <w:rPr>
                <w:sz w:val="14"/>
                <w:szCs w:val="14"/>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2"/>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Virginia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29th Place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1975-2001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$18.71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Charlottesville, VA 22091(9)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Barcoft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1963, 1972,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2006/2007/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115,000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$24.39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94"/>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Falls Church, VA 22041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1990, &amp; 2000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Barracks Road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498,000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$27.86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Charlottesville, VA 22905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Falls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1960-1962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1967/1972</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144,000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$34.70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rPr>
              <w:t>Falls Church, VA 22046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Graham Park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177,000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$31.22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94%</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3100" w:type="dxa"/>
            <w:vAlign w:val="bottom"/>
            <w:gridSpan w:val="6"/>
          </w:tcPr>
          <w:p>
            <w:pPr>
              <w:ind w:left="40"/>
              <w:spacing w:after="0"/>
              <w:rPr>
                <w:sz w:val="20"/>
                <w:szCs w:val="20"/>
                <w:color w:val="auto"/>
              </w:rPr>
            </w:pPr>
            <w:r>
              <w:rPr>
                <w:rFonts w:ascii="Arial" w:cs="Arial" w:eastAsia="Arial" w:hAnsi="Arial"/>
                <w:sz w:val="14"/>
                <w:szCs w:val="14"/>
                <w:color w:val="auto"/>
              </w:rPr>
              <w:t>Fairfax, VA 22042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Idylwood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$48.32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94"/>
        </w:trPr>
        <w:tc>
          <w:tcPr>
            <w:tcW w:w="310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Falls Church, VA 22030</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6"/>
          </w:tcPr>
          <w:p>
            <w:pPr>
              <w:ind w:left="40"/>
              <w:spacing w:after="0" w:line="157" w:lineRule="exact"/>
              <w:rPr>
                <w:sz w:val="20"/>
                <w:szCs w:val="20"/>
                <w:color w:val="auto"/>
              </w:rPr>
            </w:pPr>
            <w:r>
              <w:rPr>
                <w:rFonts w:ascii="Arial" w:cs="Arial" w:eastAsia="Arial" w:hAnsi="Arial"/>
                <w:sz w:val="14"/>
                <w:szCs w:val="14"/>
                <w:color w:val="auto"/>
              </w:rPr>
              <w:t>Leesburg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236,000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$23.39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92%</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Leesburg, VA 20176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24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Mount Vernon/South Valley/</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1966,</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2003/2006</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570,000</w:t>
            </w:r>
          </w:p>
        </w:tc>
        <w:tc>
          <w:tcPr>
            <w:tcW w:w="124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$18.41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7770 Richmond Hwy</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1972,1987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Alexandria, VA 22306(4)(7)</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&amp; 2001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Results Fitness</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Old Keene Mill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92,000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$40.69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Springfield, VA 22152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Pan Am</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226,000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$25.99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Fairfax, VA 22031</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Pentagon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2001-2002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1998/2010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298,000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$36.37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Arlington, VA 22202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Pike 7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1997/2015</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168,000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$47.82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Vienna, VA 22180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Crunch Fitness Staples</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Tower Shopping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0"/>
              </w:rPr>
              <w:t>112,000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$26.21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L.A. Mart</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Springfield, VA 22150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Total Wine &amp; More</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Tyson's Station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50,000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$46.40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9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Falls Church, VA 22043</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Village at Shirlington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1940,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260,000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$38.58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90%</w:t>
            </w:r>
          </w:p>
        </w:tc>
        <w:tc>
          <w:tcPr>
            <w:tcW w:w="100" w:type="dxa"/>
            <w:vAlign w:val="bottom"/>
          </w:tcPr>
          <w:p>
            <w:pPr>
              <w:spacing w:after="0"/>
              <w:rPr>
                <w:sz w:val="13"/>
                <w:szCs w:val="13"/>
                <w:color w:val="auto"/>
              </w:rPr>
            </w:pPr>
          </w:p>
        </w:tc>
        <w:tc>
          <w:tcPr>
            <w:tcW w:w="2400" w:type="dxa"/>
            <w:vAlign w:val="bottom"/>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3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Arlington, VA 22206(4)</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2006-2009</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ind w:left="40"/>
              <w:spacing w:after="0"/>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63"/>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463,000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$19.36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Richmond, VA 23230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71"/>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All Regions—Retail(10)</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24,127,000</w:t>
            </w:r>
          </w:p>
        </w:tc>
        <w:tc>
          <w:tcPr>
            <w:tcW w:w="124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93"/>
              </w:rPr>
              <w:t>$27.77</w:t>
            </w:r>
          </w:p>
        </w:tc>
        <w:tc>
          <w:tcPr>
            <w:tcW w:w="1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2,669 units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96%</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13" w:lineRule="exact"/>
        <w:rPr>
          <w:rFonts w:ascii="Arial" w:cs="Arial" w:eastAsia="Arial" w:hAnsi="Arial"/>
          <w:sz w:val="14"/>
          <w:szCs w:val="14"/>
          <w:color w:val="auto"/>
        </w:rPr>
      </w:pPr>
    </w:p>
    <w:p>
      <w:pPr>
        <w:ind w:left="660" w:right="20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excluding rent abatements) minimum rent for all occupied spaces divided by the aggregate GLA of all occupied spaces. Average base rent is for commercial spaces only.</w:t>
      </w:r>
    </w:p>
    <w:p>
      <w:pPr>
        <w:ind w:left="660" w:right="44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own the controlling interest in this property.</w:t>
      </w:r>
    </w:p>
    <w:p>
      <w:pPr>
        <w:spacing w:after="0" w:line="1" w:lineRule="exact"/>
        <w:rPr>
          <w:rFonts w:ascii="Arial" w:cs="Arial" w:eastAsia="Arial" w:hAnsi="Arial"/>
          <w:sz w:val="14"/>
          <w:szCs w:val="14"/>
          <w:color w:val="auto"/>
        </w:rPr>
      </w:pPr>
    </w:p>
    <w:p>
      <w:pPr>
        <w:ind w:left="660" w:right="3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June 15, 2018, we formed a new joint venture to develop Jordan Downs Plaza, which when completed, will be an approximately 113,000 square foot grocery anchored shopping center. See Note 3 to the Consolidated Financial Statements for for further discussion.</w:t>
      </w:r>
    </w:p>
    <w:p>
      <w:pPr>
        <w:ind w:left="660" w:right="44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own a noncontrolling interest in this property.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our La Alameda property, which is unconsolidated.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property includes partial interests in five buildings in addition to our initial acquisition.</w:t>
      </w:r>
    </w:p>
    <w:p>
      <w:pPr>
        <w:spacing w:after="0" w:line="2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November 2016, we were included as a defendant in a class action lawsuit, in the circuit court for Montgomery County, Maryland, related to predatory towing by a third party company we had retained to provide towing services at several of our properties in Montgomery County, Maryland. Given the costs and risks of continuing litigation on this matter, we elected to participate in a settlement for which our share was approximately $0.4 million, and was reimbursed by insurance. The settlement did not cover liability for certain tows that were included in the lawsuit that the defendant class believes cannot be pursued because of the statute of limitations. Accordingly, we do not believe we should have any additional liability for these remaining tows; however, if we are unsuccessful in dismissing these tows from the litigation, our liability would be less than $0.1 million.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219"/>
          </w:cols>
          <w:pgMar w:left="240" w:top="126" w:right="1440"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65"/>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135.68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115.22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110.66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135.59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122.60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126.02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0.980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2019, there were 2,492 holders of record of our common shares.</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51 consecutive years.</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annual dividends paid per common share for 2018 and 2017 were $4.02 per share and $3.94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2019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3.859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Ordinary dividend eligible for 15% rate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0.161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4.020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Distributions on our 5.0% Series C Cumulative Redeemable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Preferred Shares (which were issued September 29, 2017) were declared at the rate of $1.25 per depositary share per annum, and the first payment date was January 16, 2018. In 2018, dividends paid per depositary share were $1.306 due to the timing of issuance.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2013, and ending December 31, 2018,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27940</wp:posOffset>
            </wp:positionV>
            <wp:extent cx="5848985" cy="3996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2018, we issued 864 common shares in connection with the redemption of operating partnership units. Any other equity securities sold by us during 2018 that were not registered have been previously reported in a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2018, 46,391 restricted common shares were forfeited by former employees.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6" w:right="2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64"/>
        </w:trPr>
        <w:tc>
          <w:tcPr>
            <w:tcW w:w="4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40" w:type="dxa"/>
            <w:vAlign w:val="bottom"/>
            <w:gridSpan w:val="6"/>
          </w:tcPr>
          <w:p>
            <w:pPr>
              <w:jc w:val="center"/>
              <w:ind w:right="231"/>
              <w:spacing w:after="0"/>
              <w:rPr>
                <w:sz w:val="20"/>
                <w:szCs w:val="20"/>
                <w:color w:val="auto"/>
              </w:rPr>
            </w:pPr>
            <w:r>
              <w:rPr>
                <w:rFonts w:ascii="Arial" w:cs="Arial" w:eastAsia="Arial" w:hAnsi="Arial"/>
                <w:sz w:val="14"/>
                <w:szCs w:val="14"/>
                <w:b w:val="1"/>
                <w:bCs w:val="1"/>
                <w:color w:val="auto"/>
                <w:w w:val="91"/>
              </w:rPr>
              <w:t>(In thousands, except per share data and ratios)</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895,698</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841,461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786,583</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727,812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666,322</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income(1)</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627,566</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584,619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547,979</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510,595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474,167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349,721</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332,288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320,995</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300,154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271,037</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237,111</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226,425</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190,094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167,888</w:t>
            </w:r>
          </w:p>
        </w:tc>
      </w:tr>
      <w:tr>
        <w:trPr>
          <w:trHeight w:val="243"/>
        </w:trPr>
        <w:tc>
          <w:tcPr>
            <w:tcW w:w="4860" w:type="dxa"/>
            <w:vAlign w:val="bottom"/>
            <w:gridSpan w:val="4"/>
          </w:tcPr>
          <w:p>
            <w:pPr>
              <w:ind w:left="40"/>
              <w:spacing w:after="0"/>
              <w:rPr>
                <w:sz w:val="20"/>
                <w:szCs w:val="20"/>
                <w:color w:val="auto"/>
              </w:rPr>
            </w:pPr>
            <w:r>
              <w:rPr>
                <w:rFonts w:ascii="Arial" w:cs="Arial" w:eastAsia="Arial" w:hAnsi="Arial"/>
                <w:sz w:val="18"/>
                <w:szCs w:val="18"/>
                <w:color w:val="auto"/>
                <w:w w:val="90"/>
              </w:rPr>
              <w:t>Gain on sale of real estate and change in control of interests, net $</w:t>
            </w:r>
          </w:p>
        </w:tc>
        <w:tc>
          <w:tcPr>
            <w:tcW w:w="780" w:type="dxa"/>
            <w:vAlign w:val="bottom"/>
          </w:tcPr>
          <w:p>
            <w:pPr>
              <w:jc w:val="right"/>
              <w:spacing w:after="0"/>
              <w:rPr>
                <w:sz w:val="20"/>
                <w:szCs w:val="20"/>
                <w:color w:val="auto"/>
              </w:rPr>
            </w:pPr>
            <w:r>
              <w:rPr>
                <w:rFonts w:ascii="Arial" w:cs="Arial" w:eastAsia="Arial" w:hAnsi="Arial"/>
                <w:sz w:val="18"/>
                <w:szCs w:val="18"/>
                <w:color w:val="auto"/>
              </w:rPr>
              <w:t>11,915</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77,922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32,458</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28,330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4,401</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297,870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258,883</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218,424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172,289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233,865</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287,456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249,369</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209,678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163,994</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516,688</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458,828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427,672</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371,808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349,415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(192,247)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(837,922)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(590,221)</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(355,353)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w w:val="98"/>
              </w:rPr>
              <w:t>(410,225)</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(241,309)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369,445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168,838</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(42,188)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5,699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3.51</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2.42</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w w:val="91"/>
              </w:rPr>
              <w:t>Weighted average number of common shares, basic</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73,274</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72,117</w:t>
            </w:r>
          </w:p>
        </w:tc>
        <w:tc>
          <w:tcPr>
            <w:tcW w:w="5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70,877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68,797</w:t>
            </w:r>
          </w:p>
        </w:tc>
        <w:tc>
          <w:tcPr>
            <w:tcW w:w="420" w:type="dxa"/>
            <w:vAlign w:val="bottom"/>
          </w:tcPr>
          <w:p>
            <w:pPr>
              <w:spacing w:after="0"/>
              <w:rPr>
                <w:sz w:val="21"/>
                <w:szCs w:val="21"/>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67,322</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3.03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2.41</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9"/>
              </w:rPr>
              <w:t>Weighted average number of common shares, diluted</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73,302</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72,233</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71,049</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68,981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67,492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3.62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3.30</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w w:val="93"/>
              </w:rPr>
              <w:t>Funds from operations available to common shareholders(2)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461,777</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419,977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406,359</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352,857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327,597</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EBITDAre(3)</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595,558</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549,107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515,151</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478,734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445,888</w:t>
            </w:r>
          </w:p>
        </w:tc>
      </w:tr>
      <w:tr>
        <w:trPr>
          <w:trHeight w:val="229"/>
        </w:trPr>
        <w:tc>
          <w:tcPr>
            <w:tcW w:w="4540" w:type="dxa"/>
            <w:vAlign w:val="bottom"/>
            <w:gridSpan w:val="2"/>
          </w:tcPr>
          <w:p>
            <w:pPr>
              <w:ind w:left="40"/>
              <w:spacing w:after="0"/>
              <w:rPr>
                <w:sz w:val="20"/>
                <w:szCs w:val="20"/>
                <w:color w:val="auto"/>
              </w:rPr>
            </w:pPr>
            <w:r>
              <w:rPr>
                <w:rFonts w:ascii="Arial" w:cs="Arial" w:eastAsia="Arial" w:hAnsi="Arial"/>
                <w:sz w:val="18"/>
                <w:szCs w:val="18"/>
                <w:color w:val="auto"/>
                <w:w w:val="94"/>
              </w:rPr>
              <w:t>Ratio of EBITDAre to combined fixed charges and preferred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share dividends(3)(4)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4.2x</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3.9x</w:t>
            </w:r>
          </w:p>
        </w:tc>
        <w:tc>
          <w:tcPr>
            <w:tcW w:w="50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4.5x</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3.6x</w:t>
            </w:r>
          </w:p>
        </w:tc>
        <w:tc>
          <w:tcPr>
            <w:tcW w:w="4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3.5x</w:t>
            </w:r>
          </w:p>
        </w:tc>
      </w:tr>
      <w:tr>
        <w:trPr>
          <w:trHeight w:val="359"/>
        </w:trPr>
        <w:tc>
          <w:tcPr>
            <w:tcW w:w="4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471"/>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196"/>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51"/>
              <w:spacing w:after="0"/>
              <w:rPr>
                <w:sz w:val="20"/>
                <w:szCs w:val="20"/>
                <w:color w:val="auto"/>
              </w:rPr>
            </w:pPr>
            <w:r>
              <w:rPr>
                <w:rFonts w:ascii="Arial" w:cs="Arial" w:eastAsia="Arial" w:hAnsi="Arial"/>
                <w:sz w:val="18"/>
                <w:szCs w:val="18"/>
                <w:color w:val="auto"/>
              </w:rPr>
              <w:t>7,819,472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7,635,061</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2"/>
              </w:rPr>
              <w:t>6,759,073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6,064,406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5,608,998</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6,289,644</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6,275,755</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5,423,279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4,896,559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4,534,237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51"/>
              <w:spacing w:after="0"/>
              <w:rPr>
                <w:sz w:val="20"/>
                <w:szCs w:val="20"/>
                <w:color w:val="auto"/>
              </w:rPr>
            </w:pPr>
            <w:r>
              <w:rPr>
                <w:rFonts w:ascii="Arial" w:cs="Arial" w:eastAsia="Arial" w:hAnsi="Arial"/>
                <w:sz w:val="18"/>
                <w:szCs w:val="18"/>
                <w:color w:val="auto"/>
              </w:rPr>
              <w:t>3,229,204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3,284,766</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2"/>
              </w:rPr>
              <w:t>2,798,452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2,627,216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2,397,043</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2,467,330</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2,391,514</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2,075,835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1,781,931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common shares outstanding</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w w:val="94"/>
              </w:rPr>
              <w:t>74,250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73,091</w:t>
            </w:r>
          </w:p>
        </w:tc>
        <w:tc>
          <w:tcPr>
            <w:tcW w:w="5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71,996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69,493</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68,606</w:t>
            </w:r>
          </w:p>
        </w:tc>
      </w:tr>
    </w:tbl>
    <w:p>
      <w:pPr>
        <w:spacing w:after="0" w:line="229" w:lineRule="exact"/>
        <w:rPr>
          <w:sz w:val="20"/>
          <w:szCs w:val="20"/>
          <w:color w:val="auto"/>
        </w:rPr>
      </w:pPr>
    </w:p>
    <w:p>
      <w:pPr>
        <w:ind w:left="340" w:right="16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reconciliation of operating income to property operating income is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6" w:right="2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349,721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332,288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320,995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271,037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35,645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32,316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244,245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193,585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170,814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627,566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584,619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547,979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510,595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474,167</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340" w:hanging="332"/>
        <w:spacing w:after="0" w:line="30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19" w:lineRule="exact"/>
        <w:rPr>
          <w:rFonts w:ascii="Arial" w:cs="Arial" w:eastAsia="Arial" w:hAnsi="Arial"/>
          <w:sz w:val="16"/>
          <w:szCs w:val="16"/>
          <w:color w:val="auto"/>
        </w:rPr>
      </w:pPr>
    </w:p>
    <w:p>
      <w:pPr>
        <w:ind w:left="340" w:right="80"/>
        <w:spacing w:after="0" w:line="273"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172,289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213,098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188,719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169,198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154,232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154,060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12,391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467,693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420,125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404,850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351,147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326,585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3,027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461,777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419,977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406,359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352,857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327,597</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180" w:hanging="332"/>
        <w:spacing w:after="0" w:line="272" w:lineRule="auto"/>
        <w:tabs>
          <w:tab w:leader="none" w:pos="2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EBITDA for Real Estate ("EBITDAre") is a non-GAAP measure that NAREIT 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EBITDAre for the periods presented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6" w:right="2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172,289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110,154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92,553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93,941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10,545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244,245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216,050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193,585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170,814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2,794</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549,107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478,734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445,888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00" w:hanging="332"/>
        <w:spacing w:after="0" w:line="279" w:lineRule="auto"/>
        <w:tabs>
          <w:tab w:leader="none" w:pos="271"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$12.3 million, $19.1 million, $10.5 million early extinguishment of debt charge from fixed charges in 2017, 2015, and 2014, respectively, the ratio of EBITDAre to combined fixed charges and preferred share dividends is 4.2x, 4.3x, and 3.8x, for 2017, 2015, and 2014, respectively.</w:t>
      </w:r>
    </w:p>
    <w:p>
      <w:pPr>
        <w:spacing w:after="0" w:line="194" w:lineRule="exact"/>
        <w:rPr>
          <w:sz w:val="20"/>
          <w:szCs w:val="20"/>
          <w:color w:val="auto"/>
        </w:rPr>
      </w:pPr>
    </w:p>
    <w:p>
      <w:pPr>
        <w:ind w:right="126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December 31, 2018, we owned or had a majority interest in community and neighborhood shopping centers and mixed-use properties which are operated as 104 predominantly retail real estate projects comprising approximately 24.1 million square feet. In total, the real estate projects were 94.6% leased and 93.6% occupied at December 31, 2018. We have paid quarterly dividends to our shareholders continuously since our founding in 1962 and have increased our dividends per common share for 51 consecutive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6" w:right="25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2018 and 2017, our allowance for doubtful accounts was $12.7 million and $11.8 million, respectively. Historically, we have recognized bad debt expense between 0.3% and 1.3% of rental income and it was 0.5% in 2018. A change in the estimate of collectability of a receivable would result in a change to our allowance for doubtful accounts and correspondingly bad debt expense and net income. For example, in the event our estimates were not accurate and we were required to increase our allowance by 1% of rental income, our bad debt expense would have increased and our net income would have decreased by $9.0 million.</w:t>
      </w:r>
    </w:p>
    <w:p>
      <w:pPr>
        <w:spacing w:after="0" w:line="1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2018 and 2017, accounts receivable includes approximately $97.4 million and $93.1 million, respectively, related to straight-line rents. Correspondingly, these estimates of collectability have a direct impact on our net income.</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completed construction on 221 condominium units at our Assembly Row and Pike &amp; Rose properties. Beginning on January 1, 2018, with the adoption of ASU 2014-09, "Revenue from Contracts with Customers," (see "Recent Accounting Pronouncements" for discussion of change in timing of revenue recognition), gains or losses on the sale of these condominium units are recognized as the condominium units are legally sold. However, in 2017, we accounted for contracted condominium sales under the percentage-of completion method, based on an evaluation of the criteria specified in ASC Topic 360-20, “Property, Plant and Equipment – Real Estate Sales,” including: the legal commitment of the purchaser in the real estate contract, whether the construction of the project was beyond a preliminary phase, whether sufficient units had been contracted to ensure the project would not revert to a rental project, the ability to reasonably estimate the aggregate project sale proceeds and aggregate project costs, and the determination that the buyer had made an adequate initial and continuing cash investment under the contract. When the percentage-of-completion criteria had not been met, no profit was recognized. The application of these criteria can be complex and required us to make assumptions.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Land, buildings and real estate under development are recorded at cost. We calculate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$274 million and $8 million, respectively, for 2018 and $410 million and $8 million, respectively, for 2017. We capitalized external and internal costs related to other property improvements of $62 million and $3 million, respectively, for 2018 and $74 million and $3 million, respectively, for 2017. We capitalized external and internal costs related to leasing activities of $20 million and $6 million, respectively, for 2018 and $11 million and $6 million, respectively, for 2017. The amount of capitalized internal costs for salaries and related benefits for development and redevelopment activities, other property improvements, and leasing activities were $7 million, $3 million, and $6 million, for both 2018 and 2017. Total capitalized costs were $373 million and $512 million for 2018 and 2017, respectively.</w:t>
      </w:r>
    </w:p>
    <w:p>
      <w:pPr>
        <w:spacing w:after="0" w:line="1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previous experience in our portfolio, and future increases in costs of claims, when making these determinations. If our liability costs differ from these accruals, it will increase or decrease our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Property Acquisitions and Dispositions</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June 15, 2018, we formed a new joint venture to develop Jordan Downs Plaza which, when completed, will be an approximately 113,000 square foot grocery anchored shopping center located in Los Angeles County, California. We initially invested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Jordan Downs Plaza development is expected to generate income tax credits under the New Market Tax Credit Program ("NMTC") which was provided for in the Community Renewal Tax Relief Act of 2000 ("the Act") and is intended to induce investment in underserved areas of the United</w:t>
      </w:r>
    </w:p>
    <w:p>
      <w:pPr>
        <w:spacing w:after="0" w:line="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6"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 Cash in escrow at December 31, 2018 of $32.2 million reflects cash that will ultimately be used for the development of the shopping center, and is included in "prepaid expenses and other assets" on our consolidated balance sheet. The cash is held in escrow pursuant to the new market tax credit transaction documents and will be released as qualified development expenditures are incurred.</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2018, we contributed hotel related assets valued at $44.0 million to our Assembly Row hotel joint venture, and received a cash distribution of $38.0 million. At December 31, 2018, our investment in the venture was $5.6 million. The joint venture is considered a variable interest entity controlled by our partner, and as a result, we are using the equity method to account for our investment.</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16, 2018, we sold the residential building at our Chelsea Commons property in Chelsea, Massachusetts for a sales price of $15.0 million, resulting in a gain of $3.1 million.</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9, 2018, we sold our Atlantic Plaza property in North Reading, Massachusetts for a sales price of $27.2 million, resulting in a gain of $1.6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November 29, 2018, we acquired a 40,000 square foot building adjacent to our Bell Gardens property for $9.6 million.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2018, we closed on the sale of 176 condominium units at our Assembly Row and Pike &amp; Rose properties (combined) and received proceeds net of closing costs of $133.5 million, For the year ended December 31, 2018, we recognized a gain of $7.2 million, net of $1.6 million of income taxes. The cost basis for remaining condominium units that are ready for their intended use as of December 31, 2018 is $16.6 million, and is included in "assets held for sale" on our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and 2019 Significant Debt and Equity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August 10, 2018, we exercised our option to extend the maturity date of our $275.0 million unsecured term loan by one year to November 21, 2019.</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7, 2018, we replaced our existing at-the-market (“ATM”) equity program with a new ATM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December 31, 2018, we sold 374,725 common shares at a weighted average price per share of $131.36 for net cash proceeds of $48.7 million and paid $0.5 million in commissions and less than $0.1 million in additional offering expenses related to the sales of these common shares. For the year ended December 31, 2018, we issued 987,383 common shares at a weighted average price per share of $129.19 for net cash proceeds of $126.1 million and paid $1.3 million in commissions and $0.2 million in additional offering expenses related to the sales of these common shares. As of December 31, 2018, we had the capacity to issue up to $272.4 million in common shares under our ATM equity program.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strong levels of interest from prospective tenants for our retail spaces; however, the time it takes to complete new lease deals is longer, as tenants have become more selective and more deliberate in their decision-making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closing early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2018, no single tenant accounted for more than 2.7% of annualized base rent.</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cost of approximately $210 million that we expect to stabilize in the next several years.</w:t>
      </w:r>
    </w:p>
    <w:p>
      <w:pPr>
        <w:spacing w:after="0" w:line="13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continue our ongoing redevelopment efforts at Santana Row and are under construction on an eight story 301,000 square foot office building which will include an additional 18,000 square feet of retail space and 1,300 parking spaces. The building is expected to cost between $205 and $215 million, to be delivered in 2019, and the office portion is 100% pre-leased. After current phases, we have approximately 4 acres remaining for further redevelopment and entitlements in place for an additional 395 residential units and 321,000 square feet of commercial space. Additionally, we control 12 acres of land across from Santana Row, which has approximately 1 million square feet of commercial space entitlements.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Construction continues on Phase II of Assembly Row which includes approximately 161,000 square feet of retail space, 447 residential units, and a 158 room boutique hotel (owned and operated by a joint venture in which we are a partner). Total expected costs range from $290 million to $305 million and remaining delivery is expected in 2019. As of December 31, 2018, approximately 120,000 square feet of retail space and the 158 room hotel have opened, and all of the residential units have been completed. Phase II also includes 122 for-sale condominium units, of which 107 have closed as of December 31, 2018. The remaining 15 units are expected to close in 2019. The condominium units have an expected total cost of $81 million. Additionally, Partners HealthCare built a 741,500 square foot office building as part of Phase II.</w:t>
      </w:r>
    </w:p>
    <w:p>
      <w:pPr>
        <w:spacing w:after="0" w:line="1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we commenced construction on Phase III of Assembly Row, which will include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2022.</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Construction also continues on Phase II of Pike &amp; Rose which includes approximately 216,000 square feet of retail space, 272 residential units, and a 177 room boutique hotel (owned and operated by a joint venture in which we are a partner). As of December 31, 2018, approximately 190,000 square feet of retail space and the 177 room hotel have opened, and all of the residential units have been completed. Total expected costs range from $200 million to $207 million and remaining delivery is expected in 2019. As of December 31, 2018, we closed on the sale of 69 of the 99 for-sale condominium units in Phase II. The condominiums have an expected total cost of $62 million.</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Additionally, at Pike &amp; Rose, we commenced construction on a 212,000 square foot office building (which includes 4,000 square feet of ground floor retail space), and will include over 600 additional parking spaces. The building is expected to cost between $128 million and $135 million and is projected to open beginning in 2021.</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invested $82 million in Assembly Row and Pike &amp; Rose in 2018 and expect to invest between $175 million and $200 million in Assembly Row and Pike &amp; Rose in 2019.</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acquisitions through the issuance of common shares, preferred shares, or downREIT units as well as through assumed mortgages and property sales.</w:t>
      </w:r>
    </w:p>
    <w:p>
      <w:pPr>
        <w:spacing w:after="0" w:line="1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2018, the leasable square feet in our properties was 94.6% leased and 93.6%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2018 and the comparison of 2018 and 2017, all or a portion of 90 properties were considered comparable properties and eight properties were considered non-comparable properties. For the year ended December 31, 2018, five properties were moved from acquisitions to comparable properties, one portion of a property was removed from comparable properties as it was sold during 2018, one portion of a property was moved from comparable properties to non-comparable properties, and one portion of a property was moved from non-comparable properties to comparable properties, compared to the designations as of December 31, 2017. For the year ended December 31, 2017 and the comparison of 2017 and 2016, all or a portion of 85 properties were considered comparable properties and 7 properties were considered non-comparable properties. For the year ended December 31, 2017, one property was moved from acquisitions to comparable properties and two properties were removed from comparable properties as they were sold during 2017, compared to the designations as of December 31, 2016.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6" w:right="31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895,698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841,461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54,237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3,764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915,436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857,348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58,088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114,776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107,839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6,937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287,870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272,729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627,566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584,619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42,947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17,433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714.9 %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17,163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(66,007)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(48,844)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241,907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289,914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Total property revenue increased $58.1 million, or 6.8%, to $915.4 million in 2018 compared to $857.3 million in 2017. The percentage occupied at our shopping centers was 93.6% at December 31, 2018 compared to 93.9% at December 31, 2017.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$54.2 million, or 6.4%, to $895.7 million in 2018 compared to $841.5 million in 2017 due primarily to the following:</w:t>
      </w:r>
    </w:p>
    <w:p>
      <w:pPr>
        <w:spacing w:after="0" w:line="8" w:lineRule="exact"/>
        <w:rPr>
          <w:sz w:val="20"/>
          <w:szCs w:val="20"/>
          <w:color w:val="auto"/>
        </w:rPr>
      </w:pPr>
    </w:p>
    <w:p>
      <w:pPr>
        <w:ind w:left="1700" w:right="720" w:hanging="801"/>
        <w:spacing w:after="0" w:line="27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$25.0 million from acquisitions, primarily related to the six shopping centers acquired in Los Angeles County, California in August 2017 and Riverpoint Center in March 2017,</w:t>
      </w:r>
    </w:p>
    <w:p>
      <w:pPr>
        <w:spacing w:after="0" w:line="8" w:lineRule="exact"/>
        <w:rPr>
          <w:rFonts w:ascii="Arial" w:cs="Arial" w:eastAsia="Arial" w:hAnsi="Arial"/>
          <w:sz w:val="18"/>
          <w:szCs w:val="18"/>
          <w:color w:val="auto"/>
        </w:rPr>
      </w:pPr>
    </w:p>
    <w:p>
      <w:pPr>
        <w:ind w:left="1700" w:right="40" w:hanging="801"/>
        <w:spacing w:after="0" w:line="264"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$20.2 million at non-comparable properties due primarily to the opening of Phase II at Assembly Row and Pike &amp; Rose during the second half of 2017 into 2018 and the lease-up of two other redevelopments, partially offset by lower occupancy at two of our Florida properties in the beginning stages of redevelopment, and</w:t>
      </w:r>
    </w:p>
    <w:p>
      <w:pPr>
        <w:spacing w:after="0" w:line="19" w:lineRule="exact"/>
        <w:rPr>
          <w:rFonts w:ascii="Arial" w:cs="Arial" w:eastAsia="Arial" w:hAnsi="Arial"/>
          <w:sz w:val="18"/>
          <w:szCs w:val="18"/>
          <w:color w:val="auto"/>
        </w:rPr>
      </w:pPr>
    </w:p>
    <w:p>
      <w:pPr>
        <w:ind w:left="1700" w:right="220" w:hanging="801"/>
        <w:spacing w:after="0" w:line="277" w:lineRule="auto"/>
        <w:tabs>
          <w:tab w:leader="none" w:pos="1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of $15.3 million at comparable properties due primarily to higher rental rates of approximately $10.2 million and higher average occupancy of approximately $4.7 million,</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of $5.8 million from property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jc w:val="both"/>
        <w:ind w:left="60" w:right="80"/>
        <w:spacing w:after="0" w:line="264" w:lineRule="auto"/>
        <w:rPr>
          <w:sz w:val="20"/>
          <w:szCs w:val="20"/>
          <w:color w:val="auto"/>
        </w:rPr>
      </w:pPr>
      <w:r>
        <w:rPr>
          <w:rFonts w:ascii="Arial" w:cs="Arial" w:eastAsia="Arial" w:hAnsi="Arial"/>
          <w:sz w:val="18"/>
          <w:szCs w:val="18"/>
          <w:color w:val="auto"/>
        </w:rPr>
        <w:t>Other property income increased $3.8 million, or 29.3%, to $16.6 million in 2018 compared to $12.8 million in 2017.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property expenses increased $15.1 million, or 5.6%, to $287.9 million in 2018 compared to $272.7 million in 2017.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Rental expenses increased $8.2 million, or 5.0%, to $173.1 million in 2018 compared to $164.9 million in 2017. This increase is primarily due to the following:</w:t>
      </w:r>
    </w:p>
    <w:p>
      <w:pPr>
        <w:spacing w:after="0" w:line="8" w:lineRule="exact"/>
        <w:rPr>
          <w:sz w:val="20"/>
          <w:szCs w:val="20"/>
          <w:color w:val="auto"/>
        </w:rPr>
      </w:pPr>
    </w:p>
    <w:p>
      <w:pPr>
        <w:ind w:left="1700" w:right="400" w:hanging="801"/>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$6.5 million from acquisitions, primarily related to our acquisition of six shopping centers in Los Angeles County, California in August 2017,</w:t>
      </w:r>
    </w:p>
    <w:p>
      <w:pPr>
        <w:spacing w:after="0" w:line="8"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$2.7 million from non-comparable properties, due primarily to the opening of Phase II at Assembly Row and Pike &amp; Rose during the second half of 2017 into 2018, partially offset by lower expenses at two of our Florida properties in the beginning stages of redevelopment, and</w:t>
      </w:r>
    </w:p>
    <w:p>
      <w:pPr>
        <w:spacing w:after="0" w:line="19" w:lineRule="exact"/>
        <w:rPr>
          <w:rFonts w:ascii="Arial" w:cs="Arial" w:eastAsia="Arial" w:hAnsi="Arial"/>
          <w:sz w:val="18"/>
          <w:szCs w:val="18"/>
          <w:color w:val="auto"/>
        </w:rPr>
      </w:pPr>
    </w:p>
    <w:p>
      <w:pPr>
        <w:ind w:left="1700" w:right="660" w:hanging="801"/>
        <w:spacing w:after="0" w:line="277"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of $0.9 million from comparable properties, primarily related to higher bad debt expense partially offset by lower operating costs,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of $1.3 million from property sales.</w:t>
      </w:r>
    </w:p>
    <w:p>
      <w:pPr>
        <w:spacing w:after="0" w:line="1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19.0% for the year ended December 31, 2018 from 19.3%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$6.9 million, or 6.4% to $114.8 million in 2018 compared to $107.8 million in 2017 due primarily to the following:</w:t>
      </w:r>
    </w:p>
    <w:p>
      <w:pPr>
        <w:spacing w:after="0" w:line="75" w:lineRule="exact"/>
        <w:rPr>
          <w:sz w:val="20"/>
          <w:szCs w:val="20"/>
          <w:color w:val="auto"/>
        </w:rPr>
      </w:pPr>
    </w:p>
    <w:p>
      <w:pPr>
        <w:ind w:left="1700" w:right="400" w:hanging="801"/>
        <w:spacing w:after="0" w:line="277" w:lineRule="auto"/>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$3.9 million from acquisitions, primarily related to our acquisition of six shopping centers in Los Angeles County, California in August 2017 and Riverpoint Center in March 2017,</w:t>
      </w:r>
    </w:p>
    <w:p>
      <w:pPr>
        <w:spacing w:after="0" w:line="8" w:lineRule="exact"/>
        <w:rPr>
          <w:rFonts w:ascii="Arial" w:cs="Arial" w:eastAsia="Arial" w:hAnsi="Arial"/>
          <w:sz w:val="18"/>
          <w:szCs w:val="18"/>
          <w:color w:val="auto"/>
        </w:rPr>
      </w:pPr>
    </w:p>
    <w:p>
      <w:pPr>
        <w:ind w:left="1700" w:right="220" w:hanging="801"/>
        <w:spacing w:after="0" w:line="277" w:lineRule="auto"/>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$3.1 million at non-comparable properties due primarily to increases in assessments as a result of our redevelopment activities,</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$1.0 million at comparable properties primarily due to higher assessments,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decrease of $1.1 million million from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Property operating income increased $42.9 million, or 7.3%, to $627.6 million in 2018 compared to $584.6 million in 2017. This increase is primarily due to growth in earnings at comparable properties, our acquisition of six shopping centers in Los Angeles County, California in August 2017 and Riverpoint Center in March 2017, and the opening of Phase II at Assembly Row and Pike &amp; Rose, partially offset by property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and administrative expense decreased $2.7 million, or 7.4%, to $33.6 million in 2018 from $36.3 million in 2017. The decrease is primarily due to lower costs from acquisitions and other transactions.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26" w:right="2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Depreciation and amortization expense increased $28.2 million, or 13.1%, to $244.2 million in 2018 from $216.1 million in 2017. This increase is primarily due to our investment in comparable properties, Phase II of Assembly Row and Pike &amp; Rose being placed in service, our acquisition of six shopping centers in Los Angeles County, California in August 2017, and accelerated depreciation related to tenants who vacated in advance of their lease expiration.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increased $17.4 million, or 5.2%, to $349.7 million in 2018 compared to $332.3 million in 2017. This increase is primarily due to the opening of Phase II at Assembly Row and Pike &amp; Rose, higher lease termination fees, lower general and administrative costs, our acquisition of six shopping centers in Los Angeles County, California in August 2017 and Riverpoint Center in March 2017, and growth in earnings at comparable properties, partially offset by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increased $10.0 million, or 10.0%, to $110.2 million in 2018 compared to $100.1 million in 2017. This increase is due primarily to the following:</w:t>
      </w:r>
    </w:p>
    <w:p>
      <w:pPr>
        <w:spacing w:after="0" w:line="8" w:lineRule="exact"/>
        <w:rPr>
          <w:sz w:val="20"/>
          <w:szCs w:val="20"/>
          <w:color w:val="auto"/>
        </w:rPr>
      </w:pPr>
    </w:p>
    <w:p>
      <w:pPr>
        <w:ind w:left="1140" w:hanging="24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$6.7 million in capitalized interest,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of $6.1 million due to higher borrowings primarily attributable to the $475 million issuance of 3.25% senior notes ($300 million</w:t>
      </w:r>
    </w:p>
    <w:p>
      <w:pPr>
        <w:spacing w:after="0" w:line="46" w:lineRule="exact"/>
        <w:rPr>
          <w:sz w:val="20"/>
          <w:szCs w:val="20"/>
          <w:color w:val="auto"/>
        </w:rPr>
      </w:pPr>
    </w:p>
    <w:p>
      <w:pPr>
        <w:ind w:left="1140" w:right="380"/>
        <w:spacing w:after="0" w:line="250" w:lineRule="auto"/>
        <w:rPr>
          <w:sz w:val="20"/>
          <w:szCs w:val="20"/>
          <w:color w:val="auto"/>
        </w:rPr>
      </w:pPr>
      <w:r>
        <w:rPr>
          <w:rFonts w:ascii="Arial" w:cs="Arial" w:eastAsia="Arial" w:hAnsi="Arial"/>
          <w:sz w:val="18"/>
          <w:szCs w:val="18"/>
          <w:color w:val="auto"/>
        </w:rPr>
        <w:t>issued in June 2017 and $175 million issued in December 2017) and the $100 million reopening in June 2017 of the 4.50% senior notes, partially offset by the early redemption of our $150 million 5.90% senior notes in December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49"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tab/>
        <w:t>a decrease of $2.8 million due to a lower overall weighted average borrowing rate.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interest costs were $129.0 million and $125.7 million in 2018 and 2017, respectively. Capitalized interest was $18.8 million and $25.6 million in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Real Estate Partnerships</w:t>
      </w:r>
    </w:p>
    <w:p>
      <w:pPr>
        <w:spacing w:after="0" w:line="9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Loss from real estate partnerships increased to $3.4 million in 2018 compared to $0.4 million in 2017. This increase is due primarily to our share of losses related to the hotel joint ventures at Assembly Row (hotel opened in August 2018) and Pike &amp; Rose (hotel opened in March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$12.3 million early extinguishment of debt charge in 2017 relates to the make-whole premium paid as part of the early redemption of our 5.90% senior notes on December 31, 2017 and the related write-off of the unamortized discount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$11.9 million gain on sale of real estate for the year ended December 31, 2018 is primarily due to the following:</w:t>
      </w:r>
    </w:p>
    <w:p>
      <w:pPr>
        <w:spacing w:after="0" w:line="63" w:lineRule="exact"/>
        <w:rPr>
          <w:sz w:val="20"/>
          <w:szCs w:val="20"/>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$7.2 million net gain related to condominium unit sales that have closed at our Assembly Row and Pike &amp; Rose properties,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$3.1 million gain related to the sale of the residential building at our Chelsea Commons property in August 2018,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$1.6 million gain related to the sale of our Atlantic Plaza property in November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$77.9 million gain on sale of real estate for the year ended December 31, 2017 is primarily due to the following:</w:t>
      </w:r>
    </w:p>
    <w:p>
      <w:pPr>
        <w:spacing w:after="0" w:line="63" w:lineRule="exact"/>
        <w:rPr>
          <w:sz w:val="20"/>
          <w:szCs w:val="20"/>
          <w:color w:val="auto"/>
        </w:rPr>
      </w:pPr>
    </w:p>
    <w:p>
      <w:pPr>
        <w:ind w:left="1140" w:hanging="241"/>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$15.4 million gain related to the sale of three ground lease parcels at our Assembly Row property in Somerville, Massachusetts,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$6.5 million gain related to the sale of a parcel of land at our Bethesda Row property in December 2017,</w:t>
      </w:r>
    </w:p>
    <w:p>
      <w:pPr>
        <w:spacing w:after="0" w:line="63" w:lineRule="exact"/>
        <w:rPr>
          <w:rFonts w:ascii="Arial" w:cs="Arial" w:eastAsia="Arial" w:hAnsi="Arial"/>
          <w:sz w:val="18"/>
          <w:szCs w:val="18"/>
          <w:color w:val="auto"/>
        </w:rPr>
      </w:pPr>
    </w:p>
    <w:p>
      <w:pPr>
        <w:ind w:left="1140" w:right="500" w:hanging="241"/>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$5.4 million net percentage-of-completion gain, related to residential condominium units under binding contract at our Assembly Row property,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6" w:right="31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841,461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786,583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1,810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857,348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801,591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55,757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95,286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12,553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584,619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547,979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36,640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(193,585)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45,464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38,987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289,914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249,910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40,004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Total property revenue increased $55.8 million, or 7.0%, to $857.3 million in 2017 compared to $801.6 million in 2016. The percentage occupied at our shopping centers was 93.9% at December 31, 2017 compared to 93.3% at December 31, 2016.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$54.9 million, or 7.0%, to $841.5 million in 2017 compared to $786.6 million in 2016 due primarily to the following:</w:t>
      </w:r>
    </w:p>
    <w:p>
      <w:pPr>
        <w:spacing w:after="0" w:line="8" w:lineRule="exact"/>
        <w:rPr>
          <w:sz w:val="20"/>
          <w:szCs w:val="20"/>
          <w:color w:val="auto"/>
        </w:rPr>
      </w:pPr>
    </w:p>
    <w:p>
      <w:pPr>
        <w:ind w:left="1700" w:right="500" w:hanging="801"/>
        <w:spacing w:after="0" w:line="264"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$25.2 million from acquisitions, primarily related to the six shopping centers acquired in Los Angeles County, California in August 2017, Riverpoint Center in March 2017, Hastings Ranch Plaza in February 2017, and the acquisition of six previously unconsolidated Clarion joint venture properties in January 2016,</w:t>
      </w:r>
    </w:p>
    <w:p>
      <w:pPr>
        <w:spacing w:after="0" w:line="19" w:lineRule="exact"/>
        <w:rPr>
          <w:rFonts w:ascii="Arial" w:cs="Arial" w:eastAsia="Arial" w:hAnsi="Arial"/>
          <w:sz w:val="18"/>
          <w:szCs w:val="18"/>
          <w:color w:val="auto"/>
        </w:rPr>
      </w:pPr>
    </w:p>
    <w:p>
      <w:pPr>
        <w:ind w:left="1700" w:hanging="801"/>
        <w:spacing w:after="0" w:line="305" w:lineRule="auto"/>
        <w:tabs>
          <w:tab w:leader="none" w:pos="1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$20.1 million from non-comparable properties, due primarily to the opening of our new office building at Santana Row in late 2016 and the lease-up of residential units and the opening of Phase II at Assembly Row and Pike &amp; Rose during the second half of 2017, partially offset by lower occupancy at two of our retail properties in Florida in the beginning stages of redevelopment, and</w:t>
      </w:r>
    </w:p>
    <w:p>
      <w:pPr>
        <w:ind w:left="1700" w:right="220" w:hanging="801"/>
        <w:spacing w:after="0" w:line="264"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$11.8 million from comparable properties due primarily to higher rental rates of approximately $6.9 million, higher recoveries of $4.3 million primarily the result of higher real estate tax assessments, and higher average occupancy of approximately $1.2 million,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00" w:hanging="801"/>
        <w:spacing w:after="0" w:line="277"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$0.9 million from the sale of our 150 Post Street and North Lake Commons properties in August and September 2017, respectively.</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6" w:right="2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Other property income decreased $1.8 million, or 16.4%, to $12.8 million in 2017 compared to $11.0 million in 2016.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Mortgage Interest Income</w:t>
      </w:r>
    </w:p>
    <w:p>
      <w:pPr>
        <w:spacing w:after="0" w:line="63"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Mortgage interest income decreased $0.9 million, or 23.3%, to $3.1 million in 2017 compared to $4.0 million in 2016. This decrease is primarily related to a mortgage note receivable that was repaid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property expenses increased $19.1 million, or 7.5%, to $272.7 million in 2017 compared to $253.6 million in 2016.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Rental expenses increased $6.6 million, or 4.1%, to $164.9 million in 2017 compared to $158.3 million in 2016. This increase is primarily due to the following:</w:t>
      </w:r>
    </w:p>
    <w:p>
      <w:pPr>
        <w:spacing w:after="0" w:line="8" w:lineRule="exact"/>
        <w:rPr>
          <w:sz w:val="20"/>
          <w:szCs w:val="20"/>
          <w:color w:val="auto"/>
        </w:rPr>
      </w:pPr>
    </w:p>
    <w:p>
      <w:pPr>
        <w:ind w:left="1700" w:right="220" w:hanging="801"/>
        <w:spacing w:after="0" w:line="277" w:lineRule="auto"/>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$5.0 million from acquisitions, primarily related to six shopping centers in Los Angeles County, California, Hastings Ranch Plaza, and Riverpoint Center, and</w:t>
      </w:r>
    </w:p>
    <w:p>
      <w:pPr>
        <w:spacing w:after="0" w:line="8" w:lineRule="exact"/>
        <w:rPr>
          <w:rFonts w:ascii="Arial" w:cs="Arial" w:eastAsia="Arial" w:hAnsi="Arial"/>
          <w:sz w:val="18"/>
          <w:szCs w:val="18"/>
          <w:color w:val="auto"/>
        </w:rPr>
      </w:pPr>
    </w:p>
    <w:p>
      <w:pPr>
        <w:ind w:left="1700" w:right="440" w:hanging="801"/>
        <w:spacing w:after="0" w:line="277" w:lineRule="auto"/>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$3.9 million from non-comparable properties, due primarily to the opening of Phase II residential units during the second half of 2017 and the opening of our new office building at Santana Row in late 2016,</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of $1.9 million from comparable properties, primarily related to lower operating costs.</w:t>
      </w:r>
    </w:p>
    <w:p>
      <w:pPr>
        <w:spacing w:after="0" w:line="17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19.3% for the year ended December 31, 2017 from 19.9%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increased $12.6 million, or 13.2% to $107.8 million in 2017 compared to $95.3 million in 2016 due primarily to the following:</w:t>
      </w:r>
    </w:p>
    <w:p>
      <w:pPr>
        <w:spacing w:after="0" w:line="75" w:lineRule="exact"/>
        <w:rPr>
          <w:sz w:val="20"/>
          <w:szCs w:val="20"/>
          <w:color w:val="auto"/>
        </w:rPr>
      </w:pPr>
    </w:p>
    <w:p>
      <w:pPr>
        <w:ind w:left="1700" w:hanging="801"/>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$5.0 million from comparable properties primarily due to higher assessments,</w:t>
      </w:r>
    </w:p>
    <w:p>
      <w:pPr>
        <w:spacing w:after="0" w:line="63" w:lineRule="exact"/>
        <w:rPr>
          <w:rFonts w:ascii="Arial" w:cs="Arial" w:eastAsia="Arial" w:hAnsi="Arial"/>
          <w:sz w:val="18"/>
          <w:szCs w:val="18"/>
          <w:color w:val="auto"/>
        </w:rPr>
      </w:pPr>
    </w:p>
    <w:p>
      <w:pPr>
        <w:ind w:left="1700" w:right="80" w:hanging="801"/>
        <w:spacing w:after="0" w:line="264"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$4.6 million from acquisitions, primarily related to six shopping centers in Los Angeles County, California, Riverpoint Center, Hastings Ranch Plaza, and the acquisition of six previously unconsolidated Clarion joint venture properties in January 2016, and</w:t>
      </w:r>
    </w:p>
    <w:p>
      <w:pPr>
        <w:spacing w:after="0" w:line="19" w:lineRule="exact"/>
        <w:rPr>
          <w:rFonts w:ascii="Arial" w:cs="Arial" w:eastAsia="Arial" w:hAnsi="Arial"/>
          <w:sz w:val="18"/>
          <w:szCs w:val="18"/>
          <w:color w:val="auto"/>
        </w:rPr>
      </w:pPr>
    </w:p>
    <w:p>
      <w:pPr>
        <w:ind w:left="1700" w:right="180" w:hanging="801"/>
        <w:spacing w:after="0" w:line="277"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$3.9 million from non-comparable properties, primarily related to our new office building at Santana Row, Assembly Row and Pike &amp; Rose, and other reassessments on our redevelopments.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Property operating income increased $36.6 million, or 6.7%, to $584.6 million in 2017 compared to $548.0 million in 2016. This increase is primarily due to non-comparable properties, largely the new office building at Santana Row and Assembly Row and Pike &amp; Rose (primarily the lease-up of residential units at Pike &amp; Rose, the opening of the second phase of retail at</w:t>
      </w:r>
    </w:p>
    <w:p>
      <w:pPr>
        <w:ind w:right="340"/>
        <w:spacing w:after="0" w:line="261" w:lineRule="auto"/>
        <w:rPr>
          <w:sz w:val="20"/>
          <w:szCs w:val="20"/>
          <w:color w:val="auto"/>
        </w:rPr>
      </w:pPr>
      <w:r>
        <w:rPr>
          <w:rFonts w:ascii="Arial" w:cs="Arial" w:eastAsia="Arial" w:hAnsi="Arial"/>
          <w:sz w:val="18"/>
          <w:szCs w:val="18"/>
          <w:color w:val="auto"/>
        </w:rPr>
        <w:t>Pike &amp; Rose, and higher lease termination fees), 2017 acquisitions, growth in earnings at comparable properties, and the acquisition of the six previously unconsolidated Clarion joint venture properties in January 2016.</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6" w:right="27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General and administrative expense increased $2.9 million, or 8.6%, to $36.3 million in 2017 from $33.4 million in 2016. This increase is primarily due to higher personnel related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Depreciation and amortization expense increased $22.5 million, or 11.6%, to $216.1 million in 2017 from $193.6 million in 2016. This increase is primarily due to 2017 acquisitions, non-comparable properties (largely the new office building at Santana Row), and comparable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Operating income increased $11.3 million, or 3.5%, to $332.3 million in 2017 compared to $321.0 million in 2016. This increase is primarily due to the new office building at Santana Row and Assembly Row and Pike &amp; Rose, our 2017 acquisitions and the acquisition of the six previously unconsolidated Clarion joint venture properties in January 2016, and growth in earnings at comparable properties, partially offset by higher personnel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Interest expense increased $5.1 million, or 5.4%, to $100.1 million in 2017 compared to $95.0 million in 2016. This increase is due primarily to the following:</w:t>
      </w:r>
    </w:p>
    <w:p>
      <w:pPr>
        <w:spacing w:after="0" w:line="8" w:lineRule="exact"/>
        <w:rPr>
          <w:sz w:val="20"/>
          <w:szCs w:val="20"/>
          <w:color w:val="auto"/>
        </w:rPr>
      </w:pPr>
    </w:p>
    <w:p>
      <w:pPr>
        <w:ind w:left="1140" w:right="340" w:hanging="241"/>
        <w:spacing w:after="0" w:line="256"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$16.1 million due to higher borrowings primarily attributable to the $300 million 3.25% senior notes and the $100 million reopening of the 4.5% senior notes both issued in June 2017, the 3.625% senior notes issued in July 2016, and higher weighted average borrowings on our revolving credit facility,</w:t>
      </w:r>
    </w:p>
    <w:p>
      <w:pPr>
        <w:spacing w:after="0"/>
        <w:rPr>
          <w:sz w:val="20"/>
          <w:szCs w:val="20"/>
          <w:color w:val="auto"/>
        </w:rPr>
      </w:pPr>
      <w:r>
        <w:rPr>
          <w:rFonts w:ascii="Arial" w:cs="Arial" w:eastAsia="Arial" w:hAnsi="Arial"/>
          <w:sz w:val="18"/>
          <w:szCs w:val="18"/>
          <w:color w:val="auto"/>
        </w:rPr>
        <w:t>partially offset by</w:t>
      </w:r>
    </w:p>
    <w:p>
      <w:pPr>
        <w:spacing w:after="0" w:line="49" w:lineRule="exact"/>
        <w:rPr>
          <w:sz w:val="20"/>
          <w:szCs w:val="20"/>
          <w:color w:val="auto"/>
        </w:rPr>
      </w:pPr>
    </w:p>
    <w:p>
      <w:pPr>
        <w:ind w:left="1140" w:hanging="241"/>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of $7.5 million in capitalized interest,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of $3.5 million due to a lower overall weighted average borrowing rate.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interest costs were $125.7 million and $113.0 million in 2017 and 2016, respectively. Capitalized interest was $25.6 million and $18.0 million in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$12.3 million early extinguishment of debt in 2017 relates to the make-whole premium paid as part of the early redemption of our 5.90% senior notes on December 31, 2017 and the related write-off of the unamortized discount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$77.9 million net gain on sale of real estate for the year ended December 31, 2017 is primarily due to the following:</w:t>
      </w:r>
    </w:p>
    <w:p>
      <w:pPr>
        <w:spacing w:after="0" w:line="63" w:lineRule="exact"/>
        <w:rPr>
          <w:sz w:val="20"/>
          <w:szCs w:val="20"/>
          <w:color w:val="auto"/>
        </w:rPr>
      </w:pPr>
    </w:p>
    <w:p>
      <w:pPr>
        <w:ind w:left="1140" w:hanging="241"/>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$15.4 million gain related to the sale of three ground lease parcels at our Assembly Row property in Somerville, Massachusetts,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$6.5 million gain related to the sale of a parcel of land at our Bethesda Row property in December 2017,</w:t>
      </w:r>
    </w:p>
    <w:p>
      <w:pPr>
        <w:spacing w:after="0" w:line="63" w:lineRule="exact"/>
        <w:rPr>
          <w:rFonts w:ascii="Arial" w:cs="Arial" w:eastAsia="Arial" w:hAnsi="Arial"/>
          <w:sz w:val="18"/>
          <w:szCs w:val="18"/>
          <w:color w:val="auto"/>
        </w:rPr>
      </w:pPr>
    </w:p>
    <w:p>
      <w:pPr>
        <w:ind w:left="1140" w:right="480" w:hanging="241"/>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$5.4 million net percentage-of-completion gain, related to residential condominium units under binding contract at our Assembly Row property,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$32.5 million gain on sale of real estate and change in control of interests for the year ended December 31, 2016 is primarily due to the following:</w:t>
      </w:r>
    </w:p>
    <w:p>
      <w:pPr>
        <w:spacing w:after="0" w:line="75" w:lineRule="exact"/>
        <w:rPr>
          <w:sz w:val="20"/>
          <w:szCs w:val="20"/>
          <w:color w:val="auto"/>
        </w:rPr>
      </w:pPr>
    </w:p>
    <w:p>
      <w:pPr>
        <w:ind w:left="1140" w:hanging="241"/>
        <w:spacing w:after="0" w:line="264"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$25.7 million gain related to our obtaining control of six properties when we acquired Clarion’s 70% interest in the partnership that owned those properties. The properties were previously accounted for under the equity method of accounting. We consolidated these assets effective January 13, 2016, and consequently recognized a gain on obtaining the controlling interest,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126"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left="1140" w:right="20" w:hanging="241"/>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$4.9 million gain related to the reversal of the unused portion of the warranty reserve for condominium units at Santana Row, as the statutorily mandated latent construction defect period ended in third quarter 2016, and</w:t>
      </w:r>
    </w:p>
    <w:p>
      <w:pPr>
        <w:spacing w:after="0" w:line="8" w:lineRule="exact"/>
        <w:rPr>
          <w:rFonts w:ascii="Arial" w:cs="Arial" w:eastAsia="Arial" w:hAnsi="Arial"/>
          <w:sz w:val="18"/>
          <w:szCs w:val="18"/>
          <w:color w:val="auto"/>
        </w:rPr>
      </w:pPr>
    </w:p>
    <w:p>
      <w:pPr>
        <w:ind w:left="1140" w:right="220" w:hanging="241"/>
        <w:spacing w:after="0" w:line="277"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$1.8 million gain related to the sale of a building in Coconut Grove, Florida. Our share of the gain, net of noncontrolling interests, was $0.5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December 31, 2018, we had cash and cash equivalents of $64.1 million and no outstanding balance on our $800.0 million unsecured revolving credit facility which matures on April 20, 2020, subject to two six-month extensions at our option. In addition, we have an option (subject to bank approval) to increase the credit facility through an accordion feature to $1.5 billion. For the year ended 2018, the maximum amount of borrowings outstanding under our revolving credit facility was $177.0 million the weighted average amount of borrowings outstanding was $83.1 million and the weighted average interest rate, before amortization of debt fees, was 2.7%. During 2019, we have only $295.3 million of debt maturing (of which $20.3 million was repaid on January 31, 2019). As of December 31, 2018, we had the capacity to issue up to $272.4 million in common shares under our ATM equity program.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overall capital requirements during 2019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see higher levels of capital investments in our properties under development and redevelopment compared to 2018, as we invest in the next phase of these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516,688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458,828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(192,247)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(837,922)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369,445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83,132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108,332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25,200</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Net cash provided by operating activities increased $57.9 million to $516.7 million during 2018 from $458.8 million during 2017. The increase was primarily attributable to higher net income before certain non-cash items, $12.4 million in net proceeds from the Jordan Downs Plaza new market tax credit transaction (see Note 3 to the Consolidated Financial Statements for further discussion) and timing of cash receipts, partially offset by timing of interest payments on our senior notes.</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in investing activities decreased $645.7 million to $192.2 million during 2018 from $837.9 million during 2017. The decrease was primarily attributable to:</w:t>
      </w:r>
    </w:p>
    <w:p>
      <w:pPr>
        <w:spacing w:after="0" w:line="8" w:lineRule="exact"/>
        <w:rPr>
          <w:sz w:val="20"/>
          <w:szCs w:val="20"/>
          <w:color w:val="auto"/>
        </w:rPr>
      </w:pPr>
    </w:p>
    <w:p>
      <w:pPr>
        <w:ind w:left="1140" w:right="100" w:hanging="241"/>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$424.3 million decrease in acquisitions of real estate, primarily due to the 2017 acquisitions of six shopping centers in Los Angeles County, California and our Riverpoint Center, Hastings Ranch, and Fourth Street properties,</w:t>
      </w:r>
    </w:p>
    <w:p>
      <w:pPr>
        <w:spacing w:after="0" w:line="8" w:lineRule="exact"/>
        <w:rPr>
          <w:rFonts w:ascii="Arial" w:cs="Arial" w:eastAsia="Arial" w:hAnsi="Arial"/>
          <w:sz w:val="18"/>
          <w:szCs w:val="18"/>
          <w:color w:val="auto"/>
        </w:rPr>
      </w:pPr>
    </w:p>
    <w:p>
      <w:pPr>
        <w:ind w:left="1140" w:right="580" w:hanging="241"/>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$141.9 million decrease in capital expenditures and leasing costs primarily due to the completion of portions of Phase II of both our Assembly Row and Pike &amp; Rose projects,</w:t>
      </w:r>
    </w:p>
    <w:p>
      <w:pPr>
        <w:spacing w:after="0" w:line="8" w:lineRule="exact"/>
        <w:rPr>
          <w:rFonts w:ascii="Arial" w:cs="Arial" w:eastAsia="Arial" w:hAnsi="Arial"/>
          <w:sz w:val="18"/>
          <w:szCs w:val="18"/>
          <w:color w:val="auto"/>
        </w:rPr>
      </w:pPr>
    </w:p>
    <w:p>
      <w:pPr>
        <w:ind w:left="1140" w:right="20" w:hanging="241"/>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$41.7 million increase in proceeds from sale of real estate primarily due to the sale of condominiums at our Assembly Row and Pike &amp; Rose properties in 2018, and</w:t>
      </w:r>
    </w:p>
    <w:p>
      <w:pPr>
        <w:spacing w:after="0" w:line="8" w:lineRule="exact"/>
        <w:rPr>
          <w:rFonts w:ascii="Arial" w:cs="Arial" w:eastAsia="Arial" w:hAnsi="Arial"/>
          <w:sz w:val="18"/>
          <w:szCs w:val="18"/>
          <w:color w:val="auto"/>
        </w:rPr>
      </w:pPr>
    </w:p>
    <w:p>
      <w:pPr>
        <w:ind w:left="1140" w:right="380" w:hanging="241"/>
        <w:spacing w:after="0" w:line="277"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$38.0 million in proceeds from our Assembly Row hotel joint venture formation (see Note 3 to the Consolidated Financial Statements for further discussion).</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in financing activities increased $610.8 million to $241.3 million during 2018 from $369.4 million provided by financing activities during 2017. The increase was primarily attributable to:</w:t>
      </w:r>
    </w:p>
    <w:p>
      <w:pPr>
        <w:spacing w:after="0" w:line="8" w:lineRule="exact"/>
        <w:rPr>
          <w:sz w:val="20"/>
          <w:szCs w:val="20"/>
          <w:color w:val="auto"/>
        </w:rPr>
      </w:pPr>
    </w:p>
    <w:p>
      <w:pPr>
        <w:ind w:left="1140" w:right="460" w:hanging="241"/>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$572.1 million net proceeds from the June 2017 issuance of $300.0 million and the December 2017 issuance of $175.0 million of 3.25% senior unsecured notes and $100.0 million of 4.50% notes,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$145.0 million in net proceeds from the September 2017 issuance of 6,000 Series C Preferred Shares,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$41.0 million of repayments on our revolving credit facility in 2018, as compared to $41.0 million of borrowings in 2017,</w:t>
      </w:r>
    </w:p>
    <w:p>
      <w:pPr>
        <w:spacing w:after="0" w:line="63" w:lineRule="exact"/>
        <w:rPr>
          <w:rFonts w:ascii="Arial" w:cs="Arial" w:eastAsia="Arial" w:hAnsi="Arial"/>
          <w:sz w:val="18"/>
          <w:szCs w:val="18"/>
          <w:color w:val="auto"/>
        </w:rPr>
      </w:pPr>
    </w:p>
    <w:p>
      <w:pPr>
        <w:ind w:left="1140" w:right="20" w:hanging="241"/>
        <w:spacing w:after="0" w:line="317" w:lineRule="auto"/>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$18.2 million increase in dividends paid to shareholders due to an increase in the common share dividend rate, an increase in the number of common shares outstanding, and preferred dividends related to the issuance of our Series C Preferred Shares in September 2017, and</w:t>
      </w:r>
    </w:p>
    <w:p>
      <w:pPr>
        <w:ind w:left="1140" w:right="160" w:hanging="241"/>
        <w:spacing w:after="0" w:line="277"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$10.6 million decrease in contributions from noncontrolling interests primarily due to contributions to fund the $50.0 million repayment of the Plaza El Segundo mortgage loan in June 2017,</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December 2017 redemption of $150.0 million of senior notes with a make-whole premium of $11.9 million,</w:t>
      </w:r>
    </w:p>
    <w:p>
      <w:pPr>
        <w:spacing w:after="0" w:line="63" w:lineRule="exact"/>
        <w:rPr>
          <w:rFonts w:ascii="Arial" w:cs="Arial" w:eastAsia="Arial" w:hAnsi="Arial"/>
          <w:sz w:val="18"/>
          <w:szCs w:val="18"/>
          <w:color w:val="auto"/>
        </w:rPr>
      </w:pPr>
    </w:p>
    <w:p>
      <w:pPr>
        <w:ind w:left="1140" w:right="260" w:hanging="241"/>
        <w:spacing w:after="0" w:line="317" w:lineRule="auto"/>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$39.7 million decrease in repayment of mortgages and capital leases due to the $10.5 million payoff of the mortgage loan on the Grove at Shrewsbury (West) in March 2018, as compared to the $50.0 million paydown of the Plaza El Segundo mortgage loan in June 2017, and</w:t>
      </w:r>
    </w:p>
    <w:p>
      <w:pPr>
        <w:ind w:left="1140" w:right="60" w:hanging="241"/>
        <w:spacing w:after="0" w:line="264"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$12.3 million increase in net proceeds from the issuance of 1.0 million common shares under our ATM program at a weighted average price of $129.19 during 2018, as compared to 0.8 million common shares at a weighted average price of $132.56 in 2017, partially offset by lower option exercises in 2018.</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4"/>
                <w:szCs w:val="14"/>
                <w:b w:val="1"/>
                <w:bCs w:val="1"/>
                <w:color w:val="auto"/>
                <w:w w:val="92"/>
              </w:rPr>
              <w:t>Commitments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0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4,225,465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133,939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552,103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814,370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2,725,053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Fixed and variable rate debt - our share of</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w w:val="95"/>
              </w:rPr>
              <w:t>unconsolidated real estate partnerships (principal and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28,527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21,119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(principal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82,862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 only)(1)</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184,803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commitments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Development, redevelopment, and capital improvement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428,061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operating obligations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76,709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34,053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28,195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5,650,587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754,520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930,675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3,055,218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8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Variable rate debt includes our $275.0 million term loan that bears interest at LIBOR plus 0.90%, and our revolving credit facility, which bears interest at LIBOR plus 0.825% and had no balance outstanding at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102" w:lineRule="exact"/>
        <w:rPr>
          <w:sz w:val="20"/>
          <w:szCs w:val="20"/>
          <w:color w:val="auto"/>
        </w:rPr>
      </w:pPr>
    </w:p>
    <w:p>
      <w:pPr>
        <w:ind w:right="260" w:firstLine="413"/>
        <w:spacing w:after="0" w:line="259"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2018, our estimated liability upon exercise of the put option would range from approximately $78 million to $83 million.</w:t>
      </w:r>
    </w:p>
    <w:p>
      <w:pPr>
        <w:spacing w:after="0" w:line="51" w:lineRule="exact"/>
        <w:rPr>
          <w:rFonts w:ascii="Arial" w:cs="Arial" w:eastAsia="Arial" w:hAnsi="Arial"/>
          <w:sz w:val="18"/>
          <w:szCs w:val="18"/>
          <w:color w:val="auto"/>
        </w:rPr>
      </w:pPr>
    </w:p>
    <w:p>
      <w:pPr>
        <w:ind w:right="380" w:firstLine="413"/>
        <w:spacing w:after="0" w:line="334"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2018, a total of 738,423 operating partnership units are outstanding.</w:t>
      </w:r>
    </w:p>
    <w:p>
      <w:pPr>
        <w:spacing w:after="0" w:line="1" w:lineRule="exact"/>
        <w:rPr>
          <w:rFonts w:ascii="Arial" w:cs="Arial" w:eastAsia="Arial" w:hAnsi="Arial"/>
          <w:sz w:val="16"/>
          <w:szCs w:val="16"/>
          <w:color w:val="auto"/>
        </w:rPr>
      </w:pPr>
    </w:p>
    <w:p>
      <w:pPr>
        <w:jc w:val="both"/>
        <w:ind w:right="180" w:firstLine="440"/>
        <w:spacing w:after="0" w:line="259" w:lineRule="auto"/>
        <w:tabs>
          <w:tab w:leader="none" w:pos="67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2018, our estimated maximum liability upon exercise of the put option would range from approximately $13 million to $14 million.</w:t>
      </w:r>
    </w:p>
    <w:p>
      <w:pPr>
        <w:spacing w:after="0" w:line="51" w:lineRule="exact"/>
        <w:rPr>
          <w:rFonts w:ascii="Arial" w:cs="Arial" w:eastAsia="Arial" w:hAnsi="Arial"/>
          <w:sz w:val="18"/>
          <w:szCs w:val="18"/>
          <w:color w:val="auto"/>
        </w:rPr>
      </w:pPr>
    </w:p>
    <w:p>
      <w:pPr>
        <w:ind w:right="80" w:firstLine="440"/>
        <w:spacing w:after="0" w:line="259" w:lineRule="auto"/>
        <w:tabs>
          <w:tab w:leader="none" w:pos="68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2018, our estimated maximum liability upon exercise of the put option would range from approximately $23 million to $26 million.</w:t>
      </w:r>
    </w:p>
    <w:p>
      <w:pPr>
        <w:spacing w:after="0" w:line="51" w:lineRule="exact"/>
        <w:rPr>
          <w:rFonts w:ascii="Arial" w:cs="Arial" w:eastAsia="Arial" w:hAnsi="Arial"/>
          <w:sz w:val="18"/>
          <w:szCs w:val="18"/>
          <w:color w:val="auto"/>
        </w:rPr>
      </w:pPr>
    </w:p>
    <w:p>
      <w:pPr>
        <w:ind w:right="160" w:firstLine="440"/>
        <w:spacing w:after="0" w:line="257" w:lineRule="auto"/>
        <w:tabs>
          <w:tab w:leader="none" w:pos="677" w:val="left"/>
        </w:tabs>
        <w:numPr>
          <w:ilvl w:val="1"/>
          <w:numId w:val="55"/>
        </w:numPr>
        <w:rPr>
          <w:rFonts w:ascii="Arial" w:cs="Arial" w:eastAsia="Arial" w:hAnsi="Arial"/>
          <w:sz w:val="18"/>
          <w:szCs w:val="18"/>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2018, our estimated maximum liability upon exercise of the put option would range from $9 million to $10 million. On January 4, 2019, we acquired a portion of the noncontrolling interest in Brook 35 for $0.8 million, bringing the noncontrolling ownership interest down to 6.5%.</w:t>
      </w:r>
    </w:p>
    <w:p>
      <w:pPr>
        <w:spacing w:after="0" w:line="53" w:lineRule="exact"/>
        <w:rPr>
          <w:rFonts w:ascii="Arial" w:cs="Arial" w:eastAsia="Arial" w:hAnsi="Arial"/>
          <w:sz w:val="18"/>
          <w:szCs w:val="18"/>
          <w:color w:val="auto"/>
        </w:rPr>
      </w:pPr>
    </w:p>
    <w:p>
      <w:pPr>
        <w:ind w:left="660" w:hanging="220"/>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At December 31, 2018, we had letters of credit outstanding of approximately $1.3 million.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2018, we have three real estate related equity method investments with total debt outstanding of $112.6 million, of which our share is $54.1 million. Our investment in these ventures at December 31, 2018 was $26.9 million.</w:t>
      </w:r>
    </w:p>
    <w:p>
      <w:pPr>
        <w:spacing w:after="0" w:line="35"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Other than the items disclosed in the Contractual Commitments Table, we have no off-balance sheet arrangements as of December 31, 2018 that are reasonably likely to have a current or future material effect on our financial condition, revenues or expenses, results of operations, liquidity, capital expenditures or capital resources.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126" w:right="31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20"/>
              <w:spacing w:after="0"/>
              <w:rPr>
                <w:sz w:val="20"/>
                <w:szCs w:val="20"/>
                <w:color w:val="auto"/>
              </w:rPr>
            </w:pPr>
            <w:r>
              <w:rPr>
                <w:rFonts w:ascii="Arial" w:cs="Arial" w:eastAsia="Arial" w:hAnsi="Arial"/>
                <w:sz w:val="14"/>
                <w:szCs w:val="14"/>
                <w:b w:val="1"/>
                <w:bCs w:val="1"/>
                <w:color w:val="auto"/>
              </w:rPr>
              <w:t>Original</w:t>
            </w:r>
          </w:p>
        </w:tc>
        <w:tc>
          <w:tcPr>
            <w:tcW w:w="14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 of</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24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56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top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24,050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20,331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The Shops at Sunset Place</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64,453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Sylmar Towne Center</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17,006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THE AVENUE at White Marsh</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52,705</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52,705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69,310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Azalea</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12,936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Plaza El Segundo</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43,600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Brook 35</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11,500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11,500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20"/>
              <w:spacing w:after="0"/>
              <w:rPr>
                <w:sz w:val="20"/>
                <w:szCs w:val="20"/>
                <w:color w:val="auto"/>
              </w:rPr>
            </w:pPr>
            <w:r>
              <w:rPr>
                <w:rFonts w:ascii="Arial" w:cs="Arial" w:eastAsia="Arial" w:hAnsi="Arial"/>
                <w:sz w:val="16"/>
                <w:szCs w:val="16"/>
                <w:color w:val="auto"/>
              </w:rPr>
              <w:t>Subtotal</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475,308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20"/>
              <w:spacing w:after="0"/>
              <w:rPr>
                <w:sz w:val="20"/>
                <w:szCs w:val="20"/>
                <w:color w:val="auto"/>
              </w:rPr>
            </w:pPr>
            <w:r>
              <w:rPr>
                <w:rFonts w:ascii="Arial" w:cs="Arial" w:eastAsia="Arial" w:hAnsi="Arial"/>
                <w:sz w:val="16"/>
                <w:szCs w:val="16"/>
                <w:color w:val="auto"/>
              </w:rPr>
              <w:t>Total mortgages payable</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474,379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1940" w:type="dxa"/>
            <w:vAlign w:val="bottom"/>
          </w:tcPr>
          <w:p>
            <w:pPr>
              <w:jc w:val="right"/>
              <w:spacing w:after="0"/>
              <w:rPr>
                <w:sz w:val="20"/>
                <w:szCs w:val="20"/>
                <w:color w:val="auto"/>
              </w:rPr>
            </w:pPr>
            <w:r>
              <w:rPr>
                <w:rFonts w:ascii="Arial" w:cs="Arial" w:eastAsia="Arial" w:hAnsi="Arial"/>
                <w:sz w:val="16"/>
                <w:szCs w:val="16"/>
                <w:color w:val="auto"/>
              </w:rPr>
              <w:t>November 21, 2019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 (1)</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800,000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+ 0.825%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7,239</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4,392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279,392</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920"/>
              <w:spacing w:after="0"/>
              <w:rPr>
                <w:sz w:val="20"/>
                <w:szCs w:val="20"/>
                <w:color w:val="auto"/>
              </w:rPr>
            </w:pPr>
            <w:r>
              <w:rPr>
                <w:rFonts w:ascii="Arial" w:cs="Arial" w:eastAsia="Arial" w:hAnsi="Arial"/>
                <w:sz w:val="16"/>
                <w:szCs w:val="16"/>
                <w:color w:val="auto"/>
              </w:rPr>
              <w:t>Net unamortized debt issuance costs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279,027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2.55%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2.75%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7.48% debentures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3.25%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475,000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6.82% medium term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550,000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3.625%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2,419,200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(14,921)</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2,404,279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71,519</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3,229,204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right="620" w:hanging="812"/>
        <w:spacing w:after="0" w:line="277" w:lineRule="auto"/>
        <w:tabs>
          <w:tab w:leader="none" w:pos="1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2018 was $177.0 million and the weighted average effective interest rate on borrowings under our revolving credit facility, before amortization of debt fees, was 2.7%.</w:t>
      </w:r>
    </w:p>
    <w:p>
      <w:pPr>
        <w:spacing w:after="0" w:line="11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revolving credit facility, term loan and other debt agreements include financial and other covenants that may limit our operating activities in the future. As of December 31, 2018, we were in compliance with all of the financial and other covenants related to our revolving credit facility, term loan, and senior notes. Additionally, as of December 31, 2018, we were in compliance with all of the financial and other covenants that could trigger loan default on our mortgage loans. If we were to breach any of these financial and other covenants and did not cure the breach within an applicable cure period, our lenders</w:t>
      </w:r>
    </w:p>
    <w:p>
      <w:pPr>
        <w:sectPr>
          <w:pgSz w:w="11900" w:h="16838" w:orient="portrait"/>
          <w:cols w:equalWidth="0" w:num="1">
            <w:col w:w="11420"/>
          </w:cols>
          <w:pgMar w:left="240" w:top="126" w:right="239" w:bottom="15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6" w:right="239" w:bottom="15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Secured</w:t>
            </w: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275,551</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25,795</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301,392</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65,539</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66,198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30,541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281,274</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250,758</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117,018</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367,832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275,787</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331,560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1,645,201</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235,685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1,897,163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2,698,592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475,308</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71,519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3,245,419</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2019 maturities include a $20.3 million mortgage loan, which was paid off at par on January 31, 2019, prior to its original maturity date.</w:t>
      </w:r>
    </w:p>
    <w:p>
      <w:pPr>
        <w:spacing w:after="0" w:line="63"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December 31, 2018, there was no outstanding balance under this credit facility.</w:t>
      </w:r>
    </w:p>
    <w:p>
      <w:pPr>
        <w:spacing w:after="0" w:line="8"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Prior to November 1, 2018, we were party to two interest rate swap agreements that effectively fixed the rate on the term loan at 2.62%. Both swaps were designated and qualified as cash flow hedges and were recorded at fair value. As of December 31, 2018, our Assembly Row hotel joint venture is a party to two interest rate swap agreements that effectively fix their debt at 5.206%. Both swaps were designated and qualify for cash flow hedge accounting. Hedge ineffectiveness has not impacted earnings in 2018, 2017 and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10" w:lineRule="exact"/>
        <w:rPr>
          <w:sz w:val="20"/>
          <w:szCs w:val="20"/>
          <w:color w:val="auto"/>
        </w:rPr>
      </w:pPr>
    </w:p>
    <w:p>
      <w:pPr>
        <w:ind w:left="1700" w:right="460" w:hanging="801"/>
        <w:spacing w:after="0" w:line="277" w:lineRule="auto"/>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7"/>
          </w:tcPr>
          <w:p>
            <w:pPr>
              <w:jc w:val="center"/>
              <w:ind w:left="433"/>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258,883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213,098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188,719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169,198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467,693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420,125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404,850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(2)</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461,777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419,977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406,359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71,869</w:t>
            </w: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5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year ended December 31, 2018 and 2017, dividends on our Series 1 preferred stock are not deducted in the calculation of FFO available to common shareholders, as the related shares are dilutive and included in "weighted average common shares, diluted." The weighted average common shares used to compute FFO per diluted common share also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left="660" w:right="4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$12.3 million early extinguishment of debt charge incurred in 2017 was excluded, our FFO available for common shareholders for 2017 would have been $432.2 million, and FFO available for common shareholders, per diluted share would have been $5.91.</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December 31, 2018, we had $2.9 billion of fixed-rate debt outstanding; we also had capital lease obligations of $71.5 million. If market interest rates used to calculate the fair value on our fixed-rate debt instruments at December 31, 2018 had been 1.0% higher, the fair value of those debt instruments on that date would have decreased by approximately $203.8 million. If market interest rates used to calculate the fair value on our fixed-rate debt instruments at December 31, 2018 had been 1.0% lower, the fair value of those debt instruments on that date would have increased by approximately $234.2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December 31, 2018, we had $275.0 million of variable rate debt outstanding. Based upon this amount of variable rate debt and the specific terms, if market interest rates increased 1.0%, our annual interest expense would increase by approximately $2.8 million with a corresponding decrease in our net income and cash flows for the year. Conversely, if market rates decreased 1.0%, our annual interest expense would decrease by approximately $2.8 million with a corresponding increase in our net income and cash flows for the year.</w:t>
      </w:r>
    </w:p>
    <w:p>
      <w:pPr>
        <w:spacing w:after="0" w:line="21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193" w:lineRule="exact"/>
        <w:rPr>
          <w:sz w:val="20"/>
          <w:szCs w:val="20"/>
          <w:color w:val="auto"/>
        </w:rPr>
      </w:pPr>
    </w:p>
    <w:p>
      <w:pPr>
        <w:ind w:right="108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Trust maintains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with the participation of the Trust’s Chief Executive Officer and Chief Financial Officer, evaluated the effectiveness of the design and operation of the Trust’s disclosure controls and procedures as of December 31, 2018. Based on that evaluation, the Trust’s Chief Executive Officer and Chief Financial Officer concluded that, as of December 31, 2018, the Trust’s disclosure controls and procedures were effective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Trust’s management is responsible for establishing and maintaining adequate internal control over financial reporting. Internal control over financial reporting is defined in Rule 13a-15(f) and 15d-15(f) under the Exchange Act as a process designed by, or under the supervision of, the Trust’s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1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our assets;</w:t>
      </w:r>
    </w:p>
    <w:p>
      <w:pPr>
        <w:spacing w:after="0" w:line="34"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assessed the effectiveness of the Trust’s internal control over financial reporting as of December 31, 2018.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Based on that assessment and criteria, management concluded that the Trust's internal control over financial reporting was effective as of December 31, 2018.</w:t>
      </w:r>
    </w:p>
    <w:p>
      <w:pPr>
        <w:spacing w:after="0" w:line="39" w:lineRule="exact"/>
        <w:rPr>
          <w:sz w:val="20"/>
          <w:szCs w:val="20"/>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w:t>
      </w:r>
      <w:hyperlink w:anchor="page59">
        <w:r>
          <w:rPr>
            <w:rFonts w:ascii="Arial" w:cs="Arial" w:eastAsia="Arial" w:hAnsi="Arial"/>
            <w:sz w:val="18"/>
            <w:szCs w:val="18"/>
            <w:u w:val="single" w:color="auto"/>
            <w:color w:val="0000EE"/>
          </w:rPr>
          <w:t>F-2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2018 that materially affected, or is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2019 Annual Meeting of Shareholders (as amended or supplemented, the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left="4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and notes thereto, together with Reports of Independent Registered Public Accounting Firm are included as a separate section of this Annual Report on Form 10-K commencing on page </w:t>
      </w:r>
      <w:hyperlink w:anchor="page58">
        <w:r>
          <w:rPr>
            <w:rFonts w:ascii="Arial" w:cs="Arial" w:eastAsia="Arial" w:hAnsi="Arial"/>
            <w:sz w:val="18"/>
            <w:szCs w:val="18"/>
            <w:u w:val="single" w:color="auto"/>
            <w:color w:val="0000EE"/>
          </w:rPr>
          <w:t>F-1</w:t>
        </w:r>
      </w:hyperlink>
      <w:r>
        <w:rPr>
          <w:rFonts w:ascii="Arial" w:cs="Arial" w:eastAsia="Arial" w:hAnsi="Arial"/>
          <w:sz w:val="18"/>
          <w:szCs w:val="18"/>
          <w:color w:val="auto"/>
        </w:rPr>
        <w:t>.</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hyperlink w:anchor="page89">
        <w:r>
          <w:rPr>
            <w:rFonts w:ascii="Arial" w:cs="Arial" w:eastAsia="Arial" w:hAnsi="Arial"/>
            <w:sz w:val="18"/>
            <w:szCs w:val="18"/>
            <w:u w:val="single" w:color="auto"/>
            <w:color w:val="0000EE"/>
          </w:rPr>
          <w:t>F-32</w:t>
        </w:r>
      </w:hyperlink>
      <w:r>
        <w:rPr>
          <w:rFonts w:ascii="Arial" w:cs="Arial" w:eastAsia="Arial" w:hAnsi="Arial"/>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391" w:lineRule="exact"/>
        <w:rPr>
          <w:sz w:val="20"/>
          <w:szCs w:val="20"/>
          <w:color w:val="auto"/>
        </w:rPr>
      </w:pPr>
    </w:p>
    <w:p>
      <w:pPr>
        <w:ind w:left="300" w:hanging="265"/>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documents are filed as exhibits are filed as part of, or incorporated by reference info,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52</w:t>
      </w:r>
    </w:p>
    <w:p>
      <w:pPr>
        <w:sectPr>
          <w:pgSz w:w="11900" w:h="16838" w:orient="portrait"/>
          <w:cols w:equalWidth="0" w:num="1">
            <w:col w:w="11380"/>
          </w:cols>
          <w:pgMar w:left="240" w:top="126" w:right="2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560" w:type="dxa"/>
            <w:vAlign w:val="bottom"/>
            <w:gridSpan w:val="15"/>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034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4"/>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 xml:space="preserve">Realty Investment Trust dated May 6, 2009 (previously filed as </w:t>
            </w:r>
            <w:hyperlink r:id="rId14">
              <w:r>
                <w:rPr>
                  <w:rFonts w:ascii="Arial" w:cs="Arial" w:eastAsia="Arial" w:hAnsi="Arial"/>
                  <w:sz w:val="18"/>
                  <w:szCs w:val="18"/>
                  <w:color w:val="0000FF"/>
                  <w:w w:val="93"/>
                </w:rPr>
                <w:t>Exhibit 3.1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Registration Statement on Form S-3 (File No. 333-</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10"/>
          </w:tcPr>
          <w:p>
            <w:pPr>
              <w:spacing w:after="0"/>
              <w:rPr>
                <w:sz w:val="20"/>
                <w:szCs w:val="20"/>
                <w:color w:val="auto"/>
              </w:rPr>
            </w:pPr>
            <w:r>
              <w:rPr>
                <w:rFonts w:ascii="Arial" w:cs="Arial" w:eastAsia="Arial" w:hAnsi="Arial"/>
                <w:sz w:val="18"/>
                <w:szCs w:val="18"/>
                <w:color w:val="auto"/>
              </w:rPr>
              <w:t>160009) and incorporated herein by reference)</w:t>
            </w:r>
          </w:p>
        </w:tc>
        <w:tc>
          <w:tcPr>
            <w:tcW w:w="800" w:type="dxa"/>
            <w:vAlign w:val="bottom"/>
            <w:tcBorders>
              <w:top w:val="single" w:sz="8" w:color="0000FF"/>
            </w:tcBorders>
            <w:gridSpan w:val="2"/>
          </w:tcPr>
          <w:p>
            <w:pPr>
              <w:spacing w:after="0"/>
              <w:rPr>
                <w:sz w:val="20"/>
                <w:szCs w:val="20"/>
                <w:color w:val="auto"/>
              </w:rPr>
            </w:pPr>
          </w:p>
        </w:tc>
        <w:tc>
          <w:tcPr>
            <w:tcW w:w="49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February 17, 2006, May 6, 2009, and November 2, 2016 (previously files a </w:t>
            </w:r>
            <w:hyperlink r:id="rId15">
              <w:r>
                <w:rPr>
                  <w:rFonts w:ascii="Arial" w:cs="Arial" w:eastAsia="Arial" w:hAnsi="Arial"/>
                  <w:sz w:val="18"/>
                  <w:szCs w:val="18"/>
                  <w:color w:val="0000FF"/>
                  <w:w w:val="91"/>
                </w:rPr>
                <w:t>Exhibit 3.2</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ended December 31, 2016 (File No. 1-07533) and incorporated herein by reference)</w:t>
            </w: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Specimen Common Share certificate (previously filed as Exhibit 4(i) to the Trust’s Annual Report on </w:t>
            </w:r>
            <w:hyperlink r:id="rId16">
              <w:r>
                <w:rPr>
                  <w:rFonts w:ascii="Arial" w:cs="Arial" w:eastAsia="Arial" w:hAnsi="Arial"/>
                  <w:sz w:val="18"/>
                  <w:szCs w:val="18"/>
                  <w:color w:val="0000FF"/>
                  <w:w w:val="99"/>
                </w:rPr>
                <w:t>Form 10-K</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for the year ended</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20" w:type="dxa"/>
            <w:vAlign w:val="bottom"/>
            <w:gridSpan w:val="16"/>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800" w:type="dxa"/>
            <w:vAlign w:val="bottom"/>
            <w:tcBorders>
              <w:top w:val="single" w:sz="8" w:color="0000FF"/>
            </w:tcBorders>
            <w:gridSpan w:val="2"/>
          </w:tcPr>
          <w:p>
            <w:pPr>
              <w:spacing w:after="0"/>
              <w:rPr>
                <w:sz w:val="20"/>
                <w:szCs w:val="20"/>
                <w:color w:val="auto"/>
              </w:rPr>
            </w:pPr>
          </w:p>
        </w:tc>
        <w:tc>
          <w:tcPr>
            <w:tcW w:w="22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 xml:space="preserve">Exhibit 4.1 </w:t>
              </w:r>
            </w:hyperlink>
            <w:r>
              <w:rPr>
                <w:rFonts w:ascii="Arial" w:cs="Arial" w:eastAsia="Arial" w:hAnsi="Arial"/>
                <w:sz w:val="18"/>
                <w:szCs w:val="18"/>
                <w:color w:val="000000"/>
                <w:w w:val="95"/>
              </w:rPr>
              <w:t>to</w:t>
            </w:r>
            <w:r>
              <w:rPr>
                <w:rFonts w:ascii="Arial" w:cs="Arial" w:eastAsia="Arial" w:hAnsi="Arial"/>
                <w:sz w:val="18"/>
                <w:szCs w:val="18"/>
                <w:color w:val="0000FF"/>
                <w:w w:val="95"/>
              </w:rPr>
              <w:t xml:space="preserve"> </w:t>
            </w:r>
            <w:r>
              <w:rPr>
                <w:rFonts w:ascii="Arial" w:cs="Arial" w:eastAsia="Arial" w:hAnsi="Arial"/>
                <w:sz w:val="18"/>
                <w:szCs w:val="18"/>
                <w:color w:val="000000"/>
                <w:w w:val="95"/>
              </w:rPr>
              <w:t>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4"/>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 Indenture dated September 1, 1998 related to the Trust’s 5.90% Notes due 2020; 3.00% Notes due 2022; 2.75% Notes due 2023; 3.95%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7"/>
              </w:rPr>
              <w:t>Notes due 2024; 4.50% Notes due 2044; 2.55% Notes due 2021; 3.625% Notes due 2046; 3.25% Notes due 2027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 xml:space="preserve">Exhibit 4(a) </w:t>
              </w:r>
            </w:hyperlink>
            <w:r>
              <w:rPr>
                <w:rFonts w:ascii="Arial" w:cs="Arial" w:eastAsia="Arial" w:hAnsi="Arial"/>
                <w:sz w:val="18"/>
                <w:szCs w:val="18"/>
                <w:color w:val="000000"/>
                <w:w w:val="92"/>
              </w:rPr>
              <w:t>to</w:t>
            </w:r>
            <w:r>
              <w:rPr>
                <w:rFonts w:ascii="Arial" w:cs="Arial" w:eastAsia="Arial" w:hAnsi="Arial"/>
                <w:sz w:val="18"/>
                <w:szCs w:val="18"/>
                <w:color w:val="0000FF"/>
                <w:w w:val="92"/>
              </w:rPr>
              <w:t xml:space="preserve"> </w:t>
            </w:r>
            <w:r>
              <w:rPr>
                <w:rFonts w:ascii="Arial" w:cs="Arial" w:eastAsia="Arial" w:hAnsi="Arial"/>
                <w:sz w:val="18"/>
                <w:szCs w:val="18"/>
                <w:color w:val="000000"/>
                <w:w w:val="92"/>
              </w:rPr>
              <w:t>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reference)</w:t>
            </w:r>
          </w:p>
        </w:tc>
        <w:tc>
          <w:tcPr>
            <w:tcW w:w="948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Articles Supplementary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 xml:space="preserve">Exhibit 3.2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reference)</w:t>
            </w:r>
          </w:p>
        </w:tc>
        <w:tc>
          <w:tcPr>
            <w:tcW w:w="952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4"/>
              </w:rPr>
              <w:t>Deposit Agreement, dated as of September 29, 2017, by and among Federal Realty Investment Trust, American Stock Transfer and Trust</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auto"/>
                <w:w w:val="98"/>
              </w:rPr>
            </w:pPr>
            <w:r>
              <w:rPr>
                <w:rFonts w:ascii="Arial" w:cs="Arial" w:eastAsia="Arial" w:hAnsi="Arial"/>
                <w:sz w:val="18"/>
                <w:szCs w:val="18"/>
                <w:color w:val="auto"/>
                <w:w w:val="98"/>
              </w:rPr>
              <w:t xml:space="preserve">Company, LLC, as Depositary, and all holders from time to time of Receipt (previously filed as </w:t>
            </w:r>
            <w:hyperlink r:id="rId20">
              <w:r>
                <w:rPr>
                  <w:rFonts w:ascii="Arial" w:cs="Arial" w:eastAsia="Arial" w:hAnsi="Arial"/>
                  <w:sz w:val="18"/>
                  <w:szCs w:val="18"/>
                  <w:color w:val="0000FF"/>
                  <w:w w:val="98"/>
                </w:rPr>
                <w:t>Exhibit 4.1</w:t>
              </w:r>
              <w:r>
                <w:rPr>
                  <w:rFonts w:ascii="Arial" w:cs="Arial" w:eastAsia="Arial" w:hAnsi="Arial"/>
                  <w:sz w:val="18"/>
                  <w:szCs w:val="18"/>
                  <w:color w:val="auto"/>
                  <w:w w:val="98"/>
                </w:rPr>
                <w:t xml:space="preserve"> </w:t>
              </w:r>
            </w:hyperlink>
            <w:r>
              <w:rPr>
                <w:rFonts w:ascii="Arial" w:cs="Arial" w:eastAsia="Arial" w:hAnsi="Arial"/>
                <w:sz w:val="18"/>
                <w:szCs w:val="18"/>
                <w:color w:val="auto"/>
                <w:w w:val="98"/>
              </w:rPr>
              <w:t>to the Trust's Registration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Statement on Form 8-A (File No. 1-07533), filed on September 29, 2017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5"/>
              </w:rPr>
              <w:t>Specimen certificate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0000FF"/>
                <w:w w:val="94"/>
              </w:rPr>
            </w:pPr>
            <w:hyperlink r:id="rId21">
              <w:r>
                <w:rPr>
                  <w:rFonts w:ascii="Arial" w:cs="Arial" w:eastAsia="Arial" w:hAnsi="Arial"/>
                  <w:sz w:val="18"/>
                  <w:szCs w:val="18"/>
                  <w:color w:val="0000FF"/>
                  <w:w w:val="94"/>
                </w:rPr>
                <w:t xml:space="preserve">Exhibit 4.3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reference)</w:t>
            </w:r>
          </w:p>
        </w:tc>
        <w:tc>
          <w:tcPr>
            <w:tcW w:w="9520" w:type="dxa"/>
            <w:vAlign w:val="bottom"/>
            <w:gridSpan w:val="21"/>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Severance Agreement between the Trust and Donald C. Wood dated February 22, 1999 (previously filed as a portion of </w:t>
            </w:r>
            <w:hyperlink r:id="rId22">
              <w:r>
                <w:rPr>
                  <w:rFonts w:ascii="Arial" w:cs="Arial" w:eastAsia="Arial" w:hAnsi="Arial"/>
                  <w:sz w:val="18"/>
                  <w:szCs w:val="18"/>
                  <w:color w:val="0000FF"/>
                  <w:w w:val="94"/>
                </w:rPr>
                <w:t>Exhibit 10</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2"/>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of </w:t>
            </w:r>
            <w:hyperlink r:id="rId22">
              <w:r>
                <w:rPr>
                  <w:rFonts w:ascii="Arial" w:cs="Arial" w:eastAsia="Arial" w:hAnsi="Arial"/>
                  <w:sz w:val="18"/>
                  <w:szCs w:val="18"/>
                  <w:color w:val="0000FF"/>
                </w:rPr>
                <w:t>Exhibit 10</w:t>
              </w:r>
              <w:r>
                <w:rPr>
                  <w:rFonts w:ascii="Arial" w:cs="Arial" w:eastAsia="Arial" w:hAnsi="Arial"/>
                  <w:sz w:val="18"/>
                  <w:szCs w:val="18"/>
                  <w:color w:val="auto"/>
                </w:rPr>
                <w:t xml:space="preserve"> </w:t>
              </w:r>
            </w:hyperlink>
            <w:r>
              <w:rPr>
                <w:rFonts w:ascii="Arial" w:cs="Arial" w:eastAsia="Arial" w:hAnsi="Arial"/>
                <w:sz w:val="18"/>
                <w:szCs w:val="18"/>
                <w:color w:val="auto"/>
              </w:rPr>
              <w:t>to the 1999 1Q Form 10-Q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3"/>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filed as </w:t>
            </w:r>
            <w:hyperlink r:id="rId23">
              <w:r>
                <w:rPr>
                  <w:rFonts w:ascii="Arial" w:cs="Arial" w:eastAsia="Arial" w:hAnsi="Arial"/>
                  <w:sz w:val="18"/>
                  <w:szCs w:val="18"/>
                  <w:color w:val="0000FF"/>
                  <w:w w:val="97"/>
                </w:rPr>
                <w:t>Exhibit 10.12</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Trust’s Annual Report on Form 10-K for the year ended December 31, 2004 (File No. 1-07533) (the “2004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2001 Long-Term Incentive Plan (previously filed as </w:t>
            </w:r>
            <w:hyperlink r:id="rId24">
              <w:r>
                <w:rPr>
                  <w:rFonts w:ascii="Arial" w:cs="Arial" w:eastAsia="Arial" w:hAnsi="Arial"/>
                  <w:sz w:val="18"/>
                  <w:szCs w:val="18"/>
                  <w:color w:val="0000FF"/>
                  <w:w w:val="93"/>
                </w:rPr>
                <w:t>Exhibit 99.1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S-8 Registration Number 333-60364 filed on May 7, 2001 and</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gridSpan w:val="9"/>
          </w:tcPr>
          <w:p>
            <w:pPr>
              <w:spacing w:after="0"/>
              <w:rPr>
                <w:sz w:val="20"/>
                <w:szCs w:val="20"/>
                <w:color w:val="auto"/>
              </w:rPr>
            </w:pPr>
            <w:r>
              <w:rPr>
                <w:rFonts w:ascii="Arial" w:cs="Arial" w:eastAsia="Arial" w:hAnsi="Arial"/>
                <w:sz w:val="18"/>
                <w:szCs w:val="18"/>
                <w:color w:val="auto"/>
              </w:rPr>
              <w:t>incorporated herein by reference)</w:t>
            </w:r>
          </w:p>
        </w:tc>
        <w:tc>
          <w:tcPr>
            <w:tcW w:w="880" w:type="dxa"/>
            <w:vAlign w:val="bottom"/>
            <w:tcBorders>
              <w:top w:val="single" w:sz="8" w:color="0000FF"/>
            </w:tcBorders>
            <w:gridSpan w:val="2"/>
          </w:tcPr>
          <w:p>
            <w:pPr>
              <w:spacing w:after="0"/>
              <w:rPr>
                <w:sz w:val="20"/>
                <w:szCs w:val="20"/>
                <w:color w:val="auto"/>
              </w:rPr>
            </w:pPr>
          </w:p>
        </w:tc>
        <w:tc>
          <w:tcPr>
            <w:tcW w:w="56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sz w:val="20"/>
                <w:szCs w:val="20"/>
                <w:color w:val="auto"/>
              </w:rPr>
            </w:pPr>
            <w:r>
              <w:rPr>
                <w:rFonts w:ascii="Arial" w:cs="Arial" w:eastAsia="Arial" w:hAnsi="Arial"/>
                <w:sz w:val="18"/>
                <w:szCs w:val="18"/>
                <w:color w:val="auto"/>
                <w:w w:val="97"/>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4"/>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25">
              <w:r>
                <w:rPr>
                  <w:rFonts w:ascii="Arial" w:cs="Arial" w:eastAsia="Arial" w:hAnsi="Arial"/>
                  <w:sz w:val="18"/>
                  <w:szCs w:val="18"/>
                  <w:color w:val="0000FF"/>
                </w:rPr>
                <w:t>Exhibit 10.26</w:t>
              </w:r>
              <w:r>
                <w:rPr>
                  <w:rFonts w:ascii="Arial" w:cs="Arial" w:eastAsia="Arial" w:hAnsi="Arial"/>
                  <w:sz w:val="18"/>
                  <w:szCs w:val="18"/>
                  <w:color w:val="auto"/>
                </w:rPr>
                <w:t xml:space="preserve"> </w:t>
              </w:r>
            </w:hyperlink>
            <w:r>
              <w:rPr>
                <w:rFonts w:ascii="Arial" w:cs="Arial" w:eastAsia="Arial" w:hAnsi="Arial"/>
                <w:sz w:val="18"/>
                <w:szCs w:val="18"/>
                <w:color w:val="auto"/>
              </w:rPr>
              <w:t>to the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300" w:type="dxa"/>
            <w:vAlign w:val="bottom"/>
            <w:gridSpan w:val="9"/>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Severance Agreement between the Trust and Dawn M. Becker dated April 19, 2000 (previously filed as </w:t>
            </w:r>
            <w:hyperlink r:id="rId26">
              <w:r>
                <w:rPr>
                  <w:rFonts w:ascii="Arial" w:cs="Arial" w:eastAsia="Arial" w:hAnsi="Arial"/>
                  <w:sz w:val="18"/>
                  <w:szCs w:val="18"/>
                  <w:color w:val="0000FF"/>
                  <w:w w:val="91"/>
                </w:rPr>
                <w:t>Exhibit 10.26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2005 2Q</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00" w:type="dxa"/>
            <w:vAlign w:val="bottom"/>
            <w:gridSpan w:val="17"/>
          </w:tcPr>
          <w:p>
            <w:pPr>
              <w:spacing w:after="0"/>
              <w:rPr>
                <w:sz w:val="20"/>
                <w:szCs w:val="20"/>
                <w:color w:val="auto"/>
              </w:rPr>
            </w:pPr>
            <w:r>
              <w:rPr>
                <w:rFonts w:ascii="Arial" w:cs="Arial" w:eastAsia="Arial" w:hAnsi="Arial"/>
                <w:sz w:val="18"/>
                <w:szCs w:val="18"/>
                <w:color w:val="auto"/>
              </w:rPr>
              <w:t>Form 10-Q and incorporated herein by reference)</w:t>
            </w:r>
          </w:p>
        </w:tc>
        <w:tc>
          <w:tcPr>
            <w:tcW w:w="920" w:type="dxa"/>
            <w:vAlign w:val="bottom"/>
            <w:tcBorders>
              <w:top w:val="single" w:sz="8" w:color="0000FF"/>
            </w:tcBorders>
            <w:gridSpan w:val="2"/>
          </w:tcPr>
          <w:p>
            <w:pPr>
              <w:spacing w:after="0"/>
              <w:rPr>
                <w:sz w:val="20"/>
                <w:szCs w:val="20"/>
                <w:color w:val="auto"/>
              </w:rPr>
            </w:pPr>
          </w:p>
        </w:tc>
        <w:tc>
          <w:tcPr>
            <w:tcW w:w="17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Amendment to Severance Agreement between the Trust and Dawn M. Becker dated February 16, 2005 (previously filed as </w:t>
            </w:r>
            <w:hyperlink r:id="rId27">
              <w:r>
                <w:rPr>
                  <w:rFonts w:ascii="Arial" w:cs="Arial" w:eastAsia="Arial" w:hAnsi="Arial"/>
                  <w:sz w:val="18"/>
                  <w:szCs w:val="18"/>
                  <w:color w:val="0000FF"/>
                  <w:w w:val="92"/>
                </w:rPr>
                <w:t>Exhibit 10.27</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40" w:type="dxa"/>
            <w:vAlign w:val="bottom"/>
            <w:gridSpan w:val="21"/>
          </w:tcPr>
          <w:p>
            <w:pPr>
              <w:spacing w:after="0"/>
              <w:rPr>
                <w:sz w:val="20"/>
                <w:szCs w:val="20"/>
                <w:color w:val="auto"/>
              </w:rPr>
            </w:pPr>
            <w:r>
              <w:rPr>
                <w:rFonts w:ascii="Arial" w:cs="Arial" w:eastAsia="Arial" w:hAnsi="Arial"/>
                <w:sz w:val="18"/>
                <w:szCs w:val="18"/>
                <w:color w:val="auto"/>
              </w:rPr>
              <w:t>the 2004 Form 10-K and incorporated herein by reference)</w:t>
            </w:r>
          </w:p>
        </w:tc>
        <w:tc>
          <w:tcPr>
            <w:tcW w:w="980" w:type="dxa"/>
            <w:vAlign w:val="bottom"/>
            <w:tcBorders>
              <w:top w:val="single" w:sz="8" w:color="0000FF"/>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6" w:right="2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34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340" w:type="dxa"/>
            <w:vAlign w:val="bottom"/>
            <w:tcBorders>
              <w:top w:val="single" w:sz="8" w:color="auto"/>
            </w:tcBorders>
            <w:gridSpan w:val="30"/>
          </w:tcPr>
          <w:p>
            <w:pPr>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out of 2001 Long-Term Incentive Plan (previously filed as </w:t>
            </w:r>
            <w:hyperlink r:id="rId28">
              <w:r>
                <w:rPr>
                  <w:rFonts w:ascii="Arial" w:cs="Arial" w:eastAsia="Arial" w:hAnsi="Arial"/>
                  <w:sz w:val="18"/>
                  <w:szCs w:val="18"/>
                  <w:color w:val="0000FF"/>
                  <w:w w:val="97"/>
                </w:rPr>
                <w:t>Exhibit 10.28</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2004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 xml:space="preserve">as </w:t>
            </w:r>
            <w:hyperlink r:id="rId29">
              <w:r>
                <w:rPr>
                  <w:rFonts w:ascii="Arial" w:cs="Arial" w:eastAsia="Arial" w:hAnsi="Arial"/>
                  <w:sz w:val="18"/>
                  <w:szCs w:val="18"/>
                  <w:color w:val="0000FF"/>
                  <w:w w:val="93"/>
                </w:rPr>
                <w:t>Exhibit 10.35</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2001 Long-Term Incentive Plan (previously filed as </w:t>
            </w:r>
            <w:hyperlink r:id="rId30">
              <w:r>
                <w:rPr>
                  <w:rFonts w:ascii="Arial" w:cs="Arial" w:eastAsia="Arial" w:hAnsi="Arial"/>
                  <w:sz w:val="18"/>
                  <w:szCs w:val="18"/>
                  <w:color w:val="0000FF"/>
                </w:rPr>
                <w:t>Exhibit 10.32</w:t>
              </w:r>
              <w:r>
                <w:rPr>
                  <w:rFonts w:ascii="Arial" w:cs="Arial" w:eastAsia="Arial" w:hAnsi="Arial"/>
                  <w:sz w:val="18"/>
                  <w:szCs w:val="18"/>
                  <w:color w:val="auto"/>
                </w:rPr>
                <w:t xml:space="preserve"> </w:t>
              </w:r>
            </w:hyperlink>
            <w:r>
              <w:rPr>
                <w:rFonts w:ascii="Arial" w:cs="Arial" w:eastAsia="Arial" w:hAnsi="Arial"/>
                <w:sz w:val="18"/>
                <w:szCs w:val="18"/>
                <w:color w:val="auto"/>
              </w:rPr>
              <w:t>to the 2005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Amended and Restated 2001 Long-Term Incentive Plan (previously filed as </w:t>
            </w:r>
            <w:hyperlink r:id="rId31">
              <w:r>
                <w:rPr>
                  <w:rFonts w:ascii="Arial" w:cs="Arial" w:eastAsia="Arial" w:hAnsi="Arial"/>
                  <w:sz w:val="18"/>
                  <w:szCs w:val="18"/>
                  <w:color w:val="0000FF"/>
                  <w:w w:val="93"/>
                </w:rPr>
                <w:t>Exhibit 10.34</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Quarterly Report on Form 10-Q for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Amendment to Severance Agreement between the Trust and Donald C. Wood dated January 1, 2009 (previously filed as </w:t>
            </w:r>
            <w:hyperlink r:id="rId32">
              <w:r>
                <w:rPr>
                  <w:rFonts w:ascii="Arial" w:cs="Arial" w:eastAsia="Arial" w:hAnsi="Arial"/>
                  <w:sz w:val="18"/>
                  <w:szCs w:val="18"/>
                  <w:color w:val="0000FF"/>
                  <w:w w:val="91"/>
                </w:rPr>
                <w:t>Exhibit 10.26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4"/>
              </w:rPr>
            </w:pPr>
            <w:hyperlink r:id="rId33">
              <w:r>
                <w:rPr>
                  <w:rFonts w:ascii="Arial" w:cs="Arial" w:eastAsia="Arial" w:hAnsi="Arial"/>
                  <w:sz w:val="18"/>
                  <w:szCs w:val="18"/>
                  <w:color w:val="auto"/>
                  <w:w w:val="94"/>
                </w:rPr>
                <w:t xml:space="preserve">* Second Amendment to Executive Agreement between the Trust and Donald C. Wood dated January 1, 2009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4"/>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27</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540" w:type="dxa"/>
            <w:vAlign w:val="bottom"/>
            <w:tcBorders>
              <w:top w:val="single" w:sz="8" w:color="0000FF"/>
            </w:tcBorders>
            <w:gridSpan w:val="4"/>
          </w:tcPr>
          <w:p>
            <w:pPr>
              <w:spacing w:after="0"/>
              <w:rPr>
                <w:sz w:val="17"/>
                <w:szCs w:val="17"/>
                <w:color w:val="auto"/>
              </w:rPr>
            </w:pPr>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1"/>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0000FF"/>
              </w:rPr>
            </w:pPr>
            <w:hyperlink r:id="rId34">
              <w:r>
                <w:rPr>
                  <w:rFonts w:ascii="Arial" w:cs="Arial" w:eastAsia="Arial" w:hAnsi="Arial"/>
                  <w:sz w:val="18"/>
                  <w:szCs w:val="18"/>
                  <w:color w:val="0000FF"/>
                </w:rPr>
                <w:t xml:space="preserve">Exhibit 10.28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2008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4"/>
              </w:rPr>
            </w:pPr>
            <w:hyperlink r:id="rId35">
              <w:r>
                <w:rPr>
                  <w:rFonts w:ascii="Arial" w:cs="Arial" w:eastAsia="Arial" w:hAnsi="Arial"/>
                  <w:sz w:val="18"/>
                  <w:szCs w:val="18"/>
                  <w:color w:val="auto"/>
                  <w:w w:val="94"/>
                </w:rPr>
                <w:t xml:space="preserve">* Second Amendment to Severance Agreement between the Trust and Dawn M. Becker dated January 1, 2009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gridSpan w:val="25"/>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30</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540" w:type="dxa"/>
            <w:vAlign w:val="bottom"/>
            <w:tcBorders>
              <w:top w:val="single" w:sz="8" w:color="0000FF"/>
            </w:tcBorders>
            <w:gridSpan w:val="4"/>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2010 Performance Incentive Plan (previously filed as </w:t>
            </w:r>
            <w:hyperlink r:id="rId36">
              <w:r>
                <w:rPr>
                  <w:rFonts w:ascii="Arial" w:cs="Arial" w:eastAsia="Arial" w:hAnsi="Arial"/>
                  <w:sz w:val="18"/>
                  <w:szCs w:val="18"/>
                  <w:color w:val="0000FF"/>
                  <w:w w:val="94"/>
                </w:rPr>
                <w:t>Appendix A</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Definitive Proxy Statement for the 2010 Annual Meeting of</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Amendment to 2010 Performance Incentive Plan (“the 2010 Plan”) (previously filed as </w:t>
            </w:r>
            <w:hyperlink r:id="rId36">
              <w:r>
                <w:rPr>
                  <w:rFonts w:ascii="Arial" w:cs="Arial" w:eastAsia="Arial" w:hAnsi="Arial"/>
                  <w:sz w:val="18"/>
                  <w:szCs w:val="18"/>
                  <w:color w:val="0000FF"/>
                  <w:w w:val="95"/>
                </w:rPr>
                <w:t>Appendix A</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Proxy Statement for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Restricted Share Award Agreement between the Trust and Donald C. Wood dated October 12, 2010 (previously filed as </w:t>
            </w:r>
            <w:hyperlink r:id="rId37">
              <w:r>
                <w:rPr>
                  <w:rFonts w:ascii="Arial" w:cs="Arial" w:eastAsia="Arial" w:hAnsi="Arial"/>
                  <w:sz w:val="18"/>
                  <w:szCs w:val="18"/>
                  <w:color w:val="0000FF"/>
                  <w:w w:val="91"/>
                </w:rPr>
                <w:t>Exhibit 10.36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Incentive Bonus Program and basic awards with annual vesting for shares issued out of the 2010 Plan (previously filed as </w:t>
            </w:r>
            <w:hyperlink r:id="rId38">
              <w:r>
                <w:rPr>
                  <w:rFonts w:ascii="Arial" w:cs="Arial" w:eastAsia="Arial" w:hAnsi="Arial"/>
                  <w:sz w:val="18"/>
                  <w:szCs w:val="18"/>
                  <w:color w:val="0000FF"/>
                  <w:w w:val="91"/>
                </w:rPr>
                <w:t>Exhibit 10.34</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0" w:type="dxa"/>
            <w:vAlign w:val="bottom"/>
            <w:gridSpan w:val="22"/>
          </w:tcPr>
          <w:p>
            <w:pPr>
              <w:spacing w:after="0"/>
              <w:rPr>
                <w:sz w:val="20"/>
                <w:szCs w:val="20"/>
                <w:color w:val="auto"/>
              </w:rPr>
            </w:pPr>
            <w:r>
              <w:rPr>
                <w:rFonts w:ascii="Arial" w:cs="Arial" w:eastAsia="Arial" w:hAnsi="Arial"/>
                <w:sz w:val="18"/>
                <w:szCs w:val="18"/>
                <w:color w:val="auto"/>
              </w:rPr>
              <w:t>Trust’s 2010 Form 10-K (File No. 1-07533) and incorporated herein by reference)</w:t>
            </w:r>
          </w:p>
        </w:tc>
        <w:tc>
          <w:tcPr>
            <w:tcW w:w="1000" w:type="dxa"/>
            <w:vAlign w:val="bottom"/>
            <w:tcBorders>
              <w:top w:val="single" w:sz="8" w:color="0000FF"/>
            </w:tcBorders>
            <w:gridSpan w:val="5"/>
          </w:tcPr>
          <w:p>
            <w:pPr>
              <w:spacing w:after="0"/>
              <w:rPr>
                <w:sz w:val="20"/>
                <w:szCs w:val="20"/>
                <w:color w:val="auto"/>
              </w:rPr>
            </w:pPr>
          </w:p>
        </w:tc>
        <w:tc>
          <w:tcPr>
            <w:tcW w:w="5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Plan (previously filed as </w:t>
            </w:r>
            <w:hyperlink r:id="rId39">
              <w:r>
                <w:rPr>
                  <w:rFonts w:ascii="Arial" w:cs="Arial" w:eastAsia="Arial" w:hAnsi="Arial"/>
                  <w:sz w:val="18"/>
                  <w:szCs w:val="18"/>
                  <w:color w:val="0000FF"/>
                </w:rPr>
                <w:t>Exhibit 10.38</w:t>
              </w:r>
              <w:r>
                <w:rPr>
                  <w:rFonts w:ascii="Arial" w:cs="Arial" w:eastAsia="Arial" w:hAnsi="Arial"/>
                  <w:sz w:val="18"/>
                  <w:szCs w:val="18"/>
                  <w:color w:val="auto"/>
                </w:rPr>
                <w:t xml:space="preserve"> </w:t>
              </w:r>
            </w:hyperlink>
            <w:r>
              <w:rPr>
                <w:rFonts w:ascii="Arial" w:cs="Arial" w:eastAsia="Arial" w:hAnsi="Arial"/>
                <w:sz w:val="18"/>
                <w:szCs w:val="18"/>
                <w:color w:val="auto"/>
              </w:rPr>
              <w:t>to 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w w:val="94"/>
              </w:rPr>
            </w:pPr>
            <w:r>
              <w:rPr>
                <w:rFonts w:ascii="Arial" w:cs="Arial" w:eastAsia="Arial" w:hAnsi="Arial"/>
                <w:sz w:val="18"/>
                <w:szCs w:val="18"/>
                <w:color w:val="auto"/>
                <w:w w:val="94"/>
              </w:rPr>
              <w:t xml:space="preserve">of the 2010 Plan (previously filed as </w:t>
            </w:r>
            <w:hyperlink r:id="rId40">
              <w:r>
                <w:rPr>
                  <w:rFonts w:ascii="Arial" w:cs="Arial" w:eastAsia="Arial" w:hAnsi="Arial"/>
                  <w:sz w:val="18"/>
                  <w:szCs w:val="18"/>
                  <w:color w:val="0000FF"/>
                  <w:w w:val="94"/>
                </w:rPr>
                <w:t>Exhibit 10.39</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Form of Option Award Agreement for basic options awarded out of the 2010 Plan (previously filed as </w:t>
            </w:r>
            <w:hyperlink r:id="rId41">
              <w:r>
                <w:rPr>
                  <w:rFonts w:ascii="Arial" w:cs="Arial" w:eastAsia="Arial" w:hAnsi="Arial"/>
                  <w:sz w:val="18"/>
                  <w:szCs w:val="18"/>
                  <w:color w:val="0000FF"/>
                  <w:w w:val="93"/>
                </w:rPr>
                <w:t>Exhibit 10.40</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2010 Form</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80" w:type="dxa"/>
            <w:vAlign w:val="bottom"/>
            <w:gridSpan w:val="20"/>
          </w:tcPr>
          <w:p>
            <w:pPr>
              <w:spacing w:after="0"/>
              <w:rPr>
                <w:sz w:val="20"/>
                <w:szCs w:val="20"/>
                <w:color w:val="auto"/>
              </w:rPr>
            </w:pPr>
            <w:r>
              <w:rPr>
                <w:rFonts w:ascii="Arial" w:cs="Arial" w:eastAsia="Arial" w:hAnsi="Arial"/>
                <w:sz w:val="18"/>
                <w:szCs w:val="18"/>
                <w:color w:val="auto"/>
              </w:rPr>
              <w:t>10-K (File No. 1-07533) and incorporated herein by reference)</w:t>
            </w:r>
          </w:p>
        </w:tc>
        <w:tc>
          <w:tcPr>
            <w:tcW w:w="980" w:type="dxa"/>
            <w:vAlign w:val="bottom"/>
            <w:tcBorders>
              <w:top w:val="single" w:sz="8" w:color="0000FF"/>
            </w:tcBorders>
          </w:tcPr>
          <w:p>
            <w:pPr>
              <w:spacing w:after="0"/>
              <w:rPr>
                <w:sz w:val="20"/>
                <w:szCs w:val="20"/>
                <w:color w:val="auto"/>
              </w:rPr>
            </w:pPr>
          </w:p>
        </w:tc>
        <w:tc>
          <w:tcPr>
            <w:tcW w:w="19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0000FF"/>
              </w:rPr>
            </w:pPr>
            <w:hyperlink r:id="rId42">
              <w:r>
                <w:rPr>
                  <w:rFonts w:ascii="Arial" w:cs="Arial" w:eastAsia="Arial" w:hAnsi="Arial"/>
                  <w:sz w:val="18"/>
                  <w:szCs w:val="18"/>
                  <w:color w:val="0000FF"/>
                </w:rPr>
                <w:t xml:space="preserve">Exhibit 10.41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5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30"/>
          </w:tcPr>
          <w:p>
            <w:pPr>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30"/>
          </w:tcPr>
          <w:p>
            <w:pPr>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Lead Arranger and Book Manager (previously filed as </w:t>
            </w:r>
            <w:hyperlink r:id="rId43">
              <w:r>
                <w:rPr>
                  <w:rFonts w:ascii="Arial" w:cs="Arial" w:eastAsia="Arial" w:hAnsi="Arial"/>
                  <w:sz w:val="18"/>
                  <w:szCs w:val="18"/>
                  <w:color w:val="0000FF"/>
                  <w:w w:val="95"/>
                </w:rPr>
                <w:t>Exhibit 10.1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Current Report on Form 8-K (File No. 1-07533), filed on</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gridSpan w:val="11"/>
          </w:tcPr>
          <w:p>
            <w:pPr>
              <w:spacing w:after="0"/>
              <w:rPr>
                <w:sz w:val="20"/>
                <w:szCs w:val="20"/>
                <w:color w:val="auto"/>
              </w:rPr>
            </w:pPr>
            <w:r>
              <w:rPr>
                <w:rFonts w:ascii="Arial" w:cs="Arial" w:eastAsia="Arial" w:hAnsi="Arial"/>
                <w:sz w:val="18"/>
                <w:szCs w:val="18"/>
                <w:color w:val="auto"/>
                <w:w w:val="95"/>
              </w:rPr>
              <w:t>July 11, 2011 and incorporated herein by reference)</w:t>
            </w:r>
          </w:p>
        </w:tc>
        <w:tc>
          <w:tcPr>
            <w:tcW w:w="880" w:type="dxa"/>
            <w:vAlign w:val="bottom"/>
            <w:tcBorders>
              <w:top w:val="single" w:sz="8" w:color="0000FF"/>
            </w:tcBorders>
            <w:gridSpan w:val="3"/>
          </w:tcPr>
          <w:p>
            <w:pPr>
              <w:spacing w:after="0"/>
              <w:rPr>
                <w:sz w:val="20"/>
                <w:szCs w:val="20"/>
                <w:color w:val="auto"/>
              </w:rPr>
            </w:pPr>
          </w:p>
        </w:tc>
        <w:tc>
          <w:tcPr>
            <w:tcW w:w="550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4"/>
          </w:tcPr>
          <w:p>
            <w:pPr>
              <w:jc w:val="right"/>
              <w:ind w:right="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34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6"/>
          </w:tcPr>
          <w:p>
            <w:pPr>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8"/>
              </w:rPr>
              <w:t>permitted assignees under Section 12.6., as Lenders, PNC Bank, National Association, as Administrative Agent, Capital One, 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Manager (previously filed as </w:t>
            </w:r>
            <w:hyperlink r:id="rId44">
              <w:r>
                <w:rPr>
                  <w:rFonts w:ascii="Arial" w:cs="Arial" w:eastAsia="Arial" w:hAnsi="Arial"/>
                  <w:sz w:val="18"/>
                  <w:szCs w:val="18"/>
                  <w:color w:val="0000FF"/>
                  <w:w w:val="95"/>
                </w:rPr>
                <w:t>Exhibit 10.1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Current Report on Form 8-K (File No. 1-07533), filed on November 28, 2011 and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shares issued out of the 2010 Plan (previously filed as </w:t>
            </w:r>
            <w:hyperlink r:id="rId45">
              <w:r>
                <w:rPr>
                  <w:rFonts w:ascii="Arial" w:cs="Arial" w:eastAsia="Arial" w:hAnsi="Arial"/>
                  <w:sz w:val="18"/>
                  <w:szCs w:val="18"/>
                  <w:color w:val="0000FF"/>
                  <w:w w:val="91"/>
                </w:rPr>
                <w:t>Exhibit 10.35</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 ended December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Award Program for shares issued out of the 2010 Plan (previously filed as </w:t>
            </w:r>
            <w:hyperlink r:id="rId46">
              <w:r>
                <w:rPr>
                  <w:rFonts w:ascii="Arial" w:cs="Arial" w:eastAsia="Arial" w:hAnsi="Arial"/>
                  <w:sz w:val="18"/>
                  <w:szCs w:val="18"/>
                  <w:color w:val="0000FF"/>
                  <w:w w:val="91"/>
                </w:rPr>
                <w:t>Exhibit 10.36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2012 Form 10-K (File No. 1-07533) and</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12"/>
          </w:tcPr>
          <w:p>
            <w:pPr>
              <w:spacing w:after="0"/>
              <w:rPr>
                <w:sz w:val="20"/>
                <w:szCs w:val="20"/>
                <w:color w:val="auto"/>
              </w:rPr>
            </w:pPr>
            <w:r>
              <w:rPr>
                <w:rFonts w:ascii="Arial" w:cs="Arial" w:eastAsia="Arial" w:hAnsi="Arial"/>
                <w:sz w:val="18"/>
                <w:szCs w:val="18"/>
                <w:color w:val="auto"/>
              </w:rPr>
              <w:t>incorporated herein by reference)</w:t>
            </w:r>
          </w:p>
        </w:tc>
        <w:tc>
          <w:tcPr>
            <w:tcW w:w="980" w:type="dxa"/>
            <w:vAlign w:val="bottom"/>
            <w:tcBorders>
              <w:top w:val="single" w:sz="8" w:color="0000FF"/>
            </w:tcBorders>
          </w:tcPr>
          <w:p>
            <w:pPr>
              <w:spacing w:after="0"/>
              <w:rPr>
                <w:sz w:val="20"/>
                <w:szCs w:val="20"/>
                <w:color w:val="auto"/>
              </w:rPr>
            </w:pPr>
          </w:p>
        </w:tc>
        <w:tc>
          <w:tcPr>
            <w:tcW w:w="40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Revised Form of Performance Share Award Agreement for shares awarded out of the 2010 Plan (previously filed as </w:t>
            </w:r>
            <w:hyperlink r:id="rId47">
              <w:r>
                <w:rPr>
                  <w:rFonts w:ascii="Arial" w:cs="Arial" w:eastAsia="Arial" w:hAnsi="Arial"/>
                  <w:sz w:val="18"/>
                  <w:szCs w:val="18"/>
                  <w:color w:val="0000FF"/>
                  <w:w w:val="95"/>
                </w:rPr>
                <w:t>Exhibit 10.37</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980" w:type="dxa"/>
            <w:vAlign w:val="bottom"/>
            <w:tcBorders>
              <w:top w:val="single" w:sz="8" w:color="0000FF"/>
            </w:tcBorders>
            <w:gridSpan w:val="5"/>
          </w:tcPr>
          <w:p>
            <w:pPr>
              <w:spacing w:after="0"/>
              <w:rPr>
                <w:sz w:val="20"/>
                <w:szCs w:val="20"/>
                <w:color w:val="auto"/>
              </w:rPr>
            </w:pPr>
          </w:p>
        </w:tc>
        <w:tc>
          <w:tcPr>
            <w:tcW w:w="9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4"/>
              </w:rPr>
            </w:pPr>
            <w:hyperlink r:id="rId48">
              <w:r>
                <w:rPr>
                  <w:rFonts w:ascii="Arial" w:cs="Arial" w:eastAsia="Arial" w:hAnsi="Arial"/>
                  <w:sz w:val="18"/>
                  <w:szCs w:val="18"/>
                  <w:color w:val="auto"/>
                  <w:w w:val="94"/>
                </w:rPr>
                <w:t xml:space="preserve">Annual Incentive Bonus Program and basic awards with annual vesting for shares issued out of the 2010 Plan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gridSpan w:val="24"/>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38</w:t>
              </w:r>
              <w:r>
                <w:rPr>
                  <w:rFonts w:ascii="Arial" w:cs="Arial" w:eastAsia="Arial" w:hAnsi="Arial"/>
                  <w:sz w:val="18"/>
                  <w:szCs w:val="18"/>
                  <w:color w:val="0000FF"/>
                </w:rPr>
                <w:t xml:space="preserve"> </w:t>
              </w:r>
              <w:r>
                <w:rPr>
                  <w:rFonts w:ascii="Arial" w:cs="Arial" w:eastAsia="Arial" w:hAnsi="Arial"/>
                  <w:sz w:val="18"/>
                  <w:szCs w:val="18"/>
                  <w:color w:val="000000"/>
                </w:rPr>
                <w:t>to the Trust's 2012 Form 10-K (File No. 1-07533) and incorporated herein by reference)</w:t>
              </w:r>
            </w:hyperlink>
          </w:p>
        </w:tc>
        <w:tc>
          <w:tcPr>
            <w:tcW w:w="54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3"/>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4"/>
              </w:rPr>
            </w:pPr>
            <w:r>
              <w:rPr>
                <w:rFonts w:ascii="Arial" w:cs="Arial" w:eastAsia="Arial" w:hAnsi="Arial"/>
                <w:sz w:val="18"/>
                <w:szCs w:val="18"/>
                <w:color w:val="auto"/>
                <w:w w:val="94"/>
              </w:rPr>
              <w:t xml:space="preserve">party thereto, and Wells Fargo Bank, National Association, as Administrative Agent (previously filed as </w:t>
            </w:r>
            <w:hyperlink r:id="rId49">
              <w:r>
                <w:rPr>
                  <w:rFonts w:ascii="Arial" w:cs="Arial" w:eastAsia="Arial" w:hAnsi="Arial"/>
                  <w:sz w:val="18"/>
                  <w:szCs w:val="18"/>
                  <w:color w:val="0000FF"/>
                  <w:w w:val="94"/>
                </w:rPr>
                <w:t>Exhibit 10.1</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Current</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15"/>
          </w:tcPr>
          <w:p>
            <w:pPr>
              <w:spacing w:after="0"/>
              <w:rPr>
                <w:sz w:val="20"/>
                <w:szCs w:val="20"/>
                <w:color w:val="auto"/>
              </w:rPr>
            </w:pPr>
            <w:r>
              <w:rPr>
                <w:rFonts w:ascii="Arial" w:cs="Arial" w:eastAsia="Arial" w:hAnsi="Arial"/>
                <w:sz w:val="18"/>
                <w:szCs w:val="18"/>
                <w:color w:val="auto"/>
                <w:w w:val="94"/>
              </w:rPr>
              <w:t>Report on Form 8-K (File No. 1-07533), filed on April 26, 2013 and incorporated herein by reference)</w:t>
            </w:r>
          </w:p>
        </w:tc>
        <w:tc>
          <w:tcPr>
            <w:tcW w:w="880" w:type="dxa"/>
            <w:vAlign w:val="bottom"/>
            <w:tcBorders>
              <w:top w:val="single" w:sz="8" w:color="0000FF"/>
            </w:tcBorders>
            <w:gridSpan w:val="5"/>
          </w:tcPr>
          <w:p>
            <w:pPr>
              <w:spacing w:after="0"/>
              <w:rPr>
                <w:sz w:val="20"/>
                <w:szCs w:val="20"/>
                <w:color w:val="auto"/>
              </w:rPr>
            </w:pPr>
          </w:p>
        </w:tc>
        <w:tc>
          <w:tcPr>
            <w:tcW w:w="19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6"/>
              </w:rPr>
              <w:t>First Amendment to the Term Loan Agreement, dated as of April 22, 2013, by and among Federal Realty Investment Trust, each of the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8"/>
              </w:rPr>
            </w:pPr>
            <w:r>
              <w:rPr>
                <w:rFonts w:ascii="Arial" w:cs="Arial" w:eastAsia="Arial" w:hAnsi="Arial"/>
                <w:sz w:val="18"/>
                <w:szCs w:val="18"/>
                <w:color w:val="auto"/>
                <w:w w:val="98"/>
              </w:rPr>
              <w:t xml:space="preserve">Lenders party thereto, and PNC Bank, National Association, as Administrative Agent (previously filed as </w:t>
            </w:r>
            <w:hyperlink r:id="rId50">
              <w:r>
                <w:rPr>
                  <w:rFonts w:ascii="Arial" w:cs="Arial" w:eastAsia="Arial" w:hAnsi="Arial"/>
                  <w:sz w:val="18"/>
                  <w:szCs w:val="18"/>
                  <w:color w:val="0000FF"/>
                  <w:w w:val="98"/>
                </w:rPr>
                <w:t>Exhibit 10.40</w:t>
              </w:r>
              <w:r>
                <w:rPr>
                  <w:rFonts w:ascii="Arial" w:cs="Arial" w:eastAsia="Arial" w:hAnsi="Arial"/>
                  <w:sz w:val="18"/>
                  <w:szCs w:val="18"/>
                  <w:color w:val="auto"/>
                  <w:w w:val="98"/>
                </w:rPr>
                <w:t xml:space="preserve"> </w:t>
              </w:r>
            </w:hyperlink>
            <w:r>
              <w:rPr>
                <w:rFonts w:ascii="Arial" w:cs="Arial" w:eastAsia="Arial" w:hAnsi="Arial"/>
                <w:sz w:val="18"/>
                <w:szCs w:val="18"/>
                <w:color w:val="auto"/>
                <w:w w:val="98"/>
              </w:rPr>
              <w:t>to the Trust's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rPr>
              <w:t>Quarterly 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vMerge w:val="restart"/>
          </w:tcPr>
          <w:p>
            <w:pPr>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34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 xml:space="preserve">Lenders party thereto, and PNC Bank, National Association, as Administrative Agent (previously filed as </w:t>
            </w:r>
            <w:hyperlink r:id="rId51">
              <w:r>
                <w:rPr>
                  <w:rFonts w:ascii="Arial" w:cs="Arial" w:eastAsia="Arial" w:hAnsi="Arial"/>
                  <w:sz w:val="18"/>
                  <w:szCs w:val="18"/>
                  <w:color w:val="0000FF"/>
                  <w:w w:val="93"/>
                </w:rPr>
                <w:t>Exhibit 10.1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Current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party thereto, and PNC Bank, National Association, as Administrative Agent (previously filed as </w:t>
            </w:r>
            <w:hyperlink r:id="rId52">
              <w:r>
                <w:rPr>
                  <w:rFonts w:ascii="Arial" w:cs="Arial" w:eastAsia="Arial" w:hAnsi="Arial"/>
                  <w:sz w:val="18"/>
                  <w:szCs w:val="18"/>
                  <w:color w:val="0000FF"/>
                  <w:w w:val="92"/>
                </w:rPr>
                <w:t>Exhibit 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Current Report on</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20" w:type="dxa"/>
            <w:vAlign w:val="bottom"/>
            <w:gridSpan w:val="14"/>
          </w:tcPr>
          <w:p>
            <w:pPr>
              <w:spacing w:after="0"/>
              <w:rPr>
                <w:sz w:val="20"/>
                <w:szCs w:val="20"/>
                <w:color w:val="auto"/>
              </w:rPr>
            </w:pPr>
            <w:r>
              <w:rPr>
                <w:rFonts w:ascii="Arial" w:cs="Arial" w:eastAsia="Arial" w:hAnsi="Arial"/>
                <w:sz w:val="18"/>
                <w:szCs w:val="18"/>
                <w:color w:val="auto"/>
                <w:w w:val="98"/>
              </w:rPr>
              <w:t>Form 8K (File No. 1-07533), filed on April 26, 2016 and incorporated herein by reference)</w:t>
            </w:r>
          </w:p>
        </w:tc>
        <w:tc>
          <w:tcPr>
            <w:tcW w:w="880" w:type="dxa"/>
            <w:vAlign w:val="bottom"/>
            <w:tcBorders>
              <w:top w:val="single" w:sz="8" w:color="0000FF"/>
            </w:tcBorders>
            <w:gridSpan w:val="4"/>
          </w:tcPr>
          <w:p>
            <w:pPr>
              <w:spacing w:after="0"/>
              <w:rPr>
                <w:sz w:val="20"/>
                <w:szCs w:val="20"/>
                <w:color w:val="auto"/>
              </w:rPr>
            </w:pPr>
          </w:p>
        </w:tc>
        <w:tc>
          <w:tcPr>
            <w:tcW w:w="24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6"/>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party thereto, and PNC Bank, National Association, as Administrative Agent (previously filed as </w:t>
            </w:r>
            <w:hyperlink r:id="rId53">
              <w:r>
                <w:rPr>
                  <w:rFonts w:ascii="Arial" w:cs="Arial" w:eastAsia="Arial" w:hAnsi="Arial"/>
                  <w:sz w:val="18"/>
                  <w:szCs w:val="18"/>
                  <w:color w:val="0000FF"/>
                  <w:w w:val="92"/>
                </w:rPr>
                <w:t>Exhibit 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Current Report on</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20" w:type="dxa"/>
            <w:vAlign w:val="bottom"/>
            <w:gridSpan w:val="14"/>
          </w:tcPr>
          <w:p>
            <w:pPr>
              <w:spacing w:after="0"/>
              <w:rPr>
                <w:sz w:val="20"/>
                <w:szCs w:val="20"/>
                <w:color w:val="auto"/>
              </w:rPr>
            </w:pPr>
            <w:r>
              <w:rPr>
                <w:rFonts w:ascii="Arial" w:cs="Arial" w:eastAsia="Arial" w:hAnsi="Arial"/>
                <w:sz w:val="18"/>
                <w:szCs w:val="18"/>
                <w:color w:val="auto"/>
                <w:w w:val="97"/>
              </w:rPr>
              <w:t>Form 8-K (File No. 1-07533), filed on April 26, 2016 and incorporated herein by reference)</w:t>
            </w:r>
          </w:p>
        </w:tc>
        <w:tc>
          <w:tcPr>
            <w:tcW w:w="880" w:type="dxa"/>
            <w:vAlign w:val="bottom"/>
            <w:tcBorders>
              <w:top w:val="single" w:sz="8" w:color="0000FF"/>
            </w:tcBorders>
            <w:gridSpan w:val="4"/>
          </w:tcPr>
          <w:p>
            <w:pPr>
              <w:spacing w:after="0"/>
              <w:rPr>
                <w:sz w:val="20"/>
                <w:szCs w:val="20"/>
                <w:color w:val="auto"/>
              </w:rPr>
            </w:pPr>
          </w:p>
        </w:tc>
        <w:tc>
          <w:tcPr>
            <w:tcW w:w="24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Severance Agreement between the Trust and Daniel Guglielmone dated August 15, 2016 (previously filed as </w:t>
            </w:r>
            <w:hyperlink r:id="rId54">
              <w:r>
                <w:rPr>
                  <w:rFonts w:ascii="Arial" w:cs="Arial" w:eastAsia="Arial" w:hAnsi="Arial"/>
                  <w:sz w:val="18"/>
                  <w:szCs w:val="18"/>
                  <w:color w:val="0000FF"/>
                  <w:w w:val="95"/>
                </w:rPr>
                <w:t>Exhibit 10.36</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6"/>
          </w:tcPr>
          <w:p>
            <w:pPr>
              <w:spacing w:after="0"/>
              <w:rPr>
                <w:sz w:val="20"/>
                <w:szCs w:val="20"/>
                <w:color w:val="auto"/>
              </w:rPr>
            </w:pPr>
            <w:r>
              <w:rPr>
                <w:rFonts w:ascii="Arial" w:cs="Arial" w:eastAsia="Arial" w:hAnsi="Arial"/>
                <w:sz w:val="18"/>
                <w:szCs w:val="18"/>
                <w:color w:val="auto"/>
                <w:w w:val="99"/>
              </w:rPr>
              <w:t>Quarterly Report on Form 10-Q for the quarter ended September 30, 2016 (File No. 1-07533 and incorporated herein by reference)</w:t>
            </w:r>
          </w:p>
        </w:tc>
        <w:tc>
          <w:tcPr>
            <w:tcW w:w="0" w:type="dxa"/>
            <w:vAlign w:val="bottom"/>
          </w:tcPr>
          <w:p>
            <w:pPr>
              <w:spacing w:after="0"/>
              <w:rPr>
                <w:sz w:val="1"/>
                <w:szCs w:val="1"/>
                <w:color w:val="auto"/>
              </w:rPr>
            </w:pPr>
          </w:p>
        </w:tc>
      </w:tr>
      <w:tr>
        <w:trPr>
          <w:trHeight w:val="365"/>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Subsidiaries of Federal Realty Investment Trust (filed herewith)</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tcBorders>
              <w:top w:val="single" w:sz="8" w:color="0000FF"/>
            </w:tcBorders>
            <w:gridSpan w:val="6"/>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Consent of Grant Thornton LLP (filed herewith)</w:t>
              </w:r>
            </w:hyperlink>
          </w:p>
        </w:tc>
        <w:tc>
          <w:tcPr>
            <w:tcW w:w="57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Rule 13a-14(a) Certification of Chief Executive Officer (filed herewith)</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Rule 13a-14(a) Certification of Chief Financial Officer (filed herewith)</w:t>
              </w:r>
            </w:hyperlink>
          </w:p>
        </w:tc>
        <w:tc>
          <w:tcPr>
            <w:tcW w:w="40" w:type="dxa"/>
            <w:vAlign w:val="bottom"/>
            <w:tcBorders>
              <w:top w:val="single" w:sz="8" w:color="0000FF"/>
            </w:tcBorders>
          </w:tcPr>
          <w:p>
            <w:pPr>
              <w:spacing w:after="0"/>
              <w:rPr>
                <w:sz w:val="24"/>
                <w:szCs w:val="24"/>
                <w:color w:val="auto"/>
              </w:rPr>
            </w:pPr>
          </w:p>
        </w:tc>
        <w:tc>
          <w:tcPr>
            <w:tcW w:w="51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6"/>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Section 1350 Certification of Chief Executive Officer (filed herewith)</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Section 1350 Certification of Chief Financial Officer (filed herewith)</w:t>
              </w:r>
            </w:hyperlink>
          </w:p>
        </w:tc>
        <w:tc>
          <w:tcPr>
            <w:tcW w:w="40" w:type="dxa"/>
            <w:vAlign w:val="bottom"/>
            <w:tcBorders>
              <w:top w:val="single" w:sz="8" w:color="0000FF"/>
            </w:tcBorders>
          </w:tcPr>
          <w:p>
            <w:pPr>
              <w:spacing w:after="0"/>
              <w:rPr>
                <w:sz w:val="24"/>
                <w:szCs w:val="24"/>
                <w:color w:val="auto"/>
              </w:rPr>
            </w:pPr>
          </w:p>
        </w:tc>
        <w:tc>
          <w:tcPr>
            <w:tcW w:w="53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80" w:right="460" w:hanging="1045"/>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0000FF"/>
        </w:rPr>
        <w:t>The following materials from Federal Realty Investment Trust’s Annual Report on Form 10-K for the year ended December 31, 2018,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ectPr>
          <w:pgSz w:w="11900" w:h="16838" w:orient="portrait"/>
          <w:cols w:equalWidth="0" w:num="1">
            <w:col w:w="11420"/>
          </w:cols>
          <w:pgMar w:left="240" w:top="126"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6" w:right="2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firstLine="8"/>
        <w:spacing w:after="0" w:line="261" w:lineRule="auto"/>
        <w:tabs>
          <w:tab w:leader="none" w:pos="2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12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126" w:right="31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13,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508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40640</wp:posOffset>
            </wp:positionV>
            <wp:extent cx="2452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2"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Donald C. Wood</w:t>
      </w:r>
    </w:p>
    <w:p>
      <w:pPr>
        <w:spacing w:after="0" w:line="4"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2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3"/>
          </w:tcPr>
          <w:p>
            <w:pPr>
              <w:jc w:val="center"/>
              <w:ind w:right="136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ONALD</w:t>
            </w:r>
            <w:r>
              <w:rPr>
                <w:rFonts w:ascii="Arial" w:cs="Arial" w:eastAsia="Arial" w:hAnsi="Arial"/>
                <w:sz w:val="18"/>
                <w:szCs w:val="18"/>
                <w:color w:val="auto"/>
                <w:w w:val="98"/>
              </w:rPr>
              <w:t xml:space="preserve"> C. W</w:t>
            </w:r>
            <w:r>
              <w:rPr>
                <w:rFonts w:ascii="Arial" w:cs="Arial" w:eastAsia="Arial" w:hAnsi="Arial"/>
                <w:sz w:val="14"/>
                <w:szCs w:val="14"/>
                <w:color w:val="auto"/>
                <w:w w:val="98"/>
              </w:rPr>
              <w:t>OOD</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President, Chief Executive Officer and</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740"/>
              <w:spacing w:after="0"/>
              <w:rPr>
                <w:sz w:val="20"/>
                <w:szCs w:val="20"/>
                <w:color w:val="auto"/>
              </w:rPr>
            </w:pPr>
            <w:r>
              <w:rPr>
                <w:rFonts w:ascii="Arial" w:cs="Arial" w:eastAsia="Arial" w:hAnsi="Arial"/>
                <w:sz w:val="18"/>
                <w:szCs w:val="18"/>
                <w:color w:val="auto"/>
              </w:rPr>
              <w:t>Trustee (Principal Executive Officer)</w:t>
            </w: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4"/>
              </w:rPr>
              <w:t>Donald C. Wood</w:t>
            </w:r>
          </w:p>
        </w:tc>
        <w:tc>
          <w:tcPr>
            <w:tcW w:w="438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440" w:type="dxa"/>
            <w:vAlign w:val="bottom"/>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4"/>
          </w:tcPr>
          <w:p>
            <w:pPr>
              <w:jc w:val="center"/>
              <w:ind w:right="10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President-Chief Financial</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740"/>
              <w:spacing w:after="0"/>
              <w:rPr>
                <w:sz w:val="20"/>
                <w:szCs w:val="20"/>
                <w:color w:val="auto"/>
              </w:rPr>
            </w:pPr>
            <w:r>
              <w:rPr>
                <w:rFonts w:ascii="Arial" w:cs="Arial" w:eastAsia="Arial" w:hAnsi="Arial"/>
                <w:sz w:val="18"/>
                <w:szCs w:val="18"/>
                <w:color w:val="auto"/>
              </w:rPr>
              <w:t>Officer and Treasurer (Principal</w:t>
            </w: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3"/>
              </w:rPr>
              <w:t>Daniel Guglielmone</w:t>
            </w:r>
          </w:p>
        </w:tc>
        <w:tc>
          <w:tcPr>
            <w:tcW w:w="438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380" w:type="dxa"/>
            <w:vAlign w:val="bottom"/>
            <w:gridSpan w:val="3"/>
          </w:tcPr>
          <w:p>
            <w:pPr>
              <w:ind w:left="740"/>
              <w:spacing w:after="0"/>
              <w:rPr>
                <w:sz w:val="20"/>
                <w:szCs w:val="20"/>
                <w:color w:val="auto"/>
              </w:rPr>
            </w:pPr>
            <w:r>
              <w:rPr>
                <w:rFonts w:ascii="Arial" w:cs="Arial" w:eastAsia="Arial" w:hAnsi="Arial"/>
                <w:sz w:val="18"/>
                <w:szCs w:val="18"/>
                <w:color w:val="auto"/>
              </w:rPr>
              <w:t>Financial and Accounting Officer)</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144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4"/>
          </w:tcPr>
          <w:p>
            <w:pPr>
              <w:jc w:val="center"/>
              <w:ind w:right="10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Non-Executive Chairman</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88"/>
              </w:rPr>
              <w:t>Joseph S. Vassalluzzo</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ON</w:t>
            </w:r>
            <w:r>
              <w:rPr>
                <w:rFonts w:ascii="Arial" w:cs="Arial" w:eastAsia="Arial" w:hAnsi="Arial"/>
                <w:sz w:val="18"/>
                <w:szCs w:val="18"/>
                <w:color w:val="auto"/>
                <w:w w:val="93"/>
              </w:rPr>
              <w:t xml:space="preserve"> E. B</w:t>
            </w:r>
            <w:r>
              <w:rPr>
                <w:rFonts w:ascii="Arial" w:cs="Arial" w:eastAsia="Arial" w:hAnsi="Arial"/>
                <w:sz w:val="14"/>
                <w:szCs w:val="14"/>
                <w:color w:val="auto"/>
                <w:w w:val="93"/>
              </w:rPr>
              <w:t>ORTZ</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Jon E. Bortz</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5"/>
              </w:rPr>
              <w:t>David W. Faeder</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460" w:type="dxa"/>
            <w:vAlign w:val="bottom"/>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E</w:t>
            </w:r>
            <w:r>
              <w:rPr>
                <w:rFonts w:ascii="Arial" w:cs="Arial" w:eastAsia="Arial" w:hAnsi="Arial"/>
                <w:sz w:val="14"/>
                <w:szCs w:val="14"/>
                <w:color w:val="auto"/>
              </w:rPr>
              <w:t xml:space="preserve">LIZABETH </w:t>
            </w:r>
            <w:r>
              <w:rPr>
                <w:rFonts w:ascii="Arial" w:cs="Arial" w:eastAsia="Arial" w:hAnsi="Arial"/>
                <w:sz w:val="18"/>
                <w:szCs w:val="18"/>
                <w:color w:val="auto"/>
              </w:rPr>
              <w:t>I. H</w:t>
            </w:r>
            <w:r>
              <w:rPr>
                <w:rFonts w:ascii="Arial" w:cs="Arial" w:eastAsia="Arial" w:hAnsi="Arial"/>
                <w:sz w:val="14"/>
                <w:szCs w:val="14"/>
                <w:color w:val="auto"/>
              </w:rPr>
              <w:t>OLLAND</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6"/>
              </w:rPr>
              <w:t>Elizabeth I. Holland</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4"/>
                <w:szCs w:val="14"/>
                <w:color w:val="auto"/>
              </w:rPr>
              <w:t>/S/</w:t>
            </w: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xml:space="preserve">MARK </w:t>
            </w:r>
            <w:r>
              <w:rPr>
                <w:rFonts w:ascii="Arial" w:cs="Arial" w:eastAsia="Arial" w:hAnsi="Arial"/>
                <w:sz w:val="18"/>
                <w:szCs w:val="18"/>
                <w:color w:val="auto"/>
              </w:rPr>
              <w:t>S.</w:t>
            </w:r>
            <w:r>
              <w:rPr>
                <w:rFonts w:ascii="Arial" w:cs="Arial" w:eastAsia="Arial" w:hAnsi="Arial"/>
                <w:sz w:val="14"/>
                <w:szCs w:val="14"/>
                <w:color w:val="auto"/>
              </w:rPr>
              <w:t xml:space="preserve"> ORDAN</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Mark S. Ordan</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AIL</w:t>
            </w:r>
            <w:r>
              <w:rPr>
                <w:rFonts w:ascii="Arial" w:cs="Arial" w:eastAsia="Arial" w:hAnsi="Arial"/>
                <w:sz w:val="18"/>
                <w:szCs w:val="18"/>
                <w:color w:val="auto"/>
                <w:w w:val="97"/>
              </w:rPr>
              <w:t xml:space="preserve"> P. S</w:t>
            </w:r>
            <w:r>
              <w:rPr>
                <w:rFonts w:ascii="Arial" w:cs="Arial" w:eastAsia="Arial" w:hAnsi="Arial"/>
                <w:sz w:val="14"/>
                <w:szCs w:val="14"/>
                <w:color w:val="auto"/>
                <w:w w:val="97"/>
              </w:rPr>
              <w:t>TEINEL</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Gail P. Steinel</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4"/>
          </w:tcPr>
          <w:p>
            <w:pPr>
              <w:jc w:val="center"/>
              <w:ind w:right="1060"/>
              <w:spacing w:after="0"/>
              <w:rPr>
                <w:sz w:val="20"/>
                <w:szCs w:val="20"/>
                <w:color w:val="auto"/>
              </w:rPr>
            </w:pPr>
            <w:r>
              <w:rPr>
                <w:rFonts w:ascii="Arial" w:cs="Arial" w:eastAsia="Arial" w:hAnsi="Arial"/>
                <w:sz w:val="18"/>
                <w:szCs w:val="18"/>
                <w:color w:val="auto"/>
                <w:w w:val="98"/>
              </w:rPr>
              <w:t>W</w:t>
            </w:r>
            <w:r>
              <w:rPr>
                <w:rFonts w:ascii="Arial" w:cs="Arial" w:eastAsia="Arial" w:hAnsi="Arial"/>
                <w:sz w:val="14"/>
                <w:szCs w:val="14"/>
                <w:color w:val="auto"/>
                <w:w w:val="98"/>
              </w:rPr>
              <w:t>ARREN</w:t>
            </w:r>
            <w:r>
              <w:rPr>
                <w:rFonts w:ascii="Arial" w:cs="Arial" w:eastAsia="Arial" w:hAnsi="Arial"/>
                <w:sz w:val="18"/>
                <w:szCs w:val="18"/>
                <w:color w:val="auto"/>
                <w:w w:val="98"/>
              </w:rPr>
              <w:t xml:space="preserve"> M. T</w:t>
            </w:r>
            <w:r>
              <w:rPr>
                <w:rFonts w:ascii="Arial" w:cs="Arial" w:eastAsia="Arial" w:hAnsi="Arial"/>
                <w:sz w:val="14"/>
                <w:szCs w:val="14"/>
                <w:color w:val="auto"/>
                <w:w w:val="98"/>
              </w:rPr>
              <w:t>HOMPSON</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13, 2019</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6"/>
              </w:rPr>
              <w:t>Warren M. Thompson</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6" w:right="27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126" w:right="27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14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rPr>
              <w:t>Page No.</w:t>
            </w:r>
          </w:p>
        </w:tc>
      </w:tr>
      <w:tr>
        <w:trPr>
          <w:trHeight w:val="196"/>
        </w:trPr>
        <w:tc>
          <w:tcPr>
            <w:tcW w:w="9940" w:type="dxa"/>
            <w:vAlign w:val="bottom"/>
          </w:tcPr>
          <w:p>
            <w:pPr>
              <w:ind w:left="40"/>
              <w:spacing w:after="0" w:line="196"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F-2</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F-4</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F-5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 of Shareholders’ Equity</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F-6</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F-7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F-8</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9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i w:val="1"/>
                <w:iCs w:val="1"/>
                <w:color w:val="auto"/>
              </w:rPr>
              <w:t>Financial Statement Schedules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III—Summary of Real Estate and Accumulated Depreciation</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F-32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Schedule IV—Mortgage Loans on Real Estate</w:t>
            </w:r>
          </w:p>
        </w:tc>
        <w:tc>
          <w:tcPr>
            <w:tcW w:w="1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86"/>
              </w:rPr>
            </w:pPr>
            <w:hyperlink w:anchor="page97">
              <w:r>
                <w:rPr>
                  <w:rFonts w:ascii="Arial" w:cs="Arial" w:eastAsia="Arial" w:hAnsi="Arial"/>
                  <w:sz w:val="18"/>
                  <w:szCs w:val="18"/>
                  <w:color w:val="0000EE"/>
                  <w:w w:val="86"/>
                </w:rPr>
                <w:t>F-40</w:t>
              </w:r>
            </w:hyperlink>
          </w:p>
        </w:tc>
        <w:tc>
          <w:tcPr>
            <w:tcW w:w="20" w:type="dxa"/>
            <w:vAlign w:val="bottom"/>
          </w:tcPr>
          <w:p>
            <w:pPr>
              <w:spacing w:after="0"/>
              <w:rPr>
                <w:sz w:val="17"/>
                <w:szCs w:val="17"/>
                <w:color w:val="auto"/>
              </w:rPr>
            </w:pPr>
          </w:p>
        </w:tc>
      </w:tr>
    </w:tbl>
    <w:p>
      <w:pPr>
        <w:spacing w:after="0" w:line="202"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Trust maintained, in all material respects, effective internal control over financial reporting as of December 31, 2018,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Trust as of and for the year ended December 31, 2018, and our report dated February 13, 2019 expressed an unqualified opinion on those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Trust’s management is responsible for maintaining effective internal control over financial reporting and for its assessment of the effectiveness of internal control over financial reporting, included in the accompanying Management's Evaluation of Disclosure Controls and Procedures.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Federal Realty Investment Trust (a Maryland real estate investment trust) and Subsidiaries (collectively, the "Trust") as of December 31, 2018 and 2017, and the related consolidated statements of comprehensive income, changes in shareholders’ equity, and cash flows for each of the three years in the period ended December 31, 2018, and the related notes and schedules (collectively referred to as the “financial statements”). In our opinion, the financial statements present fairly, in all material respects, the financial position of the Trust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Trust’s internal control over financial reporting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13, 2019 expressed an unqualified opinion.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Trust’s auditor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7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center"/>
              <w:ind w:right="71"/>
              <w:spacing w:after="0" w:line="153" w:lineRule="exact"/>
              <w:rPr>
                <w:sz w:val="20"/>
                <w:szCs w:val="20"/>
                <w:color w:val="auto"/>
              </w:rPr>
            </w:pPr>
            <w:r>
              <w:rPr>
                <w:rFonts w:ascii="Arial" w:cs="Arial" w:eastAsia="Arial" w:hAnsi="Arial"/>
                <w:sz w:val="14"/>
                <w:szCs w:val="14"/>
                <w:b w:val="1"/>
                <w:bCs w:val="1"/>
                <w:color w:val="auto"/>
                <w:w w:val="91"/>
              </w:rPr>
              <w:t>(In thousands, except share and per</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90"/>
              </w:rPr>
              <w:t>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$1,701,804 and $1,639,486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7,307,622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$51,313 and $43,393 of consolidated variable interest entities,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495,274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7,819,472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7,635,061</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$292,374 and $247,410 of consolidated variable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(2,059,143)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5,760,329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64,087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265,703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6,289,644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3"/>
              </w:rPr>
              <w:t>Mortgages payable (including $444,388 and $460,372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474,379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279,027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177,922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182,898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3,686,106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136,208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Common shares of beneficial interest, $.01 par, 100,000,000 shares authorized, 74,249,633 and 73,090,877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3,004,442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2,345,891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2,467,330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2,391,514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6,289,644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6,275,755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7"/>
          </w:tcPr>
          <w:p>
            <w:pPr>
              <w:jc w:val="center"/>
              <w:ind w:left="4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895,698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841,461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786,583</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915,436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857,348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801,591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164,890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158,326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95,286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33,399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244,245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193,585</w:t>
            </w:r>
          </w:p>
        </w:tc>
        <w:tc>
          <w:tcPr>
            <w:tcW w:w="0" w:type="dxa"/>
            <w:vAlign w:val="bottom"/>
          </w:tcPr>
          <w:p>
            <w:pPr>
              <w:spacing w:after="0"/>
              <w:rPr>
                <w:sz w:val="1"/>
                <w:szCs w:val="1"/>
                <w:color w:val="auto"/>
              </w:rPr>
            </w:pP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565,715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525,060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480,596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332,288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320,995</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(94,994)</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real estate partnerships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219,948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226,425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249,026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297,870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258,883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289,914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249,910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233,865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287,456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249,369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71,049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249,026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297,870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258,883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 - change in value of interest rate swaps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248,588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300,469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260,416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241,469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292,513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251,443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5"/>
              </w:rPr>
              <w:t>Shareholders’ Equity of the Trust</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340" w:type="dxa"/>
            <w:vAlign w:val="bottom"/>
            <w:gridSpan w:val="4"/>
            <w:vMerge w:val="restart"/>
          </w:tcPr>
          <w:p>
            <w:pPr>
              <w:jc w:val="right"/>
              <w:ind w:right="72"/>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460" w:type="dxa"/>
            <w:vAlign w:val="bottom"/>
            <w:gridSpan w:val="4"/>
            <w:vMerge w:val="restart"/>
          </w:tcPr>
          <w:p>
            <w:pPr>
              <w:jc w:val="right"/>
              <w:ind w:right="132"/>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Dividends in</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ind w:left="120"/>
              <w:spacing w:after="0"/>
              <w:rPr>
                <w:sz w:val="20"/>
                <w:szCs w:val="20"/>
                <w:color w:val="auto"/>
              </w:rPr>
            </w:pPr>
            <w:r>
              <w:rPr>
                <w:rFonts w:ascii="Arial" w:cs="Arial" w:eastAsia="Arial" w:hAnsi="Arial"/>
                <w:sz w:val="13"/>
                <w:szCs w:val="13"/>
                <w:b w:val="1"/>
                <w:bCs w:val="1"/>
                <w:color w:val="auto"/>
                <w:w w:val="85"/>
              </w:rPr>
              <w:t>(In thousands, except share data)</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86"/>
              </w:rPr>
              <w:t>399,896</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9,997</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4"/>
              </w:rPr>
              <w:t>69,493,392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89"/>
              </w:rPr>
              <w:t>$ 2,381,867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(724,701)</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118,182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1,781,931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vMerge w:val="continue"/>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5"/>
              </w:rPr>
              <w:t>Net income, excluding $2,713 attributable to redeemable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249,910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6,260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256,170</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 change in value of interest</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rate swaps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(274,402)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(274,402)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(7,546)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(7,546)</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2,156,671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324,170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324,191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55,365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4,541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4,542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15,619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w w:val="99"/>
              </w:rPr>
              <w:t>Share-based compensation expense, net of forfeitures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134,913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11,225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11,227</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170,608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18,677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(20,091)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(20,091)</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58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86"/>
              </w:rPr>
              <w:t>399,896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9,997</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4"/>
              </w:rPr>
              <w:t>71,995,897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722</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2,718,325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(749,734)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99,102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2,075,835</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January 1, 2017 adoption of new accounting standard</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Net income, excluding $3,874 attributable to redeemable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289,914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293,996</w:t>
            </w: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3"/>
              </w:rPr>
              <w:t>Other comprehensive income - change in value of interest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rate swaps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(287,006)</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Common shares issued, net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826,592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108,240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108,248</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shares issued, net</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86"/>
              </w:rPr>
              <w:t>150,000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144,965</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152,634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9,977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9,979</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17,911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w w:val="99"/>
              </w:rPr>
              <w:t>Share-based compensation expense, net of forfeitures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107,522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12,370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20,030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35,331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35,331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Purchase of noncontrolling interests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(5,536)</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10,606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10,606</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2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5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w w:val="86"/>
              </w:rPr>
              <w:t>405,896</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86"/>
              </w:rPr>
              <w:t>159,997</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w w:val="94"/>
              </w:rPr>
              <w:t>73,090,877</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4"/>
                <w:szCs w:val="14"/>
                <w:color w:val="auto"/>
              </w:rPr>
            </w:pP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89"/>
              </w:rPr>
              <w:t>$ 2,855,321</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(749,367)</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124,808</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99"/>
              </w:rPr>
              <w:t>2,391,514</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January 1, 2018 adoption of new accounting standard - See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2</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5"/>
              </w:rPr>
              <w:t>Net income, excluding $3,865 attributable to redeemable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241,907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3,254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245,161</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Other comprehensive loss - change in value of interest rate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swaps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(297,347)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(297,347)</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(5,175)</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 net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987,461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126,061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126,071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105,803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4,571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w w:val="99"/>
              </w:rPr>
              <w:t>Share-based compensation expense, net of forfeitures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55,223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12,735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12,736</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(6,012)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4,020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5,097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5,097</w:t>
            </w:r>
          </w:p>
        </w:tc>
        <w:tc>
          <w:tcPr>
            <w:tcW w:w="0" w:type="dxa"/>
            <w:vAlign w:val="bottom"/>
          </w:tcPr>
          <w:p>
            <w:pPr>
              <w:spacing w:after="0"/>
              <w:rPr>
                <w:sz w:val="1"/>
                <w:szCs w:val="1"/>
                <w:color w:val="auto"/>
              </w:rPr>
            </w:pPr>
          </w:p>
        </w:tc>
      </w:tr>
      <w:tr>
        <w:trPr>
          <w:trHeight w:val="75"/>
        </w:trPr>
        <w:tc>
          <w:tcPr>
            <w:tcW w:w="34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gridSpan w:val="2"/>
            <w:vMerge w:val="continue"/>
          </w:tcPr>
          <w:p>
            <w:pPr>
              <w:spacing w:after="0"/>
              <w:rPr>
                <w:sz w:val="6"/>
                <w:szCs w:val="6"/>
                <w:color w:val="auto"/>
              </w:rPr>
            </w:pPr>
          </w:p>
        </w:tc>
        <w:tc>
          <w:tcPr>
            <w:tcW w:w="90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BALANCE AT DECEMBER 31, 2018</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86"/>
              </w:rPr>
              <w:t>405,896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6"/>
              </w:rPr>
              <w:t>159,997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4"/>
              </w:rPr>
              <w:t>74,249,633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89"/>
              </w:rPr>
              <w:t>$ 3,004,442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(818,877)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121,439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6" w:right="239" w:bottom="84"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6" w:right="239" w:bottom="84"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2016</w:t>
            </w: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258,883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193,585</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Loss (income) from real estate partnerships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Decrease in accounts receivable, net</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7,159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516,688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458,828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427,672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(142,958)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(379,720)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(57,560)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partnership formation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37,998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3,910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11,626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(590,221)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(repayment) borrowings under revolving credit facility,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572,134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241,795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(49,559)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329,103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preferred shares, net of costs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144,991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(267,694)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(24,102)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369,445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168,838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6,289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108,332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34,849</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6" w:right="23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December 31, 2018,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2017 and 2016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2018 and 2017, our allowance for doubtful accounts was $12.7 million and $11.8 million, respectively.</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126" w:right="27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2018 and 2017, accounts receivable include approximately $97.4 million and $93.1 million, respectively, related to straight-line rents.</w:t>
      </w:r>
    </w:p>
    <w:p>
      <w:pPr>
        <w:spacing w:after="0" w:line="13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completed construction on 221 condominium units at our Assembly Row and Pike &amp; Rose properties. Beginning on January 1, 2018, with the adoption of ASU 2014-09, "Revenue from Contracts with Customers," (see "Recent Accounting Pronouncements" for discussion of change in timing of revenue recognition), gains or losses on the sale of these condominium units are recognized as the condominium units are legally sold. In 2017, we accounted for contracted condominium sales under the percentage-of completion method, based on an evaluation of the criteria specified in ASC Topic 360-20, “Property, Plant and Equipment – Real Estate Sales,” including: the legal commitment of the purchaser in the real estate contract, whether the construction of the project was beyond a preliminary phase, whether sufficient units had been contracted to ensure the project would not revert to a rental project, the ability to reasonably estimate the aggregate project sale proceeds and aggregate project costs, and the determination that the buyer had made an adequate initial and continuing cash investment under the contract. When the percentage-of-completion criteria had not been met, no profit was recognized. The application of these criteria can be complex and required us to make assumptions.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2018, 2017 and 2016, real estate depreciation expense was $216.0 million, $193.3 million and $173.2 million, respectively, including amounts from real estate sold and assets under capital lease obligations.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January 1, 2018, (upon the adoption of ASU 2014-09, "Revenue from Contracts with Customers," as amended and interpreted) sales of real estate are recognized generally upon the transfer of control, which usually occurs when the real estate is legally sold. Prior to January 1, 2018, sales of real estate were recognized only when sufficient down payments had been obtained, possession and other attributes of ownership had been transferred to the buyer and we had no significant continuing involvement. The application of these criteria can be complex and required us to make assumptions. We believe the relevant criteria were met for all real estate sold during the periods presented.</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7"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6" w:right="25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2018, we had $70.6 million in excess of the FDIC insured limit.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November 1, 2018, we were party to two interest rate swap agreements that effectively fixed the rate on the term loan at 2.62%. Both swaps were designated and qualified as cash flow hedges and were recorded at fair value. As of December 31, 2018, our Assembly Row hotel joint venture is a party to two interest rate swap agreements that effectively fix the interest rate on the joint venture's mortgage debt at 5.206%. Both swaps were designated and qualify as cash flow hedges. Hedge ineffectiveness has not impacted earnings in 2018, 2017 and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estate investment and the appropriate accounting thereon. Such determination affects our balance sheet classification of these investments and the recognition of interest income derived therefrom.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2018 and 2017.</w:t>
      </w:r>
    </w:p>
    <w:p>
      <w:pPr>
        <w:spacing w:after="0" w:line="10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our loans are collateralized by a first mortgage, the loans have risk characteristics similar to the risks in owning commercial real estate.</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December 31, 2018 and 2017, we had two mortgage notes receivable, with aggregate carrying amounts of $30.4 million, and weighted average interest rates of 10.3% and 10.0%, respectively, which were secured by first mortgages on retail buildings.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equity method investments in the Pike &amp; Rose hotel joint venture, the Assembly Row hotel joint venture, and the La Alameda shopping center are also considered variable interests in a VIE. As we do not control the activities that most significantly impact the economic performance of the joint ventures, we are not the primary beneficiary and do not consolidate. As of December 31, 2018 and 2017, our investment in these joint ventures and maximum exposure to loss was $26.9 million and $23.9 million, respectively.</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we have 18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and mortgage payables related to variable interest entities included in our consolidated balance sheets were approximately $1.5 billion and $444.4 million, respectively, as of December 31, 2018, and $1.4 billion and $460.4 million, respectively, as of December 31, 2017.</w:t>
      </w:r>
    </w:p>
    <w:p>
      <w:pPr>
        <w:spacing w:after="0" w:line="13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have also evaluated our mortgage notes receivable investments and determined that the entities obligated under the mortgage notes are not VIEs. Our equity method investments and mortgage notes receivable balances are presented separately in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color w:val="auto"/>
                <w:w w:val="93"/>
              </w:rPr>
              <w:t>(In thousands)</w:t>
            </w:r>
          </w:p>
        </w:tc>
        <w:tc>
          <w:tcPr>
            <w:tcW w:w="8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141,157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143,694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3,874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11,109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Distributions &amp; Redemptions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redemption value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(10,606)</w:t>
            </w:r>
          </w:p>
        </w:tc>
      </w:tr>
      <w:tr>
        <w:trPr>
          <w:trHeight w:val="250"/>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136,208</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12, 2017, we exercised our purchase option on non-controlling interests in San Antonio Center for $2.6 million of cash and 44,195 of downREIT operating partnership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-302260</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2015. As of December 31, 2018 and 2017, we had no material unrecognized tax benefits. While we currently have no material unrecognized tax benefits, as a policy, we recognize penalties and interest accrued related to unrecognized tax benefits as income tax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b w:val="1"/>
                <w:bCs w:val="1"/>
                <w:color w:val="auto"/>
                <w:w w:val="93"/>
              </w:rPr>
              <w:t>Effect on the financial statements or significant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Standard</w:t>
            </w:r>
          </w:p>
        </w:tc>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of Adoption</w:t>
            </w:r>
          </w:p>
        </w:tc>
        <w:tc>
          <w:tcPr>
            <w:tcW w:w="3420" w:type="dxa"/>
            <w:vAlign w:val="bottom"/>
          </w:tcPr>
          <w:p>
            <w:pPr>
              <w:ind w:left="40"/>
              <w:spacing w:after="0"/>
              <w:rPr>
                <w:sz w:val="20"/>
                <w:szCs w:val="20"/>
                <w:color w:val="auto"/>
              </w:rPr>
            </w:pPr>
            <w:r>
              <w:rPr>
                <w:rFonts w:ascii="Arial" w:cs="Arial" w:eastAsia="Arial" w:hAnsi="Arial"/>
                <w:sz w:val="16"/>
                <w:szCs w:val="16"/>
                <w:b w:val="1"/>
                <w:bCs w:val="1"/>
                <w:color w:val="auto"/>
              </w:rPr>
              <w:t>matters</w:t>
            </w: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i w:val="1"/>
                <w:iCs w:val="1"/>
                <w:color w:val="auto"/>
                <w:w w:val="83"/>
              </w:rPr>
              <w:t>Recently adopted:</w:t>
            </w:r>
          </w:p>
        </w:tc>
        <w:tc>
          <w:tcPr>
            <w:tcW w:w="840" w:type="dxa"/>
            <w:vAlign w:val="bottom"/>
            <w:gridSpan w:val="2"/>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Revenue from Contracts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In May 2014, the the FASB issued ASU 2014-09,</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20" w:type="dxa"/>
            <w:vAlign w:val="bottom"/>
          </w:tcPr>
          <w:p>
            <w:pPr>
              <w:ind w:left="40"/>
              <w:spacing w:after="0"/>
              <w:rPr>
                <w:sz w:val="20"/>
                <w:szCs w:val="20"/>
                <w:color w:val="auto"/>
              </w:rPr>
            </w:pPr>
            <w:r>
              <w:rPr>
                <w:rFonts w:ascii="Arial" w:cs="Arial" w:eastAsia="Arial" w:hAnsi="Arial"/>
                <w:sz w:val="18"/>
                <w:szCs w:val="18"/>
                <w:color w:val="auto"/>
                <w:w w:val="91"/>
              </w:rPr>
              <w:t>We implemented the new revenue recognition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with Customers (Topic</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7"/>
              </w:rPr>
              <w:t>"Revenue from Contracts with Customers." ASU 2014-09</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guidance retrospectively with the cumulative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606) and related updates: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6"/>
              </w:rPr>
              <w:t>as amended and interpreted by ASU 2015-14, ASU 2016-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effect recognized in accumulated dividends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08, ASU 2016-10, ASU 2016-12, and ASU 2016-20,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excess of net income at the date of initial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ASU 2014-09, May</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2"/>
              </w:rPr>
              <w:t>supersedes nearly all existing revenue recognition guidance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application. The primary impact relates to</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 xml:space="preserve">2014, </w:t>
            </w:r>
            <w:r>
              <w:rPr>
                <w:rFonts w:ascii="Arial" w:cs="Arial" w:eastAsia="Arial" w:hAnsi="Arial"/>
                <w:sz w:val="18"/>
                <w:szCs w:val="18"/>
                <w:i w:val="1"/>
                <w:iCs w:val="1"/>
                <w:color w:val="auto"/>
              </w:rPr>
              <w:t>Revenue from</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under GAAP and replaces it with a core revenue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8"/>
              </w:rPr>
              <w:t>condominium sales. Most of our revenue is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Contracts with</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6"/>
              </w:rPr>
              <w:t>recognition principle, that an entity will recognize revenue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1"/>
              </w:rPr>
              <w:t>accounted for under the leasing standard, and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Customers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6"/>
              </w:rPr>
              <w:t>when it transfers control of promised goods or services to</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therefore is not subject to this standard.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7"/>
              </w:rPr>
              <w:t>customers in an amount that reflects the consideration to</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ASU 2015-14,</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which the entity expects to be entitled in exchange for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9"/>
              </w:rPr>
              <w:t>In 2017, gains on contracted condominium</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August 2015,</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those goods or services, and creates a five-step model for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3"/>
              </w:rPr>
              <w:t>sales were recognized using the percentage-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Revenue from</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revenue recognition in accordance with this principle. ASU</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of-completion method, with the gain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Contracts with</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6"/>
              </w:rPr>
              <w:t>2014-09 also requires new disclosures in both interim and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6"/>
              </w:rPr>
              <w:t>recognized once certain criteria were met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Customers: Deferral</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9"/>
              </w:rPr>
              <w:t>annual reporting periods. The guidance in ASU 2014-09</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advance of legal closing. Under the new</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of the Effective Date</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7"/>
              </w:rPr>
              <w:t>does not apply to contracts within the scope of ASC 840,</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guidance, condominium sale gains are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recognized as the condominium units are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ASU 2016-08,</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legally sold, which is typically upon closing.</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March 2016,</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ASU 2016-08 clarifies how to identify the unit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$5.4 million of condominium gains (net of</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Revenue from</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7"/>
              </w:rPr>
              <w:t>accounting for the principal versus agent evaluation, how</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$1.4 million of income taxes) recorded under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Contracts with</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to apply the control principle to certain types of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the percentage-of-completion method in 2017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Customers: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arrangements, such as service transactions, and reframed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4"/>
              </w:rPr>
              <w:t>were reversed through opening accumulated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Principal versus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the indicators in the guidance to focus on evidence that an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dividends in excess of net income. If we had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Agent</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entity is acting as a principal rather than as an agent.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used the percentage-of-completion method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Considerations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8"/>
              </w:rPr>
              <w:t>during 2018, we would have recorded $0.7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6"/>
              </w:rPr>
              <w:t>ASU 2016-10 clarifies the existing guidance on identifying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million of condominium gains (net of $0.2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ASU 2016-10, April</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performance obligations and licensing implementation.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million of income taxes) in 2018.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Contracts with</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ASU 2016-12 adds practical expedients related to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2"/>
              </w:rPr>
              <w:t>With the exception of condominium sales, the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Customers: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8"/>
              </w:rPr>
              <w:t>transition for contract modifications and further defines a</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adoption of the standard did not have a</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Identifying</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completed contract, clarifies the objective of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significant impact on our consolidated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Performance</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4"/>
              </w:rPr>
              <w:t>collectability assessment and how revenue is recognized if</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financial statements, with an additional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Obligations and</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collectability is not probable,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7"/>
              </w:rPr>
              <w:t>cumulative effect of $0.6 million reflected 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Licensing</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7"/>
              </w:rPr>
              <w:t>and when non-cash considerations should be measured.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w w:val="95"/>
              </w:rPr>
              <w:t>opening accumulated dividends in excess of</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auto"/>
              </w:rPr>
              <w:t>ASU 2016-12, May</w:t>
            </w:r>
          </w:p>
        </w:tc>
        <w:tc>
          <w:tcPr>
            <w:tcW w:w="4460" w:type="dxa"/>
            <w:vAlign w:val="bottom"/>
            <w:gridSpan w:val="2"/>
            <w:vMerge w:val="restart"/>
          </w:tcPr>
          <w:p>
            <w:pPr>
              <w:ind w:left="20"/>
              <w:spacing w:after="0"/>
              <w:rPr>
                <w:sz w:val="20"/>
                <w:szCs w:val="20"/>
                <w:color w:val="auto"/>
              </w:rPr>
            </w:pPr>
            <w:r>
              <w:rPr>
                <w:rFonts w:ascii="Arial" w:cs="Arial" w:eastAsia="Arial" w:hAnsi="Arial"/>
                <w:sz w:val="18"/>
                <w:szCs w:val="18"/>
                <w:color w:val="auto"/>
              </w:rPr>
              <w:t>ASU 2016-20 corrects or improves guidance in thirteen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160" w:type="dxa"/>
            <w:vAlign w:val="bottom"/>
            <w:gridSpan w:val="3"/>
            <w:vMerge w:val="continue"/>
          </w:tcPr>
          <w:p>
            <w:pPr>
              <w:spacing w:after="0"/>
              <w:rPr>
                <w:sz w:val="17"/>
                <w:szCs w:val="17"/>
                <w:color w:val="auto"/>
              </w:rPr>
            </w:pPr>
          </w:p>
        </w:tc>
        <w:tc>
          <w:tcPr>
            <w:tcW w:w="446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narrowly focused aspects of the guidance.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Contracts with</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Customers: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The standard allows for either "full retrospective"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Narrow-Scope</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adoption, meaning the standard is applied to all of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Improvements and</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9"/>
              </w:rPr>
              <w:t>periods presented, or "modified retrospective" adoption,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Practical</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meaning the cumulative impact of applying the standard is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Expedients</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recognized in accumulated dividends in excess of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auto"/>
              </w:rPr>
              <w:t>ASU 2016-20,</w:t>
            </w:r>
          </w:p>
        </w:tc>
        <w:tc>
          <w:tcPr>
            <w:tcW w:w="4460" w:type="dxa"/>
            <w:vAlign w:val="bottom"/>
            <w:gridSpan w:val="2"/>
          </w:tcPr>
          <w:p>
            <w:pPr>
              <w:ind w:left="20"/>
              <w:spacing w:after="0"/>
              <w:rPr>
                <w:sz w:val="20"/>
                <w:szCs w:val="20"/>
                <w:color w:val="auto"/>
              </w:rPr>
            </w:pPr>
            <w:r>
              <w:rPr>
                <w:rFonts w:ascii="Arial" w:cs="Arial" w:eastAsia="Arial" w:hAnsi="Arial"/>
                <w:sz w:val="18"/>
                <w:szCs w:val="18"/>
                <w:color w:val="auto"/>
              </w:rPr>
              <w:t>income on the date of application.</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160" w:type="dxa"/>
            <w:vAlign w:val="bottom"/>
            <w:gridSpan w:val="3"/>
            <w:vMerge w:val="continue"/>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color w:val="auto"/>
              </w:rPr>
              <w:t>December 2016,</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Revenue from</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Contracts with</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Customers: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Technical</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Corrections and</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8"/>
                <w:szCs w:val="18"/>
                <w:i w:val="1"/>
                <w:iCs w:val="1"/>
                <w:color w:val="auto"/>
              </w:rPr>
              <w:t>Improvements</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6" w:right="23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EE"/>
        </w:rPr>
      </w:pPr>
      <w:hyperlink w:anchor="page58">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Effect on the financial statements or significant</w:t>
      </w:r>
    </w:p>
    <w:p>
      <w:pPr>
        <w:spacing w:after="0" w:line="49" w:lineRule="exact"/>
        <w:rPr>
          <w:sz w:val="20"/>
          <w:szCs w:val="20"/>
          <w:color w:val="auto"/>
        </w:rPr>
      </w:pPr>
    </w:p>
    <w:p>
      <w:pPr>
        <w:spacing w:after="0"/>
        <w:tabs>
          <w:tab w:leader="none" w:pos="4440" w:val="left"/>
          <w:tab w:leader="none" w:pos="580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Date of Adoption</w:t>
      </w:r>
      <w:r>
        <w:rPr>
          <w:sz w:val="20"/>
          <w:szCs w:val="20"/>
          <w:color w:val="auto"/>
        </w:rPr>
        <w:tab/>
      </w:r>
      <w:r>
        <w:rPr>
          <w:rFonts w:ascii="Arial" w:cs="Arial" w:eastAsia="Arial" w:hAnsi="Arial"/>
          <w:sz w:val="14"/>
          <w:szCs w:val="14"/>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33020</wp:posOffset>
            </wp:positionV>
            <wp:extent cx="5857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1500" w:space="720"/>
            <w:col w:w="9140"/>
          </w:cols>
          <w:pgMar w:left="240" w:top="126" w:right="299" w:bottom="1440" w:gutter="0" w:footer="0" w:header="0"/>
        </w:sectPr>
      </w:pPr>
    </w:p>
    <w:p>
      <w:pPr>
        <w:spacing w:after="0" w:line="162" w:lineRule="exact"/>
        <w:rPr>
          <w:sz w:val="20"/>
          <w:szCs w:val="20"/>
          <w:color w:val="auto"/>
        </w:rPr>
      </w:pPr>
    </w:p>
    <w:p>
      <w:pPr>
        <w:ind w:left="40" w:right="180"/>
        <w:spacing w:after="0" w:line="286" w:lineRule="auto"/>
        <w:rPr>
          <w:sz w:val="20"/>
          <w:szCs w:val="20"/>
          <w:color w:val="auto"/>
        </w:rPr>
      </w:pPr>
      <w:r>
        <w:rPr>
          <w:rFonts w:ascii="Arial" w:cs="Arial" w:eastAsia="Arial" w:hAnsi="Arial"/>
          <w:sz w:val="16"/>
          <w:szCs w:val="16"/>
          <w:color w:val="auto"/>
        </w:rPr>
        <w:t xml:space="preserve">ASU 2016-15, August 2016, </w:t>
      </w:r>
      <w:r>
        <w:rPr>
          <w:rFonts w:ascii="Arial" w:cs="Arial" w:eastAsia="Arial" w:hAnsi="Arial"/>
          <w:sz w:val="16"/>
          <w:szCs w:val="16"/>
          <w:i w:val="1"/>
          <w:iCs w:val="1"/>
          <w:color w:val="auto"/>
        </w:rPr>
        <w:t>Statement of Cash</w:t>
      </w:r>
      <w:r>
        <w:rPr>
          <w:rFonts w:ascii="Arial" w:cs="Arial" w:eastAsia="Arial" w:hAnsi="Arial"/>
          <w:sz w:val="16"/>
          <w:szCs w:val="16"/>
          <w:color w:val="auto"/>
        </w:rPr>
        <w:t xml:space="preserve"> </w:t>
      </w:r>
      <w:r>
        <w:rPr>
          <w:rFonts w:ascii="Arial" w:cs="Arial" w:eastAsia="Arial" w:hAnsi="Arial"/>
          <w:sz w:val="16"/>
          <w:szCs w:val="16"/>
          <w:i w:val="1"/>
          <w:iCs w:val="1"/>
          <w:color w:val="auto"/>
        </w:rPr>
        <w:t>Flows (Topic 230): Classification of Certain</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Cash Receipts and Cash</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Payments</w:t>
      </w:r>
    </w:p>
    <w:p>
      <w:pPr>
        <w:spacing w:after="0" w:line="332" w:lineRule="exact"/>
        <w:rPr>
          <w:sz w:val="20"/>
          <w:szCs w:val="20"/>
          <w:color w:val="auto"/>
        </w:rPr>
      </w:pPr>
    </w:p>
    <w:p>
      <w:pPr>
        <w:ind w:left="40" w:right="120"/>
        <w:spacing w:after="0" w:line="302" w:lineRule="auto"/>
        <w:rPr>
          <w:sz w:val="20"/>
          <w:szCs w:val="20"/>
          <w:color w:val="auto"/>
        </w:rPr>
      </w:pPr>
      <w:r>
        <w:rPr>
          <w:rFonts w:ascii="Arial" w:cs="Arial" w:eastAsia="Arial" w:hAnsi="Arial"/>
          <w:sz w:val="16"/>
          <w:szCs w:val="16"/>
          <w:color w:val="auto"/>
        </w:rPr>
        <w:t xml:space="preserve">ASU 2016-18, November 2016, </w:t>
      </w:r>
      <w:r>
        <w:rPr>
          <w:rFonts w:ascii="Arial" w:cs="Arial" w:eastAsia="Arial" w:hAnsi="Arial"/>
          <w:sz w:val="16"/>
          <w:szCs w:val="16"/>
          <w:i w:val="1"/>
          <w:iCs w:val="1"/>
          <w:color w:val="auto"/>
        </w:rPr>
        <w:t>Statement of Cash</w:t>
      </w:r>
      <w:r>
        <w:rPr>
          <w:rFonts w:ascii="Arial" w:cs="Arial" w:eastAsia="Arial" w:hAnsi="Arial"/>
          <w:sz w:val="16"/>
          <w:szCs w:val="16"/>
          <w:color w:val="auto"/>
        </w:rPr>
        <w:t xml:space="preserve"> </w:t>
      </w:r>
      <w:r>
        <w:rPr>
          <w:rFonts w:ascii="Arial" w:cs="Arial" w:eastAsia="Arial" w:hAnsi="Arial"/>
          <w:sz w:val="16"/>
          <w:szCs w:val="16"/>
          <w:i w:val="1"/>
          <w:iCs w:val="1"/>
          <w:color w:val="auto"/>
        </w:rPr>
        <w:t>Flows (Topic 203) -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right="60"/>
        <w:spacing w:after="0" w:line="287" w:lineRule="auto"/>
        <w:rPr>
          <w:sz w:val="20"/>
          <w:szCs w:val="20"/>
          <w:color w:val="auto"/>
        </w:rPr>
      </w:pPr>
      <w:r>
        <w:rPr>
          <w:rFonts w:ascii="Arial" w:cs="Arial" w:eastAsia="Arial" w:hAnsi="Arial"/>
          <w:sz w:val="16"/>
          <w:szCs w:val="16"/>
          <w:color w:val="auto"/>
        </w:rPr>
        <w:t xml:space="preserve">ASU 2017-05, February 2017, </w:t>
      </w:r>
      <w:r>
        <w:rPr>
          <w:rFonts w:ascii="Arial" w:cs="Arial" w:eastAsia="Arial" w:hAnsi="Arial"/>
          <w:sz w:val="16"/>
          <w:szCs w:val="16"/>
          <w:i w:val="1"/>
          <w:iCs w:val="1"/>
          <w:color w:val="auto"/>
        </w:rPr>
        <w:t>Other Income -</w:t>
      </w:r>
      <w:r>
        <w:rPr>
          <w:rFonts w:ascii="Arial" w:cs="Arial" w:eastAsia="Arial" w:hAnsi="Arial"/>
          <w:sz w:val="16"/>
          <w:szCs w:val="16"/>
          <w:color w:val="auto"/>
        </w:rPr>
        <w:t xml:space="preserve"> </w:t>
      </w:r>
      <w:r>
        <w:rPr>
          <w:rFonts w:ascii="Arial" w:cs="Arial" w:eastAsia="Arial" w:hAnsi="Arial"/>
          <w:sz w:val="16"/>
          <w:szCs w:val="16"/>
          <w:i w:val="1"/>
          <w:iCs w:val="1"/>
          <w:color w:val="auto"/>
        </w:rPr>
        <w:t>Gains and Losses from the Recognition of Nonfinancial Assets (Subtopic 610-20): Clarifying the Scope of Asset Derecognition Guidance and Accounting for Partial Sales of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line="288" w:lineRule="auto"/>
        <w:rPr>
          <w:sz w:val="20"/>
          <w:szCs w:val="20"/>
          <w:color w:val="auto"/>
        </w:rPr>
      </w:pPr>
      <w:r>
        <w:rPr>
          <w:rFonts w:ascii="Arial" w:cs="Arial" w:eastAsia="Arial" w:hAnsi="Arial"/>
          <w:sz w:val="16"/>
          <w:szCs w:val="16"/>
          <w:color w:val="auto"/>
        </w:rPr>
        <w:t xml:space="preserve">ASU 2017-09, May 2017, </w:t>
      </w:r>
      <w:r>
        <w:rPr>
          <w:rFonts w:ascii="Arial" w:cs="Arial" w:eastAsia="Arial" w:hAnsi="Arial"/>
          <w:sz w:val="16"/>
          <w:szCs w:val="16"/>
          <w:i w:val="1"/>
          <w:iCs w:val="1"/>
          <w:color w:val="auto"/>
        </w:rPr>
        <w:t>Compensation-Stock Compensation (Topic 718):</w:t>
      </w:r>
    </w:p>
    <w:p>
      <w:pPr>
        <w:ind w:left="40" w:right="380"/>
        <w:spacing w:after="0" w:line="323" w:lineRule="auto"/>
        <w:rPr>
          <w:sz w:val="20"/>
          <w:szCs w:val="20"/>
          <w:color w:val="auto"/>
        </w:rPr>
      </w:pPr>
      <w:r>
        <w:rPr>
          <w:rFonts w:ascii="Arial" w:cs="Arial" w:eastAsia="Arial" w:hAnsi="Arial"/>
          <w:sz w:val="16"/>
          <w:szCs w:val="16"/>
          <w:i w:val="1"/>
          <w:iCs w:val="1"/>
          <w:color w:val="auto"/>
        </w:rPr>
        <w:t>Scope of Modification Accoutning</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ASU provides classification guidance for eight specific topics including debt extinguishment costs, contingent consideration payments made after a business combination, and distributions received from equity method investees.</w:t>
      </w:r>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ASU requires that the statement of cash flows explain the change during the period in the total of cash, cash equivalents, and amounts generally described as restricted cash or cash equivalents. Amounts generally described as restricted cash and equivalents should be included with cash and cash equivalents when reconciling the beginning and end of period total amounts on the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ASU clarifies that ASC 610-20 applies to all nonfinancial assets (including real estate) for which the counterparty is not a customer and also clarifies that all businesses are derecognized using the deconsolidation guidance. Additionally, it defines an insubstance nonfinancial asset as a financial asset that is promised to a counterparty in a contract in which substantially all of the fair value of the assets promised in the contract is concentrated in nonfinancial assets, which excludes cash or cash equivalents and liabilities.</w:t>
      </w:r>
    </w:p>
    <w:p>
      <w:pPr>
        <w:spacing w:after="0" w:line="2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Under the current guidance, a partial sale is recognized and carryover basis is used for the retained interest, however, the new guidance eliminates the use of carryover basis and generally requires a full gain to be recognized for prospective disposals of nonfinancial assets.</w:t>
      </w:r>
    </w:p>
    <w:p>
      <w:pPr>
        <w:spacing w:after="0" w:line="11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ASU clarifies when changes to the terms or conditions of a share-based payment award must be accounted for as modifications. Under the new guidance, an entity will not apply modification accounting if the awards' fair value, vesting conditions, and the classification of the award as equity or a liability are the same immediately before and after the change. The new guidance is applied prospectively to awards granted or modified after the adoption date.</w:t>
      </w:r>
    </w:p>
    <w:p>
      <w:pPr>
        <w:spacing w:after="0" w:line="23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January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January 2018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This standard did not have an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Prior to the adoption of this standard, "net cash provided by operating activities" was $423.7 million and $369.0 million for the years ended December 31, 2017 and 2016, respectively, and "net cash used in investing activities" was $590.2 million and $353.8 million for the years ended December 31, 2017 and 2016, respectively. After the adoption, "net cash provided by operating activities" was $458.8 million and $427.7 million for the years ended December 31, 2017 and 2016, respectively, and "net cash used in investing activities" was $837.9 million and $590.2, for the years ended December 31, 2017 and 2016, respectively. The reclassification is reflected in "increase in cash, cash equivalents, and restricted cash" in the Consolidated Statements of Cash Flows. See additional disclosures in "Consolidated Statement of Cash Flows - Supplemental Disclosures."</w:t>
      </w:r>
    </w:p>
    <w:p>
      <w:pPr>
        <w:spacing w:after="0" w:line="22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new guidance is expected to impact the gain recognized when a real estate asset is sold to a non-customer and a noncontrolling interest is retained.</w:t>
      </w:r>
    </w:p>
    <w:p>
      <w:pPr>
        <w:spacing w:after="0" w:line="3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adoption of this standard did not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adoption of this standard did not have a significant impact on our consolidated financial statements, as there have been no modifications to awards for the year ending December 31, 2018.</w:t>
      </w:r>
    </w:p>
    <w:p>
      <w:pPr>
        <w:sectPr>
          <w:pgSz w:w="11900" w:h="16838" w:orient="portrait"/>
          <w:cols w:equalWidth="0" w:num="4">
            <w:col w:w="2000" w:space="220"/>
            <w:col w:w="4280" w:space="180"/>
            <w:col w:w="960" w:space="400"/>
            <w:col w:w="3320"/>
          </w:cols>
          <w:pgMar w:left="240" w:top="126" w:right="29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2200" w:type="dxa"/>
            <w:vAlign w:val="bottom"/>
            <w:gridSpan w:val="3"/>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Table of Contents</w:t>
              </w:r>
            </w:hyperlink>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763"/>
        </w:trPr>
        <w:tc>
          <w:tcPr>
            <w:tcW w:w="12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ind w:left="40"/>
              <w:spacing w:after="0"/>
              <w:rPr>
                <w:sz w:val="20"/>
                <w:szCs w:val="20"/>
                <w:color w:val="auto"/>
              </w:rPr>
            </w:pPr>
            <w:r>
              <w:rPr>
                <w:rFonts w:ascii="Arial" w:cs="Arial" w:eastAsia="Arial" w:hAnsi="Arial"/>
                <w:sz w:val="16"/>
                <w:szCs w:val="16"/>
                <w:b w:val="1"/>
                <w:bCs w:val="1"/>
                <w:color w:val="auto"/>
                <w:w w:val="93"/>
              </w:rPr>
              <w:t>Effect on the financial statements or significant</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Standard</w:t>
            </w:r>
          </w:p>
        </w:tc>
        <w:tc>
          <w:tcPr>
            <w:tcW w:w="446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4760" w:type="dxa"/>
            <w:vAlign w:val="bottom"/>
            <w:gridSpan w:val="3"/>
          </w:tcPr>
          <w:p>
            <w:pPr>
              <w:ind w:left="20"/>
              <w:spacing w:after="0"/>
              <w:rPr>
                <w:sz w:val="20"/>
                <w:szCs w:val="20"/>
                <w:color w:val="auto"/>
              </w:rPr>
            </w:pPr>
            <w:r>
              <w:rPr>
                <w:rFonts w:ascii="Arial" w:cs="Arial" w:eastAsia="Arial" w:hAnsi="Arial"/>
                <w:sz w:val="16"/>
                <w:szCs w:val="16"/>
                <w:b w:val="1"/>
                <w:bCs w:val="1"/>
                <w:color w:val="auto"/>
              </w:rPr>
              <w:t>Date of Adoption  matters</w:t>
            </w:r>
          </w:p>
        </w:tc>
      </w:tr>
      <w:tr>
        <w:trPr>
          <w:trHeight w:val="33"/>
        </w:trPr>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Adopted subsequent to December 31, 2018:</w:t>
      </w:r>
    </w:p>
    <w:p>
      <w:pPr>
        <w:sectPr>
          <w:pgSz w:w="11900" w:h="16838" w:orient="portrait"/>
          <w:cols w:equalWidth="0" w:num="1">
            <w:col w:w="11420"/>
          </w:cols>
          <w:pgMar w:left="240" w:top="118" w:right="239" w:bottom="1440" w:gutter="0" w:footer="0" w:header="0"/>
        </w:sectPr>
      </w:pPr>
    </w:p>
    <w:p>
      <w:pPr>
        <w:spacing w:after="0" w:line="18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Leases (Topic 842) and related updates: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2016-02,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February 2016,</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Leases (Topic 842)</w:t>
      </w:r>
    </w:p>
    <w:p>
      <w:pPr>
        <w:spacing w:after="0" w:line="196"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 xml:space="preserve">ASU 2018-10, July 2018,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842, Leases</w:t>
      </w:r>
    </w:p>
    <w:p>
      <w:pPr>
        <w:spacing w:after="0" w:line="176" w:lineRule="exact"/>
        <w:rPr>
          <w:sz w:val="20"/>
          <w:szCs w:val="20"/>
          <w:color w:val="auto"/>
        </w:rPr>
      </w:pPr>
    </w:p>
    <w:p>
      <w:pPr>
        <w:jc w:val="both"/>
        <w:ind w:left="120" w:right="240" w:hanging="9"/>
        <w:spacing w:after="0" w:line="285" w:lineRule="auto"/>
        <w:rPr>
          <w:sz w:val="20"/>
          <w:szCs w:val="20"/>
          <w:color w:val="auto"/>
        </w:rPr>
      </w:pPr>
      <w:r>
        <w:rPr>
          <w:rFonts w:ascii="Arial" w:cs="Arial" w:eastAsia="Arial" w:hAnsi="Arial"/>
          <w:sz w:val="16"/>
          <w:szCs w:val="16"/>
          <w:color w:val="auto"/>
        </w:rPr>
        <w:t xml:space="preserve">ASU 2018-11, July 2018,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p>
    <w:p>
      <w:pPr>
        <w:spacing w:after="0" w:line="155" w:lineRule="exact"/>
        <w:rPr>
          <w:sz w:val="20"/>
          <w:szCs w:val="20"/>
          <w:color w:val="auto"/>
        </w:rPr>
      </w:pPr>
    </w:p>
    <w:p>
      <w:pPr>
        <w:ind w:left="120" w:right="300" w:hanging="9"/>
        <w:spacing w:after="0" w:line="294" w:lineRule="auto"/>
        <w:rPr>
          <w:sz w:val="20"/>
          <w:szCs w:val="20"/>
          <w:color w:val="auto"/>
        </w:rPr>
      </w:pPr>
      <w:r>
        <w:rPr>
          <w:rFonts w:ascii="Arial" w:cs="Arial" w:eastAsia="Arial" w:hAnsi="Arial"/>
          <w:sz w:val="15"/>
          <w:szCs w:val="15"/>
          <w:color w:val="auto"/>
        </w:rPr>
        <w:t xml:space="preserve">ASU 2018-20, December 2018, </w:t>
      </w:r>
      <w:r>
        <w:rPr>
          <w:rFonts w:ascii="Arial" w:cs="Arial" w:eastAsia="Arial" w:hAnsi="Arial"/>
          <w:sz w:val="15"/>
          <w:szCs w:val="15"/>
          <w:i w:val="1"/>
          <w:iCs w:val="1"/>
          <w:color w:val="auto"/>
        </w:rPr>
        <w:t>Leases (Topic 842) Narrow Scope Improvements for Lessors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tabs>
          <w:tab w:leader="none" w:pos="4440" w:val="left"/>
          <w:tab w:leader="none" w:pos="5800" w:val="left"/>
        </w:tabs>
        <w:rPr>
          <w:sz w:val="20"/>
          <w:szCs w:val="20"/>
          <w:color w:val="auto"/>
        </w:rPr>
      </w:pPr>
      <w:r>
        <w:rPr>
          <w:rFonts w:ascii="Arial" w:cs="Arial" w:eastAsia="Arial" w:hAnsi="Arial"/>
          <w:sz w:val="17"/>
          <w:szCs w:val="17"/>
          <w:color w:val="auto"/>
        </w:rPr>
        <w:t>This ASU significantly changes the accounting for leases by</w:t>
      </w:r>
      <w:r>
        <w:rPr>
          <w:sz w:val="20"/>
          <w:szCs w:val="20"/>
          <w:color w:val="auto"/>
        </w:rPr>
        <w:tab/>
      </w:r>
      <w:r>
        <w:rPr>
          <w:rFonts w:ascii="Arial" w:cs="Arial" w:eastAsia="Arial" w:hAnsi="Arial"/>
          <w:sz w:val="17"/>
          <w:szCs w:val="17"/>
          <w:color w:val="auto"/>
        </w:rPr>
        <w:t>January 2019</w:t>
      </w:r>
      <w:r>
        <w:rPr>
          <w:sz w:val="20"/>
          <w:szCs w:val="20"/>
          <w:color w:val="auto"/>
        </w:rPr>
        <w:tab/>
      </w:r>
      <w:r>
        <w:rPr>
          <w:rFonts w:ascii="Arial" w:cs="Arial" w:eastAsia="Arial" w:hAnsi="Arial"/>
          <w:sz w:val="15"/>
          <w:szCs w:val="15"/>
          <w:color w:val="auto"/>
        </w:rPr>
        <w:t>We have elected to apply the transition</w:t>
      </w:r>
    </w:p>
    <w:p>
      <w:pPr>
        <w:spacing w:after="0" w:line="21"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requiring lessees to recognize assets and liabilities for leases</w:t>
      </w:r>
      <w:r>
        <w:rPr>
          <w:sz w:val="20"/>
          <w:szCs w:val="20"/>
          <w:color w:val="auto"/>
        </w:rPr>
        <w:tab/>
      </w:r>
      <w:r>
        <w:rPr>
          <w:rFonts w:ascii="Arial" w:cs="Arial" w:eastAsia="Arial" w:hAnsi="Arial"/>
          <w:sz w:val="15"/>
          <w:szCs w:val="15"/>
          <w:color w:val="auto"/>
        </w:rPr>
        <w:t>provisions of ASC Topic 842 at the beginning of</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greater than 12 months on their balance sheet. The lessor</w:t>
      </w:r>
      <w:r>
        <w:rPr>
          <w:sz w:val="20"/>
          <w:szCs w:val="20"/>
          <w:color w:val="auto"/>
        </w:rPr>
        <w:tab/>
      </w:r>
      <w:r>
        <w:rPr>
          <w:rFonts w:ascii="Arial" w:cs="Arial" w:eastAsia="Arial" w:hAnsi="Arial"/>
          <w:sz w:val="15"/>
          <w:szCs w:val="15"/>
          <w:color w:val="auto"/>
        </w:rPr>
        <w:t>the period of adoption (i.e., January 1, 2019),</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model stays substantially the same; however, there were</w:t>
      </w:r>
      <w:r>
        <w:rPr>
          <w:sz w:val="20"/>
          <w:szCs w:val="20"/>
          <w:color w:val="auto"/>
        </w:rPr>
        <w:tab/>
      </w:r>
      <w:r>
        <w:rPr>
          <w:rFonts w:ascii="Arial" w:cs="Arial" w:eastAsia="Arial" w:hAnsi="Arial"/>
          <w:sz w:val="15"/>
          <w:szCs w:val="15"/>
          <w:color w:val="auto"/>
        </w:rPr>
        <w:t>and therefore, will not retrospectively adjust</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modifications to conform lessor accounting with the lessee</w:t>
      </w:r>
      <w:r>
        <w:rPr>
          <w:sz w:val="20"/>
          <w:szCs w:val="20"/>
          <w:color w:val="auto"/>
        </w:rPr>
        <w:tab/>
      </w:r>
      <w:r>
        <w:rPr>
          <w:rFonts w:ascii="Arial" w:cs="Arial" w:eastAsia="Arial" w:hAnsi="Arial"/>
          <w:sz w:val="15"/>
          <w:szCs w:val="15"/>
          <w:color w:val="auto"/>
        </w:rPr>
        <w:t>prior periods presented. We have also elected to</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model, eliminate real estate specific guidance, further define</w:t>
      </w:r>
      <w:r>
        <w:rPr>
          <w:sz w:val="20"/>
          <w:szCs w:val="20"/>
          <w:color w:val="auto"/>
        </w:rPr>
        <w:tab/>
      </w:r>
      <w:r>
        <w:rPr>
          <w:rFonts w:ascii="Arial" w:cs="Arial" w:eastAsia="Arial" w:hAnsi="Arial"/>
          <w:sz w:val="15"/>
          <w:szCs w:val="15"/>
          <w:color w:val="auto"/>
        </w:rPr>
        <w:t>apply certain adoption related practical</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certain lease and non-lease components, and change the</w:t>
      </w:r>
      <w:r>
        <w:rPr>
          <w:sz w:val="20"/>
          <w:szCs w:val="20"/>
          <w:color w:val="auto"/>
        </w:rPr>
        <w:tab/>
      </w:r>
      <w:r>
        <w:rPr>
          <w:rFonts w:ascii="Arial" w:cs="Arial" w:eastAsia="Arial" w:hAnsi="Arial"/>
          <w:sz w:val="15"/>
          <w:szCs w:val="15"/>
          <w:color w:val="auto"/>
        </w:rPr>
        <w:t>expedients for all leases that commenced prior to</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definition of initial direct costs of leases requiring</w:t>
      </w:r>
      <w:r>
        <w:rPr>
          <w:sz w:val="20"/>
          <w:szCs w:val="20"/>
          <w:color w:val="auto"/>
        </w:rPr>
        <w:tab/>
      </w:r>
      <w:r>
        <w:rPr>
          <w:rFonts w:ascii="Arial" w:cs="Arial" w:eastAsia="Arial" w:hAnsi="Arial"/>
          <w:sz w:val="15"/>
          <w:szCs w:val="15"/>
          <w:color w:val="auto"/>
        </w:rPr>
        <w:t>the effective date. These practical expedients</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significantly more leasing related costs to be expensed</w:t>
      </w:r>
      <w:r>
        <w:rPr>
          <w:sz w:val="20"/>
          <w:szCs w:val="20"/>
          <w:color w:val="auto"/>
        </w:rPr>
        <w:tab/>
      </w:r>
      <w:r>
        <w:rPr>
          <w:rFonts w:ascii="Arial" w:cs="Arial" w:eastAsia="Arial" w:hAnsi="Arial"/>
          <w:sz w:val="15"/>
          <w:szCs w:val="15"/>
          <w:color w:val="auto"/>
        </w:rPr>
        <w:t>include not reassessing whether any expired or</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upfront.</w:t>
      </w:r>
      <w:r>
        <w:rPr>
          <w:sz w:val="20"/>
          <w:szCs w:val="20"/>
          <w:color w:val="auto"/>
        </w:rPr>
        <w:tab/>
      </w:r>
      <w:r>
        <w:rPr>
          <w:rFonts w:ascii="Arial" w:cs="Arial" w:eastAsia="Arial" w:hAnsi="Arial"/>
          <w:sz w:val="17"/>
          <w:szCs w:val="17"/>
          <w:color w:val="auto"/>
        </w:rPr>
        <w:t>existing contracts are or contain leases; not</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reassessing the lease classification for any</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ASU 2018-10 provides narrow amendments that clarify how</w:t>
      </w:r>
      <w:r>
        <w:rPr>
          <w:sz w:val="20"/>
          <w:szCs w:val="20"/>
          <w:color w:val="auto"/>
        </w:rPr>
        <w:tab/>
      </w:r>
      <w:r>
        <w:rPr>
          <w:rFonts w:ascii="Arial" w:cs="Arial" w:eastAsia="Arial" w:hAnsi="Arial"/>
          <w:sz w:val="15"/>
          <w:szCs w:val="15"/>
          <w:color w:val="auto"/>
        </w:rPr>
        <w:t>expired or existing leases; and not reassessing</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to apply certain aspects of the guidance in ASU 2016-02.</w:t>
      </w:r>
      <w:r>
        <w:rPr>
          <w:sz w:val="20"/>
          <w:szCs w:val="20"/>
          <w:color w:val="auto"/>
        </w:rPr>
        <w:tab/>
      </w:r>
      <w:r>
        <w:rPr>
          <w:rFonts w:ascii="Arial" w:cs="Arial" w:eastAsia="Arial" w:hAnsi="Arial"/>
          <w:sz w:val="15"/>
          <w:szCs w:val="15"/>
          <w:color w:val="auto"/>
        </w:rPr>
        <w:t>initial direct costs for any existing leases. The</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ASU 2018-11 provides the option of an additional transition</w:t>
      </w:r>
      <w:r>
        <w:rPr>
          <w:sz w:val="20"/>
          <w:szCs w:val="20"/>
          <w:color w:val="auto"/>
        </w:rPr>
        <w:tab/>
      </w:r>
      <w:r>
        <w:rPr>
          <w:rFonts w:ascii="Arial" w:cs="Arial" w:eastAsia="Arial" w:hAnsi="Arial"/>
          <w:sz w:val="15"/>
          <w:szCs w:val="15"/>
          <w:color w:val="auto"/>
        </w:rPr>
        <w:t>primary impact of adoption on January 1, 2019</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method, by allowing entities to initially apply the new leases</w:t>
      </w:r>
      <w:r>
        <w:rPr>
          <w:sz w:val="20"/>
          <w:szCs w:val="20"/>
          <w:color w:val="auto"/>
        </w:rPr>
        <w:tab/>
      </w:r>
      <w:r>
        <w:rPr>
          <w:rFonts w:ascii="Arial" w:cs="Arial" w:eastAsia="Arial" w:hAnsi="Arial"/>
          <w:sz w:val="15"/>
          <w:szCs w:val="15"/>
          <w:color w:val="auto"/>
        </w:rPr>
        <w:t>will be to record a lease obligation liability and</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standard at the adoption date and recognize a cumulative-</w:t>
      </w:r>
      <w:r>
        <w:rPr>
          <w:sz w:val="20"/>
          <w:szCs w:val="20"/>
          <w:color w:val="auto"/>
        </w:rPr>
        <w:tab/>
      </w:r>
      <w:r>
        <w:rPr>
          <w:rFonts w:ascii="Arial" w:cs="Arial" w:eastAsia="Arial" w:hAnsi="Arial"/>
          <w:sz w:val="15"/>
          <w:szCs w:val="15"/>
          <w:color w:val="auto"/>
        </w:rPr>
        <w:t>right of use asset for operating leases where we</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effect adjustment to the opening balance of retained earnings</w:t>
      </w:r>
      <w:r>
        <w:rPr>
          <w:sz w:val="20"/>
          <w:szCs w:val="20"/>
          <w:color w:val="auto"/>
        </w:rPr>
        <w:tab/>
      </w:r>
      <w:r>
        <w:rPr>
          <w:rFonts w:ascii="Arial" w:cs="Arial" w:eastAsia="Arial" w:hAnsi="Arial"/>
          <w:sz w:val="15"/>
          <w:szCs w:val="15"/>
          <w:color w:val="auto"/>
        </w:rPr>
        <w:t>are the lessee. The most significant of these</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in the period of adoption. It also provides lessors an option to</w:t>
      </w:r>
      <w:r>
        <w:rPr>
          <w:sz w:val="20"/>
          <w:szCs w:val="20"/>
          <w:color w:val="auto"/>
        </w:rPr>
        <w:tab/>
      </w:r>
      <w:r>
        <w:rPr>
          <w:rFonts w:ascii="Arial" w:cs="Arial" w:eastAsia="Arial" w:hAnsi="Arial"/>
          <w:sz w:val="14"/>
          <w:szCs w:val="14"/>
          <w:color w:val="auto"/>
        </w:rPr>
        <w:t>operating leases are ground leases at</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not separate lease and non-lease components when certain</w:t>
      </w:r>
      <w:r>
        <w:rPr>
          <w:sz w:val="20"/>
          <w:szCs w:val="20"/>
          <w:color w:val="auto"/>
        </w:rPr>
        <w:tab/>
      </w:r>
      <w:r>
        <w:rPr>
          <w:rFonts w:ascii="Arial" w:cs="Arial" w:eastAsia="Arial" w:hAnsi="Arial"/>
          <w:sz w:val="15"/>
          <w:szCs w:val="15"/>
          <w:color w:val="auto"/>
        </w:rPr>
        <w:t>14 properties. The lease obligation liability and</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criteria are met.</w:t>
      </w:r>
      <w:r>
        <w:rPr>
          <w:sz w:val="20"/>
          <w:szCs w:val="20"/>
          <w:color w:val="auto"/>
        </w:rPr>
        <w:tab/>
      </w:r>
      <w:r>
        <w:rPr>
          <w:rFonts w:ascii="Arial" w:cs="Arial" w:eastAsia="Arial" w:hAnsi="Arial"/>
          <w:sz w:val="15"/>
          <w:szCs w:val="15"/>
          <w:color w:val="auto"/>
        </w:rPr>
        <w:t>right of use asset (prior to adjustments for</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unamortized direct costs and purchase</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ASU 2018-20 provides narrow scope amendments including</w:t>
      </w:r>
      <w:r>
        <w:rPr>
          <w:sz w:val="20"/>
          <w:szCs w:val="20"/>
          <w:color w:val="auto"/>
        </w:rPr>
        <w:tab/>
      </w:r>
      <w:r>
        <w:rPr>
          <w:rFonts w:ascii="Arial" w:cs="Arial" w:eastAsia="Arial" w:hAnsi="Arial"/>
          <w:sz w:val="15"/>
          <w:szCs w:val="15"/>
          <w:color w:val="auto"/>
        </w:rPr>
        <w:t>accounting assets/liabilities) to be recorded on</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the requirement to exclude variable payments made by the</w:t>
      </w:r>
      <w:r>
        <w:rPr>
          <w:sz w:val="20"/>
          <w:szCs w:val="20"/>
          <w:color w:val="auto"/>
        </w:rPr>
        <w:tab/>
      </w:r>
      <w:r>
        <w:rPr>
          <w:rFonts w:ascii="Arial" w:cs="Arial" w:eastAsia="Arial" w:hAnsi="Arial"/>
          <w:sz w:val="15"/>
          <w:szCs w:val="15"/>
          <w:color w:val="auto"/>
        </w:rPr>
        <w:t>January 1, 2019 approximates $75 million.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lessee to a third party on behalf of the lessor from revenue</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(e.g., lessee payments of real estate taxes made directly to the</w:t>
      </w:r>
      <w:r>
        <w:rPr>
          <w:sz w:val="20"/>
          <w:szCs w:val="20"/>
          <w:color w:val="auto"/>
        </w:rPr>
        <w:tab/>
      </w:r>
      <w:r>
        <w:rPr>
          <w:rFonts w:ascii="Arial" w:cs="Arial" w:eastAsia="Arial" w:hAnsi="Arial"/>
          <w:sz w:val="15"/>
          <w:szCs w:val="15"/>
          <w:color w:val="auto"/>
        </w:rPr>
        <w:t>Given our application of the practical expedients</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taxing authority on behalf of the lessor are excluded from</w:t>
      </w:r>
      <w:r>
        <w:rPr>
          <w:sz w:val="20"/>
          <w:szCs w:val="20"/>
          <w:color w:val="auto"/>
        </w:rPr>
        <w:tab/>
      </w:r>
      <w:r>
        <w:rPr>
          <w:rFonts w:ascii="Arial" w:cs="Arial" w:eastAsia="Arial" w:hAnsi="Arial"/>
          <w:sz w:val="15"/>
          <w:szCs w:val="15"/>
          <w:color w:val="auto"/>
        </w:rPr>
        <w:t>noted above, we will apply the lease</w:t>
      </w:r>
    </w:p>
    <w:p>
      <w:pPr>
        <w:spacing w:after="0" w:line="7" w:lineRule="exact"/>
        <w:rPr>
          <w:sz w:val="20"/>
          <w:szCs w:val="20"/>
          <w:color w:val="auto"/>
        </w:rPr>
      </w:pPr>
    </w:p>
    <w:p>
      <w:pPr>
        <w:spacing w:after="0"/>
        <w:tabs>
          <w:tab w:leader="none" w:pos="5800" w:val="left"/>
        </w:tabs>
        <w:rPr>
          <w:sz w:val="20"/>
          <w:szCs w:val="20"/>
          <w:color w:val="auto"/>
        </w:rPr>
      </w:pPr>
      <w:r>
        <w:rPr>
          <w:rFonts w:ascii="Arial" w:cs="Arial" w:eastAsia="Arial" w:hAnsi="Arial"/>
          <w:sz w:val="17"/>
          <w:szCs w:val="17"/>
          <w:color w:val="auto"/>
        </w:rPr>
        <w:t>revenue).</w:t>
      </w:r>
      <w:r>
        <w:rPr>
          <w:sz w:val="20"/>
          <w:szCs w:val="20"/>
          <w:color w:val="auto"/>
        </w:rPr>
        <w:tab/>
      </w:r>
      <w:r>
        <w:rPr>
          <w:rFonts w:ascii="Arial" w:cs="Arial" w:eastAsia="Arial" w:hAnsi="Arial"/>
          <w:sz w:val="15"/>
          <w:szCs w:val="15"/>
          <w:color w:val="auto"/>
        </w:rPr>
        <w:t>classification requirements under ASC Topic</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842 for all new leases or existing leases that are</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modified after the adoption date and we will no</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longer be able to capitalize certain costs related</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to these leases. For the year ended December 31,</w:t>
      </w:r>
    </w:p>
    <w:p>
      <w:pPr>
        <w:spacing w:after="0" w:line="4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2018, we capitalized approximately $7.5 million</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of internal leasing and external legal leasing</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costs. For new leases and existing leases that are</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modified after the effective date, only a portion</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of these types of costs can be capitalized and as</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a result, the costs that no longer qualify for</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capitalization will be included in “general and</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administrative expense” in the period incurred.</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Additionally, the presentation of certain rental</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income and rental expense on the consolidated</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statements of comprehensive income will be</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impacted. For the year ended December 31,</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2018, rental income and rental expense include</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$6.5 million relating to real estate taxes paid by</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tenants on our behalf directly to taxing</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authorities. Effective January 1, 2019, payments</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5"/>
          <w:szCs w:val="15"/>
          <w:color w:val="auto"/>
        </w:rPr>
        <w:t>of this nature will no longer be recorded gross as</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revenue and expense on the consolidated</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statements of comprehensive income.</w:t>
      </w:r>
    </w:p>
    <w:p>
      <w:pPr>
        <w:spacing w:after="0" w:line="200" w:lineRule="exact"/>
        <w:rPr>
          <w:sz w:val="20"/>
          <w:szCs w:val="20"/>
          <w:color w:val="auto"/>
        </w:rPr>
      </w:pPr>
    </w:p>
    <w:p>
      <w:pPr>
        <w:sectPr>
          <w:pgSz w:w="11900" w:h="16838" w:orient="portrait"/>
          <w:cols w:equalWidth="0" w:num="2">
            <w:col w:w="1720" w:space="500"/>
            <w:col w:w="9200"/>
          </w:cols>
          <w:pgMar w:left="240" w:top="118" w:right="239" w:bottom="1440" w:gutter="0" w:footer="0" w:header="0"/>
          <w:type w:val="continuous"/>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18"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0000EE"/>
            </w:tcBorders>
          </w:tcPr>
          <w:p>
            <w:pPr>
              <w:spacing w:after="0"/>
              <w:rPr>
                <w:rFonts w:ascii="Arial" w:cs="Arial" w:eastAsia="Arial" w:hAnsi="Arial"/>
                <w:sz w:val="16"/>
                <w:szCs w:val="16"/>
                <w:b w:val="1"/>
                <w:bCs w:val="1"/>
                <w:color w:val="0000EE"/>
                <w:w w:val="88"/>
              </w:rPr>
            </w:pPr>
            <w:hyperlink w:anchor="page58">
              <w:r>
                <w:rPr>
                  <w:rFonts w:ascii="Arial" w:cs="Arial" w:eastAsia="Arial" w:hAnsi="Arial"/>
                  <w:sz w:val="16"/>
                  <w:szCs w:val="16"/>
                  <w:b w:val="1"/>
                  <w:bCs w:val="1"/>
                  <w:color w:val="0000EE"/>
                  <w:w w:val="88"/>
                </w:rPr>
                <w:t>Table of Contents</w:t>
              </w:r>
            </w:hyperlink>
          </w:p>
        </w:tc>
        <w:tc>
          <w:tcPr>
            <w:tcW w:w="3640" w:type="dxa"/>
            <w:vAlign w:val="bottom"/>
          </w:tcPr>
          <w:p>
            <w:pPr>
              <w:spacing w:after="0"/>
              <w:rPr>
                <w:sz w:val="16"/>
                <w:szCs w:val="16"/>
                <w:color w:val="auto"/>
              </w:rPr>
            </w:pPr>
          </w:p>
        </w:tc>
        <w:tc>
          <w:tcPr>
            <w:tcW w:w="6420" w:type="dxa"/>
            <w:vAlign w:val="bottom"/>
          </w:tcPr>
          <w:p>
            <w:pPr>
              <w:spacing w:after="0"/>
              <w:rPr>
                <w:sz w:val="16"/>
                <w:szCs w:val="16"/>
                <w:color w:val="auto"/>
              </w:rPr>
            </w:pPr>
          </w:p>
        </w:tc>
      </w:tr>
      <w:tr>
        <w:trPr>
          <w:trHeight w:val="763"/>
        </w:trPr>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420" w:type="dxa"/>
            <w:vAlign w:val="bottom"/>
          </w:tcPr>
          <w:p>
            <w:pPr>
              <w:ind w:left="3180"/>
              <w:spacing w:after="0"/>
              <w:rPr>
                <w:sz w:val="20"/>
                <w:szCs w:val="20"/>
                <w:color w:val="auto"/>
              </w:rPr>
            </w:pPr>
            <w:r>
              <w:rPr>
                <w:rFonts w:ascii="Arial" w:cs="Arial" w:eastAsia="Arial" w:hAnsi="Arial"/>
                <w:sz w:val="16"/>
                <w:szCs w:val="16"/>
                <w:b w:val="1"/>
                <w:bCs w:val="1"/>
                <w:color w:val="auto"/>
                <w:w w:val="89"/>
              </w:rPr>
              <w:t>Effect on the financial statements or significant</w:t>
            </w:r>
          </w:p>
        </w:tc>
      </w:tr>
      <w:tr>
        <w:trPr>
          <w:trHeight w:val="210"/>
        </w:trPr>
        <w:tc>
          <w:tcPr>
            <w:tcW w:w="1220" w:type="dxa"/>
            <w:vAlign w:val="bottom"/>
          </w:tcPr>
          <w:p>
            <w:pPr>
              <w:ind w:left="40"/>
              <w:spacing w:after="0"/>
              <w:rPr>
                <w:sz w:val="20"/>
                <w:szCs w:val="20"/>
                <w:color w:val="auto"/>
              </w:rPr>
            </w:pPr>
            <w:r>
              <w:rPr>
                <w:rFonts w:ascii="Arial" w:cs="Arial" w:eastAsia="Arial" w:hAnsi="Arial"/>
                <w:sz w:val="16"/>
                <w:szCs w:val="16"/>
                <w:b w:val="1"/>
                <w:bCs w:val="1"/>
                <w:color w:val="auto"/>
              </w:rPr>
              <w:t>Standard</w:t>
            </w:r>
          </w:p>
        </w:tc>
        <w:tc>
          <w:tcPr>
            <w:tcW w:w="3640" w:type="dxa"/>
            <w:vAlign w:val="bottom"/>
          </w:tcPr>
          <w:p>
            <w:pPr>
              <w:ind w:left="1000"/>
              <w:spacing w:after="0"/>
              <w:rPr>
                <w:sz w:val="20"/>
                <w:szCs w:val="20"/>
                <w:color w:val="auto"/>
              </w:rPr>
            </w:pPr>
            <w:r>
              <w:rPr>
                <w:rFonts w:ascii="Arial" w:cs="Arial" w:eastAsia="Arial" w:hAnsi="Arial"/>
                <w:sz w:val="16"/>
                <w:szCs w:val="16"/>
                <w:b w:val="1"/>
                <w:bCs w:val="1"/>
                <w:color w:val="auto"/>
              </w:rPr>
              <w:t>Description</w:t>
            </w:r>
          </w:p>
        </w:tc>
        <w:tc>
          <w:tcPr>
            <w:tcW w:w="6420" w:type="dxa"/>
            <w:vAlign w:val="bottom"/>
          </w:tcPr>
          <w:p>
            <w:pPr>
              <w:ind w:left="1820"/>
              <w:spacing w:after="0"/>
              <w:rPr>
                <w:sz w:val="20"/>
                <w:szCs w:val="20"/>
                <w:color w:val="auto"/>
              </w:rPr>
            </w:pPr>
            <w:r>
              <w:rPr>
                <w:rFonts w:ascii="Arial" w:cs="Arial" w:eastAsia="Arial" w:hAnsi="Arial"/>
                <w:sz w:val="16"/>
                <w:szCs w:val="16"/>
                <w:b w:val="1"/>
                <w:bCs w:val="1"/>
                <w:color w:val="auto"/>
              </w:rPr>
              <w:t>Date of Adoption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Not Yet Adopted:</w:t>
      </w:r>
    </w:p>
    <w:p>
      <w:pPr>
        <w:spacing w:after="0" w:line="63" w:lineRule="exact"/>
        <w:rPr>
          <w:sz w:val="20"/>
          <w:szCs w:val="20"/>
          <w:color w:val="auto"/>
        </w:rPr>
      </w:pPr>
    </w:p>
    <w:p>
      <w:pPr>
        <w:ind w:left="40" w:right="40"/>
        <w:spacing w:after="0" w:line="312" w:lineRule="auto"/>
        <w:rPr>
          <w:sz w:val="20"/>
          <w:szCs w:val="20"/>
          <w:color w:val="auto"/>
        </w:rPr>
      </w:pPr>
      <w:r>
        <w:rPr>
          <w:rFonts w:ascii="Arial" w:cs="Arial" w:eastAsia="Arial" w:hAnsi="Arial"/>
          <w:sz w:val="16"/>
          <w:szCs w:val="16"/>
          <w:color w:val="auto"/>
        </w:rPr>
        <w:t>Financial Instruments - Credit Losses (Topic 326) and related updates: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2016-13, June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Financial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Instruments - Credit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Losses (Topic 326)</w:t>
      </w:r>
    </w:p>
    <w:p>
      <w:pPr>
        <w:spacing w:after="0" w:line="211" w:lineRule="exact"/>
        <w:rPr>
          <w:sz w:val="20"/>
          <w:szCs w:val="20"/>
          <w:color w:val="auto"/>
        </w:rPr>
      </w:pPr>
    </w:p>
    <w:p>
      <w:pPr>
        <w:ind w:left="40" w:right="320"/>
        <w:spacing w:after="0" w:line="272" w:lineRule="auto"/>
        <w:rPr>
          <w:sz w:val="20"/>
          <w:szCs w:val="20"/>
          <w:color w:val="auto"/>
        </w:rPr>
      </w:pPr>
      <w:r>
        <w:rPr>
          <w:rFonts w:ascii="Arial" w:cs="Arial" w:eastAsia="Arial" w:hAnsi="Arial"/>
          <w:sz w:val="17"/>
          <w:szCs w:val="17"/>
          <w:color w:val="auto"/>
        </w:rPr>
        <w:t xml:space="preserve">ASU 2018-19, November 2018, </w:t>
      </w:r>
      <w:r>
        <w:rPr>
          <w:rFonts w:ascii="Arial" w:cs="Arial" w:eastAsia="Arial" w:hAnsi="Arial"/>
          <w:sz w:val="17"/>
          <w:szCs w:val="17"/>
          <w:i w:val="1"/>
          <w:iCs w:val="1"/>
          <w:color w:val="auto"/>
        </w:rPr>
        <w:t>Codification improvements to Topic 326, Financial Instruments - Credit Losses</w:t>
      </w:r>
    </w:p>
    <w:p>
      <w:pPr>
        <w:spacing w:after="0" w:line="137"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 xml:space="preserve">ASU 2018-15, August 2018,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Internal Use Software: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20"/>
                <w:szCs w:val="20"/>
                <w:color w:val="auto"/>
              </w:rPr>
            </w:pPr>
            <w:r>
              <w:rPr>
                <w:rFonts w:ascii="Arial" w:cs="Arial" w:eastAsia="Arial" w:hAnsi="Arial"/>
                <w:sz w:val="17"/>
                <w:szCs w:val="17"/>
                <w:color w:val="auto"/>
                <w:w w:val="96"/>
              </w:rPr>
              <w:t>This ASU changes the impairment model for most financial</w:t>
            </w:r>
          </w:p>
        </w:tc>
        <w:tc>
          <w:tcPr>
            <w:tcW w:w="1340" w:type="dxa"/>
            <w:vAlign w:val="bottom"/>
          </w:tcPr>
          <w:p>
            <w:pPr>
              <w:ind w:left="180"/>
              <w:spacing w:after="0"/>
              <w:rPr>
                <w:sz w:val="20"/>
                <w:szCs w:val="20"/>
                <w:color w:val="auto"/>
              </w:rPr>
            </w:pPr>
            <w:r>
              <w:rPr>
                <w:rFonts w:ascii="Arial" w:cs="Arial" w:eastAsia="Arial" w:hAnsi="Arial"/>
                <w:sz w:val="18"/>
                <w:szCs w:val="18"/>
                <w:color w:val="auto"/>
              </w:rPr>
              <w:t>January 2020</w:t>
            </w:r>
          </w:p>
        </w:tc>
        <w:tc>
          <w:tcPr>
            <w:tcW w:w="2980" w:type="dxa"/>
            <w:vAlign w:val="bottom"/>
          </w:tcPr>
          <w:p>
            <w:pPr>
              <w:ind w:left="200"/>
              <w:spacing w:after="0"/>
              <w:rPr>
                <w:sz w:val="20"/>
                <w:szCs w:val="20"/>
                <w:color w:val="auto"/>
              </w:rPr>
            </w:pPr>
            <w:r>
              <w:rPr>
                <w:rFonts w:ascii="Arial" w:cs="Arial" w:eastAsia="Arial" w:hAnsi="Arial"/>
                <w:sz w:val="18"/>
                <w:szCs w:val="18"/>
                <w:color w:val="auto"/>
                <w:w w:val="87"/>
              </w:rPr>
              <w:t>This standard is not expected to have a</w:t>
            </w:r>
          </w:p>
        </w:tc>
      </w:tr>
      <w:tr>
        <w:trPr>
          <w:trHeight w:val="203"/>
        </w:trPr>
        <w:tc>
          <w:tcPr>
            <w:tcW w:w="4280" w:type="dxa"/>
            <w:vAlign w:val="bottom"/>
          </w:tcPr>
          <w:p>
            <w:pPr>
              <w:spacing w:after="0"/>
              <w:rPr>
                <w:sz w:val="20"/>
                <w:szCs w:val="20"/>
                <w:color w:val="auto"/>
              </w:rPr>
            </w:pPr>
            <w:r>
              <w:rPr>
                <w:rFonts w:ascii="Arial" w:cs="Arial" w:eastAsia="Arial" w:hAnsi="Arial"/>
                <w:sz w:val="17"/>
                <w:szCs w:val="17"/>
                <w:color w:val="auto"/>
                <w:w w:val="94"/>
              </w:rPr>
              <w:t>assets and certain other instruments, requiring the use of an</w:t>
            </w:r>
          </w:p>
        </w:tc>
        <w:tc>
          <w:tcPr>
            <w:tcW w:w="1340" w:type="dxa"/>
            <w:vAlign w:val="bottom"/>
          </w:tcPr>
          <w:p>
            <w:pPr>
              <w:spacing w:after="0"/>
              <w:rPr>
                <w:sz w:val="17"/>
                <w:szCs w:val="17"/>
                <w:color w:val="auto"/>
              </w:rPr>
            </w:pPr>
          </w:p>
        </w:tc>
        <w:tc>
          <w:tcPr>
            <w:tcW w:w="2980" w:type="dxa"/>
            <w:vAlign w:val="bottom"/>
          </w:tcPr>
          <w:p>
            <w:pPr>
              <w:ind w:left="200"/>
              <w:spacing w:after="0" w:line="202" w:lineRule="exact"/>
              <w:rPr>
                <w:sz w:val="20"/>
                <w:szCs w:val="20"/>
                <w:color w:val="auto"/>
              </w:rPr>
            </w:pPr>
            <w:r>
              <w:rPr>
                <w:rFonts w:ascii="Arial" w:cs="Arial" w:eastAsia="Arial" w:hAnsi="Arial"/>
                <w:sz w:val="18"/>
                <w:szCs w:val="18"/>
                <w:color w:val="auto"/>
                <w:w w:val="93"/>
              </w:rPr>
              <w:t>significant impact to our consolidated</w:t>
            </w:r>
          </w:p>
        </w:tc>
      </w:tr>
      <w:tr>
        <w:trPr>
          <w:trHeight w:val="207"/>
        </w:trPr>
        <w:tc>
          <w:tcPr>
            <w:tcW w:w="4280" w:type="dxa"/>
            <w:vAlign w:val="bottom"/>
          </w:tcPr>
          <w:p>
            <w:pPr>
              <w:spacing w:after="0"/>
              <w:rPr>
                <w:sz w:val="20"/>
                <w:szCs w:val="20"/>
                <w:color w:val="auto"/>
              </w:rPr>
            </w:pPr>
            <w:r>
              <w:rPr>
                <w:rFonts w:ascii="Arial" w:cs="Arial" w:eastAsia="Arial" w:hAnsi="Arial"/>
                <w:sz w:val="17"/>
                <w:szCs w:val="17"/>
                <w:color w:val="auto"/>
                <w:w w:val="99"/>
              </w:rPr>
              <w:t>"expected credit loss" model and adding more disclosure</w:t>
            </w:r>
          </w:p>
        </w:tc>
        <w:tc>
          <w:tcPr>
            <w:tcW w:w="1340" w:type="dxa"/>
            <w:vAlign w:val="bottom"/>
          </w:tcPr>
          <w:p>
            <w:pPr>
              <w:spacing w:after="0"/>
              <w:rPr>
                <w:sz w:val="17"/>
                <w:szCs w:val="17"/>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financial statements.</w:t>
            </w:r>
          </w:p>
        </w:tc>
      </w:tr>
      <w:tr>
        <w:trPr>
          <w:trHeight w:val="216"/>
        </w:trPr>
        <w:tc>
          <w:tcPr>
            <w:tcW w:w="4280" w:type="dxa"/>
            <w:vAlign w:val="bottom"/>
          </w:tcPr>
          <w:p>
            <w:pPr>
              <w:spacing w:after="0"/>
              <w:rPr>
                <w:sz w:val="20"/>
                <w:szCs w:val="20"/>
                <w:color w:val="auto"/>
              </w:rPr>
            </w:pPr>
            <w:r>
              <w:rPr>
                <w:rFonts w:ascii="Arial" w:cs="Arial" w:eastAsia="Arial" w:hAnsi="Arial"/>
                <w:sz w:val="17"/>
                <w:szCs w:val="17"/>
                <w:color w:val="auto"/>
              </w:rPr>
              <w:t>requirements.</w:t>
            </w:r>
          </w:p>
        </w:tc>
        <w:tc>
          <w:tcPr>
            <w:tcW w:w="13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87"/>
        </w:trPr>
        <w:tc>
          <w:tcPr>
            <w:tcW w:w="4280" w:type="dxa"/>
            <w:vAlign w:val="bottom"/>
          </w:tcPr>
          <w:p>
            <w:pPr>
              <w:spacing w:after="0"/>
              <w:rPr>
                <w:sz w:val="20"/>
                <w:szCs w:val="20"/>
                <w:color w:val="auto"/>
              </w:rPr>
            </w:pPr>
            <w:r>
              <w:rPr>
                <w:rFonts w:ascii="Arial" w:cs="Arial" w:eastAsia="Arial" w:hAnsi="Arial"/>
                <w:sz w:val="17"/>
                <w:szCs w:val="17"/>
                <w:color w:val="auto"/>
              </w:rPr>
              <w:t>ASU 2018-19 clarifies that impairment of of receivables</w:t>
            </w:r>
          </w:p>
        </w:tc>
        <w:tc>
          <w:tcPr>
            <w:tcW w:w="13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7"/>
                <w:szCs w:val="17"/>
                <w:color w:val="auto"/>
              </w:rPr>
              <w:t>arising from operating leases should accounted for in</w:t>
            </w:r>
          </w:p>
        </w:tc>
        <w:tc>
          <w:tcPr>
            <w:tcW w:w="134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7"/>
                <w:szCs w:val="17"/>
                <w:color w:val="auto"/>
              </w:rPr>
              <w:t>accordance with Topic 842, Leases.</w:t>
            </w:r>
          </w:p>
        </w:tc>
        <w:tc>
          <w:tcPr>
            <w:tcW w:w="1340" w:type="dxa"/>
            <w:vAlign w:val="bottom"/>
          </w:tcPr>
          <w:p>
            <w:pPr>
              <w:spacing w:after="0"/>
              <w:rPr>
                <w:sz w:val="18"/>
                <w:szCs w:val="18"/>
                <w:color w:val="auto"/>
              </w:rPr>
            </w:pPr>
          </w:p>
        </w:tc>
        <w:tc>
          <w:tcPr>
            <w:tcW w:w="29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20"/>
                <w:szCs w:val="20"/>
                <w:color w:val="auto"/>
              </w:rPr>
            </w:pPr>
            <w:r>
              <w:rPr>
                <w:rFonts w:ascii="Arial" w:cs="Arial" w:eastAsia="Arial" w:hAnsi="Arial"/>
                <w:sz w:val="17"/>
                <w:szCs w:val="17"/>
                <w:color w:val="auto"/>
              </w:rPr>
              <w:t>This ASU requires a customer in a cloud computing</w:t>
            </w:r>
          </w:p>
        </w:tc>
        <w:tc>
          <w:tcPr>
            <w:tcW w:w="1280" w:type="dxa"/>
            <w:vAlign w:val="bottom"/>
          </w:tcPr>
          <w:p>
            <w:pPr>
              <w:ind w:left="120"/>
              <w:spacing w:after="0"/>
              <w:rPr>
                <w:sz w:val="20"/>
                <w:szCs w:val="20"/>
                <w:color w:val="auto"/>
              </w:rPr>
            </w:pPr>
            <w:r>
              <w:rPr>
                <w:rFonts w:ascii="Arial" w:cs="Arial" w:eastAsia="Arial" w:hAnsi="Arial"/>
                <w:sz w:val="18"/>
                <w:szCs w:val="18"/>
                <w:color w:val="auto"/>
              </w:rPr>
              <w:t>January 2020</w:t>
            </w:r>
          </w:p>
        </w:tc>
        <w:tc>
          <w:tcPr>
            <w:tcW w:w="2980" w:type="dxa"/>
            <w:vAlign w:val="bottom"/>
          </w:tcPr>
          <w:p>
            <w:pPr>
              <w:ind w:left="200"/>
              <w:spacing w:after="0"/>
              <w:rPr>
                <w:sz w:val="20"/>
                <w:szCs w:val="20"/>
                <w:color w:val="auto"/>
              </w:rPr>
            </w:pPr>
            <w:r>
              <w:rPr>
                <w:rFonts w:ascii="Arial" w:cs="Arial" w:eastAsia="Arial" w:hAnsi="Arial"/>
                <w:sz w:val="18"/>
                <w:szCs w:val="18"/>
                <w:color w:val="auto"/>
                <w:w w:val="87"/>
              </w:rPr>
              <w:t>This standard is not expected to have a</w:t>
            </w: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rPr>
              <w:t>arrangement (i.e. hosting arrangement) that is a service</w:t>
            </w:r>
          </w:p>
        </w:tc>
        <w:tc>
          <w:tcPr>
            <w:tcW w:w="1280" w:type="dxa"/>
            <w:vAlign w:val="bottom"/>
          </w:tcPr>
          <w:p>
            <w:pPr>
              <w:spacing w:after="0"/>
              <w:rPr>
                <w:sz w:val="17"/>
                <w:szCs w:val="17"/>
                <w:color w:val="auto"/>
              </w:rPr>
            </w:pPr>
          </w:p>
        </w:tc>
        <w:tc>
          <w:tcPr>
            <w:tcW w:w="2980" w:type="dxa"/>
            <w:vAlign w:val="bottom"/>
          </w:tcPr>
          <w:p>
            <w:pPr>
              <w:ind w:left="200"/>
              <w:spacing w:after="0" w:line="202" w:lineRule="exact"/>
              <w:rPr>
                <w:sz w:val="20"/>
                <w:szCs w:val="20"/>
                <w:color w:val="auto"/>
              </w:rPr>
            </w:pPr>
            <w:r>
              <w:rPr>
                <w:rFonts w:ascii="Arial" w:cs="Arial" w:eastAsia="Arial" w:hAnsi="Arial"/>
                <w:sz w:val="18"/>
                <w:szCs w:val="18"/>
                <w:color w:val="auto"/>
                <w:w w:val="93"/>
              </w:rPr>
              <w:t>significant impact to our consolidated</w:t>
            </w:r>
          </w:p>
        </w:tc>
      </w:tr>
      <w:tr>
        <w:trPr>
          <w:trHeight w:val="207"/>
        </w:trPr>
        <w:tc>
          <w:tcPr>
            <w:tcW w:w="4340" w:type="dxa"/>
            <w:vAlign w:val="bottom"/>
          </w:tcPr>
          <w:p>
            <w:pPr>
              <w:spacing w:after="0"/>
              <w:rPr>
                <w:sz w:val="20"/>
                <w:szCs w:val="20"/>
                <w:color w:val="auto"/>
              </w:rPr>
            </w:pPr>
            <w:r>
              <w:rPr>
                <w:rFonts w:ascii="Arial" w:cs="Arial" w:eastAsia="Arial" w:hAnsi="Arial"/>
                <w:sz w:val="17"/>
                <w:szCs w:val="17"/>
                <w:color w:val="auto"/>
                <w:w w:val="96"/>
              </w:rPr>
              <w:t>contract to follow the internal-use software guidance in ASC</w:t>
            </w:r>
          </w:p>
        </w:tc>
        <w:tc>
          <w:tcPr>
            <w:tcW w:w="1280" w:type="dxa"/>
            <w:vAlign w:val="bottom"/>
          </w:tcPr>
          <w:p>
            <w:pPr>
              <w:spacing w:after="0"/>
              <w:rPr>
                <w:sz w:val="17"/>
                <w:szCs w:val="17"/>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financial statements.</w:t>
            </w:r>
          </w:p>
        </w:tc>
      </w:tr>
      <w:tr>
        <w:trPr>
          <w:trHeight w:val="198"/>
        </w:trPr>
        <w:tc>
          <w:tcPr>
            <w:tcW w:w="4340" w:type="dxa"/>
            <w:vAlign w:val="bottom"/>
          </w:tcPr>
          <w:p>
            <w:pPr>
              <w:spacing w:after="0"/>
              <w:rPr>
                <w:sz w:val="20"/>
                <w:szCs w:val="20"/>
                <w:color w:val="auto"/>
              </w:rPr>
            </w:pPr>
            <w:r>
              <w:rPr>
                <w:rFonts w:ascii="Arial" w:cs="Arial" w:eastAsia="Arial" w:hAnsi="Arial"/>
                <w:sz w:val="17"/>
                <w:szCs w:val="17"/>
                <w:color w:val="auto"/>
                <w:w w:val="94"/>
              </w:rPr>
              <w:t>350-40 to determine which implementation costs to capitalize</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rPr>
              <w:t>as assets. Capitalized implementation costs related to a</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rPr>
              <w:t>hosting arrangement that is a service contract will be</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w w:val="95"/>
              </w:rPr>
              <w:t>amortized over the term of the hosting arrangement. Entities</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w w:val="98"/>
              </w:rPr>
              <w:t>will expense costs during the preliminary project and post-</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7"/>
                <w:szCs w:val="17"/>
                <w:color w:val="auto"/>
              </w:rPr>
              <w:t>implementation stages as they are incurred.</w:t>
            </w:r>
          </w:p>
        </w:tc>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91"/>
        </w:trPr>
        <w:tc>
          <w:tcPr>
            <w:tcW w:w="4340" w:type="dxa"/>
            <w:vAlign w:val="bottom"/>
          </w:tcPr>
          <w:p>
            <w:pPr>
              <w:spacing w:after="0"/>
              <w:rPr>
                <w:sz w:val="20"/>
                <w:szCs w:val="20"/>
                <w:color w:val="auto"/>
              </w:rPr>
            </w:pPr>
            <w:r>
              <w:rPr>
                <w:rFonts w:ascii="Arial" w:cs="Arial" w:eastAsia="Arial" w:hAnsi="Arial"/>
                <w:sz w:val="17"/>
                <w:szCs w:val="17"/>
                <w:color w:val="auto"/>
              </w:rPr>
              <w:t>The guidance can be applied prospectively to all</w:t>
            </w:r>
          </w:p>
        </w:tc>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rPr>
              <w:t>implementation costs incurred after th date of adoption or</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7"/>
                <w:szCs w:val="17"/>
                <w:color w:val="auto"/>
                <w:w w:val="95"/>
              </w:rPr>
              <w:t>retrospectively in accordance with ASC 250-10-45-5 through</w:t>
            </w:r>
          </w:p>
        </w:tc>
        <w:tc>
          <w:tcPr>
            <w:tcW w:w="128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7"/>
                <w:szCs w:val="17"/>
                <w:color w:val="auto"/>
              </w:rPr>
              <w:t>ASC 250-10-45-10.</w:t>
            </w:r>
          </w:p>
        </w:tc>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r>
    </w:tbl>
    <w:p>
      <w:pPr>
        <w:spacing w:after="0" w:line="175" w:lineRule="exact"/>
        <w:rPr>
          <w:sz w:val="20"/>
          <w:szCs w:val="20"/>
          <w:color w:val="auto"/>
        </w:rPr>
      </w:pPr>
    </w:p>
    <w:p>
      <w:pPr>
        <w:sectPr>
          <w:pgSz w:w="11900" w:h="16838" w:orient="portrait"/>
          <w:cols w:equalWidth="0" w:num="2">
            <w:col w:w="1940" w:space="280"/>
            <w:col w:w="9200"/>
          </w:cols>
          <w:pgMar w:left="240" w:top="11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129,001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125,684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113,016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100,125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94,994</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107,494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90,185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 (1):</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refinanced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166,823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 from noncontrolling interest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3600" w:hanging="5532"/>
        <w:spacing w:after="0" w:line="559" w:lineRule="auto"/>
        <w:tabs>
          <w:tab w:leader="none" w:pos="2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 Note 3 for additional disclosures relating to our investment in the Assembly Row hotel joint venture. F-16</w:t>
      </w:r>
    </w:p>
    <w:p>
      <w:pPr>
        <w:sectPr>
          <w:pgSz w:w="11900" w:h="16838" w:orient="portrait"/>
          <w:cols w:equalWidth="0" w:num="1">
            <w:col w:w="11420"/>
          </w:cols>
          <w:pgMar w:left="240" w:top="118" w:right="23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See the "Recent Accounting Pronouncements Adopted Subsequent to December 31, 2018," section in this note for further discussion regarding the change in accounting for lease costs.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9"/>
              </w:rPr>
              <w:t>RECONCILIATION OF CASH, CASH EQUIVALENTS, AND RESTRICTED CASH:</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0"/>
              <w:spacing w:after="0"/>
              <w:rPr>
                <w:sz w:val="20"/>
                <w:szCs w:val="20"/>
                <w:color w:val="auto"/>
              </w:rPr>
            </w:pPr>
            <w:r>
              <w:rPr>
                <w:rFonts w:ascii="Arial" w:cs="Arial" w:eastAsia="Arial" w:hAnsi="Arial"/>
                <w:sz w:val="18"/>
                <w:szCs w:val="18"/>
                <w:color w:val="auto"/>
              </w:rPr>
              <w:t>64,087</w:t>
            </w:r>
          </w:p>
        </w:tc>
        <w:tc>
          <w:tcPr>
            <w:tcW w:w="12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 (1)</w:t>
            </w: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44,245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108,332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7"/>
        </w:trPr>
        <w:tc>
          <w:tcPr>
            <w:tcW w:w="8580" w:type="dxa"/>
            <w:vAlign w:val="bottom"/>
            <w:gridSpan w:val="8"/>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gridSpan w:val="8"/>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gridSpan w:val="8"/>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NOTE 3—REAL ESTATE</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gridSpan w:val="3"/>
          </w:tcPr>
          <w:p>
            <w:pPr>
              <w:spacing w:after="0"/>
              <w:rPr>
                <w:sz w:val="20"/>
                <w:szCs w:val="20"/>
                <w:color w:val="auto"/>
              </w:rPr>
            </w:pPr>
            <w:r>
              <w:rPr>
                <w:rFonts w:ascii="Arial" w:cs="Arial" w:eastAsia="Arial" w:hAnsi="Arial"/>
                <w:sz w:val="18"/>
                <w:szCs w:val="18"/>
                <w:color w:val="auto"/>
                <w:w w:val="92"/>
              </w:rPr>
              <w:t>A summary of our real estate investments and related encumbrances is as follows:</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40" w:type="dxa"/>
            <w:vAlign w:val="bottom"/>
            <w:gridSpan w:val="3"/>
          </w:tcPr>
          <w:p>
            <w:pPr>
              <w:jc w:val="center"/>
              <w:ind w:right="71"/>
              <w:spacing w:after="0" w:line="149" w:lineRule="exact"/>
              <w:rPr>
                <w:sz w:val="20"/>
                <w:szCs w:val="20"/>
                <w:color w:val="auto"/>
              </w:rPr>
            </w:pPr>
            <w:r>
              <w:rPr>
                <w:rFonts w:ascii="Arial" w:cs="Arial" w:eastAsia="Arial" w:hAnsi="Arial"/>
                <w:sz w:val="14"/>
                <w:szCs w:val="14"/>
                <w:b w:val="1"/>
                <w:bCs w:val="1"/>
                <w:color w:val="auto"/>
                <w:w w:val="91"/>
              </w:rPr>
              <w:t>Depreciation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right"/>
              <w:ind w:right="311"/>
              <w:spacing w:after="0"/>
              <w:rPr>
                <w:sz w:val="20"/>
                <w:szCs w:val="20"/>
                <w:color w:val="auto"/>
              </w:rPr>
            </w:pPr>
            <w:r>
              <w:rPr>
                <w:rFonts w:ascii="Arial" w:cs="Arial" w:eastAsia="Arial" w:hAnsi="Arial"/>
                <w:sz w:val="14"/>
                <w:szCs w:val="14"/>
                <w:b w:val="1"/>
                <w:bCs w:val="1"/>
                <w:color w:val="auto"/>
                <w:w w:val="93"/>
              </w:rPr>
              <w:t>Encumbrances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71"/>
              <w:spacing w:after="0"/>
              <w:rPr>
                <w:sz w:val="20"/>
                <w:szCs w:val="20"/>
                <w:color w:val="auto"/>
              </w:rPr>
            </w:pPr>
            <w:r>
              <w:rPr>
                <w:rFonts w:ascii="Arial" w:cs="Arial" w:eastAsia="Arial" w:hAnsi="Arial"/>
                <w:sz w:val="14"/>
                <w:szCs w:val="14"/>
                <w:b w:val="1"/>
                <w:bCs w:val="1"/>
                <w:color w:val="auto"/>
                <w:w w:val="98"/>
              </w:rPr>
              <w:t>Amortization</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Retail and mixed-use properties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7,680,653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(2,000,274)</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454,053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properties under capital leases</w:t>
            </w: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20,326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7,819,472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(2,059,143)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545,898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3"/>
            <w:vMerge w:val="restart"/>
          </w:tcPr>
          <w:p>
            <w:pPr>
              <w:ind w:left="40"/>
              <w:spacing w:after="0" w:line="196" w:lineRule="exact"/>
              <w:rPr>
                <w:sz w:val="20"/>
                <w:szCs w:val="20"/>
                <w:color w:val="auto"/>
              </w:rPr>
            </w:pPr>
            <w:r>
              <w:rPr>
                <w:rFonts w:ascii="Arial" w:cs="Arial" w:eastAsia="Arial" w:hAnsi="Arial"/>
                <w:sz w:val="18"/>
                <w:szCs w:val="18"/>
                <w:b w:val="1"/>
                <w:bCs w:val="1"/>
                <w:color w:val="auto"/>
              </w:rPr>
              <w:t>December 31, 2017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8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and mixed-use properties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(1,821,046)</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470,720</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Retail properties under capital leases</w:t>
            </w:r>
          </w:p>
        </w:tc>
        <w:tc>
          <w:tcPr>
            <w:tcW w:w="5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123,346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7,635,061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(1,876,544)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563,061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residential property investment is our investment in Rollingwood Apartments. All of other residential units are included in retail and mixed-use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Property Acquisitions and Dispositions</w:t>
      </w:r>
    </w:p>
    <w:p>
      <w:pPr>
        <w:spacing w:after="0" w:line="17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June 15, 2018, we formed a new joint venture to develop Jordan Downs Plaza which, when completed, will be an approximately 113,000 square foot grocery anchored shopping center located in Los Angeles County, California. We initially invested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Jordan Downs Plaza development is expected to generate income tax credits under the New Market Tax Credit Program ("NMTC") which was provided for in the Community Renewal Tax Relief Act of 2000 ("the Act") and is intended to induce investment in underserved areas of the United</w:t>
      </w:r>
    </w:p>
    <w:p>
      <w:pPr>
        <w:spacing w:after="0" w:line="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compliance period. Cash in escrow at December 31, 2018 of $32.2 million reflects cash that will ultimately be used for the development of the shopping center, and is included in "prepaid expenses and other assets" on our consolidated balance sheet. The cash is held in escrow pursuant to the new market tax credit transaction documents and will be released as qualified development expenditures are incurred.</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August 2018, we contributed hotel related assets valued at $44.0 million to our Assembly Row hotel joint venture, and received a cash distribution of $38.0 million. At December 31, 2018, our investment in the venture was $5.6 million. The joint venture is considered a variable interest entity controlled by our partner, and as a result, we are using the equity method to account for our investment.</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16, 2018, we sold the residential building at our Chelsea Commons property in Chelsea, Massachusetts for a sales price of $15.0 million, resulting in a gain of 3.1 million.</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9, 2018, we sold our Atlantic Plaza property in North Reading, Massachusetts for a sales price of $27.2 million, resulting in a gain of $1.6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November 29, 2018, we acquired a 40,000 square foot building adjacent to our Bell Gardens property for $9.6 million.</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December 31, 2018, we closed on the sale of 176 condominium units at our Assembly Row and Pike &amp; Rose properties (combined) and received proceeds net of closing costs of $133.5 million, For the year ended December 31, 2018, we recognized a gain of $7.2 million, net of $1.6 million of income taxes. The cost basis for remaining condominium units that are ready for their intended use as of December 31, 2018 is $16.6 million, and is included in "assets held for sale" on our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Property Acquisitions and Dispositions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leased three parcels of land at our Assembly Row property to two ground lessees. Both lessees exercised purchase options under the related ground leases. The sale transaction related to the purchase option on one of our ground leases was completed on April 4, 2017 for a sales price of $36.0 million. On June 28, 2017, the sale transactions related to the purchase options on our other two ground lease parcels were completed for a total sales price of $17.3 million. The net gain recognized in connection with these transactions was approximately $15.4 million.</w:t>
      </w:r>
    </w:p>
    <w:p>
      <w:pPr>
        <w:spacing w:after="0" w:line="3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and approximately $2.4 million was allocated to noncontrolling interests.</w:t>
      </w:r>
    </w:p>
    <w:p>
      <w:pPr>
        <w:spacing w:after="0" w:line="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August 2, 2017, we acquired an approximately 90% interest in a joint venture that owns six shopping centers in Los Angeles County, California based on a gross value of $357 million, including the assumption of $79.4 million of mortgage debt. Approximately $7.8 million of assets acquired were allocated to lease intangibles and included within other assets, approximately $36.2 million of net assets acquired were allocated to lease liabilities and included in other liabilities, and approximately $30.6 million was allocated to noncontrolling interests. That joint venture also acquired a 24.5% interest in La Alameda, a shopping center in Walnut Park, California for $19.8 million. The property has $41.0 million of mortgage debt, of which the joint venture's share is approximately $10 million. Additional information on the properties is listed below: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6"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Table of Contents</w:t>
              </w:r>
            </w:hyperlink>
          </w:p>
        </w:tc>
        <w:tc>
          <w:tcPr>
            <w:tcW w:w="3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622"/>
        </w:trPr>
        <w:tc>
          <w:tcPr>
            <w:tcW w:w="1220" w:type="dxa"/>
            <w:vAlign w:val="bottom"/>
            <w:tcBorders>
              <w:top w:val="single" w:sz="8" w:color="0000EE"/>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0" w:type="dxa"/>
            <w:vAlign w:val="bottom"/>
          </w:tcPr>
          <w:p>
            <w:pPr>
              <w:spacing w:after="0"/>
              <w:rPr>
                <w:sz w:val="24"/>
                <w:szCs w:val="24"/>
                <w:color w:val="auto"/>
              </w:rPr>
            </w:pP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City/State</w:t>
            </w:r>
          </w:p>
        </w:tc>
        <w:tc>
          <w:tcPr>
            <w:tcW w:w="5920" w:type="dxa"/>
            <w:vAlign w:val="bottom"/>
            <w:gridSpan w:val="2"/>
          </w:tcPr>
          <w:p>
            <w:pPr>
              <w:jc w:val="center"/>
              <w:ind w:right="4340"/>
              <w:spacing w:after="0"/>
              <w:rPr>
                <w:sz w:val="20"/>
                <w:szCs w:val="20"/>
                <w:color w:val="auto"/>
              </w:rPr>
            </w:pPr>
            <w:r>
              <w:rPr>
                <w:rFonts w:ascii="Arial" w:cs="Arial" w:eastAsia="Arial" w:hAnsi="Arial"/>
                <w:sz w:val="16"/>
                <w:szCs w:val="16"/>
                <w:b w:val="1"/>
                <w:bCs w:val="1"/>
                <w:color w:val="auto"/>
              </w:rPr>
              <w:t>GLA</w:t>
            </w:r>
          </w:p>
        </w:tc>
      </w:tr>
      <w:tr>
        <w:trPr>
          <w:trHeight w:val="33"/>
        </w:trPr>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58"/>
        </w:trPr>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5920" w:type="dxa"/>
            <w:vAlign w:val="bottom"/>
            <w:gridSpan w:val="2"/>
          </w:tcPr>
          <w:p>
            <w:pPr>
              <w:jc w:val="center"/>
              <w:ind w:right="4340"/>
              <w:spacing w:after="0"/>
              <w:rPr>
                <w:sz w:val="20"/>
                <w:szCs w:val="20"/>
                <w:color w:val="auto"/>
              </w:rPr>
            </w:pPr>
            <w:r>
              <w:rPr>
                <w:rFonts w:ascii="Arial" w:cs="Arial" w:eastAsia="Arial" w:hAnsi="Arial"/>
                <w:sz w:val="14"/>
                <w:szCs w:val="14"/>
                <w:b w:val="1"/>
                <w:bCs w:val="1"/>
                <w:color w:val="auto"/>
                <w:w w:val="93"/>
              </w:rPr>
              <w:t>(in square feet)</w:t>
            </w:r>
          </w:p>
        </w:tc>
      </w:tr>
      <w:tr>
        <w:trPr>
          <w:trHeight w:val="256"/>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Gate,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222,000</w:t>
            </w:r>
          </w:p>
        </w:tc>
        <w:tc>
          <w:tcPr>
            <w:tcW w:w="4340" w:type="dxa"/>
            <w:vAlign w:val="bottom"/>
            <w:tcBorders>
              <w:bottom w:val="single" w:sz="8" w:color="CCEEFF"/>
            </w:tcBorders>
            <w:shd w:val="clear" w:color="auto" w:fill="CCEEFF"/>
          </w:tcPr>
          <w:p>
            <w:pPr>
              <w:spacing w:after="0"/>
              <w:rPr>
                <w:sz w:val="22"/>
                <w:szCs w:val="22"/>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Bell Gardens</w:t>
            </w:r>
          </w:p>
        </w:tc>
        <w:tc>
          <w:tcPr>
            <w:tcW w:w="3080" w:type="dxa"/>
            <w:vAlign w:val="bottom"/>
          </w:tcPr>
          <w:p>
            <w:pPr>
              <w:ind w:left="700"/>
              <w:spacing w:after="0"/>
              <w:rPr>
                <w:sz w:val="20"/>
                <w:szCs w:val="20"/>
                <w:color w:val="auto"/>
              </w:rPr>
            </w:pPr>
            <w:r>
              <w:rPr>
                <w:rFonts w:ascii="Arial" w:cs="Arial" w:eastAsia="Arial" w:hAnsi="Arial"/>
                <w:sz w:val="16"/>
                <w:szCs w:val="16"/>
                <w:color w:val="auto"/>
              </w:rPr>
              <w:t>Bell Gardens,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330,000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Walnut Park,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245,000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Olivo at Mission Hills (1)</w:t>
            </w:r>
          </w:p>
        </w:tc>
        <w:tc>
          <w:tcPr>
            <w:tcW w:w="3080" w:type="dxa"/>
            <w:vAlign w:val="bottom"/>
          </w:tcPr>
          <w:p>
            <w:pPr>
              <w:ind w:left="700"/>
              <w:spacing w:after="0"/>
              <w:rPr>
                <w:sz w:val="20"/>
                <w:szCs w:val="20"/>
                <w:color w:val="auto"/>
              </w:rPr>
            </w:pPr>
            <w:r>
              <w:rPr>
                <w:rFonts w:ascii="Arial" w:cs="Arial" w:eastAsia="Arial" w:hAnsi="Arial"/>
                <w:sz w:val="16"/>
                <w:szCs w:val="16"/>
                <w:color w:val="auto"/>
              </w:rPr>
              <w:t>Mission Hills,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El Monte,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48,000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Plaza Pacoima</w:t>
            </w:r>
          </w:p>
        </w:tc>
        <w:tc>
          <w:tcPr>
            <w:tcW w:w="3080" w:type="dxa"/>
            <w:vAlign w:val="bottom"/>
          </w:tcPr>
          <w:p>
            <w:pPr>
              <w:ind w:left="700"/>
              <w:spacing w:after="0"/>
              <w:rPr>
                <w:sz w:val="20"/>
                <w:szCs w:val="20"/>
                <w:color w:val="auto"/>
              </w:rPr>
            </w:pPr>
            <w:r>
              <w:rPr>
                <w:rFonts w:ascii="Arial" w:cs="Arial" w:eastAsia="Arial" w:hAnsi="Arial"/>
                <w:sz w:val="16"/>
                <w:szCs w:val="16"/>
                <w:color w:val="auto"/>
              </w:rPr>
              <w:t>Pacoima,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204,000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Sylmar,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148,000</w:t>
            </w:r>
          </w:p>
        </w:tc>
        <w:tc>
          <w:tcPr>
            <w:tcW w:w="4340" w:type="dxa"/>
            <w:vAlign w:val="bottom"/>
            <w:tcBorders>
              <w:bottom w:val="single" w:sz="8" w:color="CCEEFF"/>
            </w:tcBorders>
            <w:shd w:val="clear" w:color="auto" w:fill="CCEEFF"/>
          </w:tcPr>
          <w:p>
            <w:pPr>
              <w:spacing w:after="0"/>
              <w:rPr>
                <w:sz w:val="23"/>
                <w:szCs w:val="23"/>
                <w:color w:val="auto"/>
              </w:rPr>
            </w:pPr>
          </w:p>
        </w:tc>
      </w:tr>
      <w:tr>
        <w:trPr>
          <w:trHeight w:val="217"/>
        </w:trPr>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1,352,000</w:t>
            </w:r>
          </w:p>
        </w:tc>
        <w:tc>
          <w:tcPr>
            <w:tcW w:w="43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Property is currently being redeveloped. GLA reflects approximate square footage once the property is open and operating.</w:t>
      </w:r>
    </w:p>
    <w:p>
      <w:pPr>
        <w:spacing w:after="0" w:line="12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following unaudited pro forma financial data includes the total revenues, operating expenses (including approximately $11.5 million and $11.4 million of depreciation and amortization expense for the years ended December 31, 2017 and 2016, respectively), and interest expense/financing costs related to the properties acquired on August 2, 2017 as if they had occurred on January 1, 2016. The pro forma financial information is presented for informational purposes only and may not be indicative of what actual results of income would have been, nor does it represent the results of income for future periods.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w w:val="98"/>
              </w:rPr>
              <w:t>Year Ended December 31,</w:t>
            </w:r>
          </w:p>
        </w:tc>
      </w:tr>
      <w:tr>
        <w:trPr>
          <w:trHeight w:val="33"/>
        </w:trPr>
        <w:tc>
          <w:tcPr>
            <w:tcW w:w="8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8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217"/>
        </w:trPr>
        <w:tc>
          <w:tcPr>
            <w:tcW w:w="8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(in millions) (unaudited)</w:t>
            </w:r>
          </w:p>
        </w:tc>
      </w:tr>
      <w:tr>
        <w:trPr>
          <w:trHeight w:val="155"/>
        </w:trPr>
        <w:tc>
          <w:tcPr>
            <w:tcW w:w="8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872.9</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826.6</w:t>
            </w: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Net income available for common shareholders</w:t>
            </w: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284.6</w:t>
            </w:r>
          </w:p>
        </w:tc>
        <w:tc>
          <w:tcPr>
            <w:tcW w:w="3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244.3</w:t>
            </w:r>
          </w:p>
        </w:tc>
      </w:tr>
    </w:tbl>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25, 2017, we sold our property located at 150 Post Street in San Francisco, California for a sales price of $69.3 million, resulting in a gain of $45.2 million.</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September 25, 2017, we sold our North Lake Commons property in Lake Zurich, Illinois for a sales price of $15.6 million, resulting in a gain of $4.9 million.</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28, 2017, we sold a parcel of land at our Bethesda Row property in Bethesda, Maryland for a sales price of $8.5 million, resulting in a gain of $6.5 million.</w:t>
      </w:r>
    </w:p>
    <w:p>
      <w:pPr>
        <w:spacing w:after="0" w:line="11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For the year ended December 31, 2017, we recognized a $5.4 million gain, net of $1.4 million of income taxes, related to the sale of condominiums at our Assembly Row property based on the percentage-of-completion method. In connection with recording the gain, we recognized a receivable of $67.1 million as of December 31, 2017. See discussion in Note 2 to the Consolidated Financial Statements with respect to the change in accounting for condominium gains.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4—ACQUIRED IN-PLACE LEASES</w:t>
      </w:r>
    </w:p>
    <w:p>
      <w:pPr>
        <w:spacing w:after="0" w:line="94"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Acquired lease assets are included in prepaid expenses and other assets and comprise above market leases where we are the lessor and below market leases where we are the lessee. Acquired lease liabilities are included in other liabilities and deferred credits and comprise below market leases where we are the lessor and above market leases where we are the lessee. The following is a summary of our acquired lease assets and liabilities: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5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market leases, lessor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Below market leases, lessee</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83,732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market leases, lessor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65,408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Above market leases, lessee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66,473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57,276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F-19</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value allocated to in-place leases where we are the lessor is amortized over the related lease term and reflected as additional rental income for below market leases or a reduction of rental income for above market leases in the consolidated statements of comprehensive income. The related amortization of in-place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50"/>
        </w:trPr>
        <w:tc>
          <w:tcPr>
            <w:tcW w:w="5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above market leases, lessor</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below market leases, lessor</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12,445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10,726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8,551</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rental income</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4,721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1,825</w:t>
            </w: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6"/>
        </w:trPr>
        <w:tc>
          <w:tcPr>
            <w:tcW w:w="5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 lessee</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above market leases, lessee</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rental expense</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r>
      <w:tr>
        <w:trPr>
          <w:trHeight w:val="20"/>
        </w:trPr>
        <w:tc>
          <w:tcPr>
            <w:tcW w:w="5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remaining weighted average amortization period for our acquired lease assets and acquired lease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December 31, 2018</w:t>
            </w:r>
          </w:p>
        </w:tc>
      </w:tr>
      <w:tr>
        <w:trPr>
          <w:trHeight w:val="121"/>
        </w:trPr>
        <w:tc>
          <w:tcPr>
            <w:tcW w:w="960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market leases, lessor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Below market leases, lessee</w:t>
            </w:r>
          </w:p>
        </w:tc>
        <w:tc>
          <w:tcPr>
            <w:tcW w:w="1820" w:type="dxa"/>
            <w:vAlign w:val="bottom"/>
          </w:tcPr>
          <w:p>
            <w:pPr>
              <w:jc w:val="right"/>
              <w:spacing w:after="0"/>
              <w:rPr>
                <w:sz w:val="20"/>
                <w:szCs w:val="20"/>
                <w:color w:val="auto"/>
              </w:rPr>
            </w:pPr>
            <w:r>
              <w:rPr>
                <w:rFonts w:ascii="Arial" w:cs="Arial" w:eastAsia="Arial" w:hAnsi="Arial"/>
                <w:sz w:val="18"/>
                <w:szCs w:val="18"/>
                <w:color w:val="auto"/>
              </w:rPr>
              <w:t>40.6 years</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market leases, lessor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Above market leases, lessee</w:t>
            </w:r>
          </w:p>
        </w:tc>
        <w:tc>
          <w:tcPr>
            <w:tcW w:w="1820" w:type="dxa"/>
            <w:vAlign w:val="bottom"/>
          </w:tcPr>
          <w:p>
            <w:pPr>
              <w:jc w:val="right"/>
              <w:spacing w:after="0"/>
              <w:rPr>
                <w:sz w:val="20"/>
                <w:szCs w:val="20"/>
                <w:color w:val="auto"/>
              </w:rPr>
            </w:pPr>
            <w:r>
              <w:rPr>
                <w:rFonts w:ascii="Arial" w:cs="Arial" w:eastAsia="Arial" w:hAnsi="Arial"/>
                <w:sz w:val="18"/>
                <w:szCs w:val="18"/>
                <w:color w:val="auto"/>
              </w:rPr>
              <w:t>15.9 years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Acquired Lease Assets</w:t>
            </w: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Acquired Lease Liabilities</w:t>
            </w:r>
          </w:p>
        </w:tc>
      </w:tr>
      <w:tr>
        <w:trPr>
          <w:trHeight w:val="250"/>
        </w:trPr>
        <w:tc>
          <w:tcPr>
            <w:tcW w:w="37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2019</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9,284</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2021</w:t>
            </w: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7,677</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7,296</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2023</w:t>
            </w: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33,309</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92,413</w:t>
            </w:r>
          </w:p>
        </w:tc>
      </w:tr>
      <w:tr>
        <w:trPr>
          <w:trHeight w:val="237"/>
        </w:trPr>
        <w:tc>
          <w:tcPr>
            <w:tcW w:w="37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47,356</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131,990</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56"/>
        </w:trPr>
        <w:tc>
          <w:tcPr>
            <w:tcW w:w="3760" w:type="dxa"/>
            <w:vAlign w:val="bottom"/>
          </w:tcPr>
          <w:p>
            <w:pPr>
              <w:spacing w:after="0"/>
              <w:rPr>
                <w:sz w:val="24"/>
                <w:szCs w:val="24"/>
                <w:color w:val="auto"/>
              </w:rPr>
            </w:pPr>
          </w:p>
        </w:tc>
        <w:tc>
          <w:tcPr>
            <w:tcW w:w="4080" w:type="dxa"/>
            <w:vAlign w:val="bottom"/>
            <w:gridSpan w:val="2"/>
          </w:tcPr>
          <w:p>
            <w:pPr>
              <w:jc w:val="right"/>
              <w:ind w:right="1870"/>
              <w:spacing w:after="0"/>
              <w:rPr>
                <w:sz w:val="20"/>
                <w:szCs w:val="20"/>
                <w:color w:val="auto"/>
              </w:rPr>
            </w:pPr>
            <w:r>
              <w:rPr>
                <w:rFonts w:ascii="Arial" w:cs="Arial" w:eastAsia="Arial" w:hAnsi="Arial"/>
                <w:sz w:val="18"/>
                <w:szCs w:val="18"/>
                <w:color w:val="auto"/>
              </w:rPr>
              <w:t>F-20</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2018 and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Principal Balance as of December 31,</w:t>
            </w: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 of</w:t>
            </w:r>
          </w:p>
        </w:tc>
        <w:tc>
          <w:tcPr>
            <w:tcW w:w="1940" w:type="dxa"/>
            <w:vAlign w:val="bottom"/>
          </w:tcPr>
          <w:p>
            <w:pPr>
              <w:jc w:val="right"/>
              <w:ind w:right="80"/>
              <w:spacing w:after="0"/>
              <w:rPr>
                <w:sz w:val="20"/>
                <w:szCs w:val="20"/>
                <w:color w:val="auto"/>
              </w:rPr>
            </w:pPr>
            <w:r>
              <w:rPr>
                <w:rFonts w:ascii="Arial" w:cs="Arial" w:eastAsia="Arial" w:hAnsi="Arial"/>
                <w:sz w:val="14"/>
                <w:szCs w:val="14"/>
                <w:b w:val="1"/>
                <w:bCs w:val="1"/>
                <w:color w:val="auto"/>
              </w:rPr>
              <w:t>Stated Maturity Date as of</w:t>
            </w:r>
          </w:p>
        </w:tc>
      </w:tr>
      <w:tr>
        <w:trPr>
          <w:trHeight w:val="191"/>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940" w:type="dxa"/>
            <w:vAlign w:val="bottom"/>
          </w:tcPr>
          <w:p>
            <w:pPr>
              <w:jc w:val="right"/>
              <w:ind w:right="300"/>
              <w:spacing w:after="0"/>
              <w:rPr>
                <w:sz w:val="20"/>
                <w:szCs w:val="20"/>
                <w:color w:val="auto"/>
              </w:rPr>
            </w:pPr>
            <w:r>
              <w:rPr>
                <w:rFonts w:ascii="Arial" w:cs="Arial" w:eastAsia="Arial" w:hAnsi="Arial"/>
                <w:sz w:val="14"/>
                <w:szCs w:val="14"/>
                <w:b w:val="1"/>
                <w:bCs w:val="1"/>
                <w:color w:val="auto"/>
              </w:rPr>
              <w:t>December 31, 2018</w:t>
            </w:r>
          </w:p>
        </w:tc>
      </w:tr>
      <w:tr>
        <w:trPr>
          <w:trHeight w:val="80"/>
        </w:trPr>
        <w:tc>
          <w:tcPr>
            <w:tcW w:w="470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(West)</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10,545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March 1, 2018</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The Shops at Sunset Place</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64,453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66,603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September 1, 2020</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29th Place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Sylmar Towne Center</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17,362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6, 2021</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THE AVENUE at White Marsh</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 2022</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71,054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Azalea</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November 1, 2025</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2026</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Plaza El Segundo</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5, 2027</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Brook 35</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 2029</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17"/>
        </w:trPr>
        <w:tc>
          <w:tcPr>
            <w:tcW w:w="5280" w:type="dxa"/>
            <w:vAlign w:val="bottom"/>
            <w:gridSpan w:val="2"/>
          </w:tcPr>
          <w:p>
            <w:pPr>
              <w:ind w:left="720"/>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475,308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491,561</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17"/>
        </w:trPr>
        <w:tc>
          <w:tcPr>
            <w:tcW w:w="5280" w:type="dxa"/>
            <w:vAlign w:val="bottom"/>
            <w:gridSpan w:val="2"/>
          </w:tcPr>
          <w:p>
            <w:pPr>
              <w:ind w:left="720"/>
              <w:spacing w:after="0"/>
              <w:rPr>
                <w:sz w:val="20"/>
                <w:szCs w:val="20"/>
                <w:color w:val="auto"/>
              </w:rPr>
            </w:pPr>
            <w:r>
              <w:rPr>
                <w:rFonts w:ascii="Arial" w:cs="Arial" w:eastAsia="Arial" w:hAnsi="Arial"/>
                <w:sz w:val="16"/>
                <w:szCs w:val="16"/>
                <w:color w:val="auto"/>
              </w:rPr>
              <w:t>Total mortgages payable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474,379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491,505</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04"/>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1940" w:type="dxa"/>
            <w:vAlign w:val="bottom"/>
          </w:tcPr>
          <w:p>
            <w:pPr>
              <w:jc w:val="right"/>
              <w:spacing w:after="0"/>
              <w:rPr>
                <w:sz w:val="20"/>
                <w:szCs w:val="20"/>
                <w:color w:val="auto"/>
              </w:rPr>
            </w:pPr>
            <w:r>
              <w:rPr>
                <w:rFonts w:ascii="Arial" w:cs="Arial" w:eastAsia="Arial" w:hAnsi="Arial"/>
                <w:sz w:val="16"/>
                <w:szCs w:val="16"/>
                <w:color w:val="auto"/>
              </w:rPr>
              <w:t>November 21, 2019</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+ 0.825%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4,819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Various through 2028</w:t>
            </w: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2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320,819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280" w:type="dxa"/>
            <w:vAlign w:val="bottom"/>
            <w:gridSpan w:val="2"/>
          </w:tcPr>
          <w:p>
            <w:pPr>
              <w:ind w:left="920"/>
              <w:spacing w:after="0"/>
              <w:rPr>
                <w:sz w:val="20"/>
                <w:szCs w:val="20"/>
                <w:color w:val="auto"/>
              </w:rPr>
            </w:pPr>
            <w:r>
              <w:rPr>
                <w:rFonts w:ascii="Arial" w:cs="Arial" w:eastAsia="Arial" w:hAnsi="Arial"/>
                <w:sz w:val="16"/>
                <w:szCs w:val="16"/>
                <w:color w:val="auto"/>
              </w:rPr>
              <w:t>Net unamortized debt issuance costs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320,265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0"/>
        </w:trPr>
        <w:tc>
          <w:tcPr>
            <w:tcW w:w="4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3.00%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2022</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3.95%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2024</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3.25%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15, 2027</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4.50%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December 1, 2044</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r>
      <w:tr>
        <w:trPr>
          <w:trHeight w:val="217"/>
        </w:trPr>
        <w:tc>
          <w:tcPr>
            <w:tcW w:w="5280" w:type="dxa"/>
            <w:vAlign w:val="bottom"/>
            <w:gridSpan w:val="2"/>
          </w:tcPr>
          <w:p>
            <w:pPr>
              <w:ind w:left="720"/>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2,419,200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2,419,200</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17"/>
        </w:trPr>
        <w:tc>
          <w:tcPr>
            <w:tcW w:w="5280" w:type="dxa"/>
            <w:vAlign w:val="bottom"/>
            <w:gridSpan w:val="2"/>
          </w:tcPr>
          <w:p>
            <w:pPr>
              <w:ind w:left="720"/>
              <w:spacing w:after="0"/>
              <w:rPr>
                <w:sz w:val="20"/>
                <w:szCs w:val="20"/>
                <w:color w:val="auto"/>
              </w:rPr>
            </w:pPr>
            <w:r>
              <w:rPr>
                <w:rFonts w:ascii="Arial" w:cs="Arial" w:eastAsia="Arial" w:hAnsi="Arial"/>
                <w:sz w:val="16"/>
                <w:szCs w:val="16"/>
                <w:color w:val="auto"/>
              </w:rPr>
              <w:t>Total senior notes and debentures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2,404,279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2,401,440</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04"/>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r>
      <w:tr>
        <w:trPr>
          <w:trHeight w:val="237"/>
        </w:trPr>
        <w:tc>
          <w:tcPr>
            <w:tcW w:w="5280" w:type="dxa"/>
            <w:vAlign w:val="bottom"/>
            <w:gridSpan w:val="2"/>
          </w:tcPr>
          <w:p>
            <w:pPr>
              <w:ind w:left="600"/>
              <w:spacing w:after="0"/>
              <w:rPr>
                <w:sz w:val="20"/>
                <w:szCs w:val="20"/>
                <w:color w:val="auto"/>
              </w:rPr>
            </w:pPr>
            <w:r>
              <w:rPr>
                <w:rFonts w:ascii="Arial" w:cs="Arial" w:eastAsia="Arial" w:hAnsi="Arial"/>
                <w:sz w:val="16"/>
                <w:szCs w:val="16"/>
                <w:color w:val="auto"/>
              </w:rPr>
              <w:t>Various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71,519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71,556</w:t>
            </w:r>
          </w:p>
        </w:tc>
        <w:tc>
          <w:tcPr>
            <w:tcW w:w="10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Various</w:t>
            </w:r>
          </w:p>
        </w:tc>
        <w:tc>
          <w:tcPr>
            <w:tcW w:w="1940" w:type="dxa"/>
            <w:vAlign w:val="bottom"/>
          </w:tcPr>
          <w:p>
            <w:pPr>
              <w:jc w:val="right"/>
              <w:spacing w:after="0"/>
              <w:rPr>
                <w:sz w:val="20"/>
                <w:szCs w:val="20"/>
                <w:color w:val="auto"/>
              </w:rPr>
            </w:pPr>
            <w:r>
              <w:rPr>
                <w:rFonts w:ascii="Arial" w:cs="Arial" w:eastAsia="Arial" w:hAnsi="Arial"/>
                <w:sz w:val="16"/>
                <w:szCs w:val="16"/>
                <w:color w:val="auto"/>
              </w:rPr>
              <w:t>Various through 2106</w:t>
            </w: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5"/>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3,229,204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3,284,766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August 10, 2018, we exercised our option to extend the maturity date of our $275.0 million unsecured term loan by one year to November 21, 2019.</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2018, 2017 and 2016, the maximum amount of borrowings outstanding under our $800.0 million revolving credit facility was $177.0 million, $344.0 million and $251.5 million, respectively. The weighted average amount of borrowings outstanding was $83.1 million, $147.5 million and $77.3 million, respectively, and the weighted average interest rate, before amortization of debt fees, was 2.7%, 1.9% and 1.3%, respectively. The revolving credit facility requires an annual facility fee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923"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$1.0 million. At December 31, 2018, our revolving credit facility had no balance outstanding, and had $41.0 million outstanding at December 31, 2017.</w:t>
      </w:r>
    </w:p>
    <w:p>
      <w:pPr>
        <w:spacing w:after="0" w:line="1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December 31, 2018, we were in compliance with all default related debt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334"/>
              <w:spacing w:after="0"/>
              <w:rPr>
                <w:sz w:val="20"/>
                <w:szCs w:val="20"/>
                <w:color w:val="auto"/>
              </w:rPr>
            </w:pPr>
            <w:r>
              <w:rPr>
                <w:rFonts w:ascii="Arial" w:cs="Arial" w:eastAsia="Arial" w:hAnsi="Arial"/>
                <w:sz w:val="14"/>
                <w:szCs w:val="14"/>
                <w:b w:val="1"/>
                <w:bCs w:val="1"/>
                <w:color w:val="auto"/>
              </w:rPr>
              <w:t>Mortgages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Senior Notes and</w:t>
            </w:r>
          </w:p>
        </w:tc>
        <w:tc>
          <w:tcPr>
            <w:tcW w:w="28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Payable</w:t>
            </w:r>
          </w:p>
        </w:tc>
        <w:tc>
          <w:tcPr>
            <w:tcW w:w="5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25,795</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275,551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301,346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65,539</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613</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66,152</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30,541</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682</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281,223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117,018</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758</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367,776</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730</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787</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276,517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235,685</w:t>
            </w:r>
          </w:p>
        </w:tc>
        <w:tc>
          <w:tcPr>
            <w:tcW w:w="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1,001</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1,644,200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1,880,886</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475,308</w:t>
            </w:r>
          </w:p>
        </w:tc>
        <w:tc>
          <w:tcPr>
            <w:tcW w:w="5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279,392</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2,419,200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3,173,900</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2019 maturities include a $20.3 million mortgage loan, which was paid off at par on January 31, 2019, prior to its original maturity date.</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December 31, 2018, there was no outstanding balance under this credit facility.</w:t>
      </w:r>
    </w:p>
    <w:p>
      <w:pPr>
        <w:ind w:left="660" w:right="460" w:hanging="328"/>
        <w:spacing w:after="0" w:line="261"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2018, are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60,013</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82,862</w:t>
            </w:r>
          </w:p>
        </w:tc>
      </w:tr>
      <w:tr>
        <w:trPr>
          <w:trHeight w:val="237"/>
        </w:trPr>
        <w:tc>
          <w:tcPr>
            <w:tcW w:w="10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166,085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(94,566)</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71,519</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116" w:lineRule="exact"/>
        <w:rPr>
          <w:sz w:val="20"/>
          <w:szCs w:val="20"/>
          <w:color w:val="auto"/>
        </w:rPr>
      </w:pPr>
    </w:p>
    <w:p>
      <w:pPr>
        <w:ind w:left="580" w:hanging="545"/>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98" w:lineRule="exact"/>
        <w:rPr>
          <w:rFonts w:ascii="Arial" w:cs="Arial" w:eastAsia="Arial" w:hAnsi="Arial"/>
          <w:sz w:val="18"/>
          <w:szCs w:val="18"/>
          <w:color w:val="auto"/>
        </w:rPr>
      </w:pPr>
    </w:p>
    <w:p>
      <w:pPr>
        <w:ind w:left="580" w:hanging="545"/>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98" w:lineRule="exact"/>
        <w:rPr>
          <w:rFonts w:ascii="Arial" w:cs="Arial" w:eastAsia="Arial" w:hAnsi="Arial"/>
          <w:sz w:val="18"/>
          <w:szCs w:val="18"/>
          <w:color w:val="auto"/>
        </w:rPr>
      </w:pPr>
    </w:p>
    <w:p>
      <w:pPr>
        <w:ind w:left="580" w:right="3180" w:hanging="545"/>
        <w:spacing w:after="0" w:line="27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753,406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751,361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811,770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824,419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2,404,279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2,371,392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2,401,440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2,498,445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2018, we had two interest rate swap agreements with a notional amount of $275.0 million that were measured at fair value on a recurring basis, which expired on November 1, 2018. The interest rate swap agreements fixed the variable portion of our $275.0 million term loan at 1.72% through November 1, 2018. The fair values of the interest rate swap agreements were based on the estimated amounts we would receive or pay to terminate the contracts at the reporting date and are determined using interest rate pricing models and interest rate related observable inputs. The fair value of our swaps at December 31, 2017 was an asset of less than $0.1 million and is included in "prepaid expenses and other assets" on our consolidated balance sheet. During 2018, we reclassified $0.5 million from other comprehensive income as a decrease to interest expense. The value of our interest rate swaps increased $2.6 million in 2017 (including $1.8 million reclassified from other comprehensive income as an increase to interest expense). These changes in value are included in "accumulated other comprehensive income." A summary of our financial assets that are measured at fair value on a recurring basis, by level within the fair value hierarchy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December 31,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780" w:type="dxa"/>
            <w:vAlign w:val="bottom"/>
            <w:tcBorders>
              <w:bottom w:val="single" w:sz="8" w:color="auto"/>
            </w:tcBorders>
          </w:tcPr>
          <w:p>
            <w:pPr>
              <w:spacing w:after="0"/>
              <w:rPr>
                <w:sz w:val="16"/>
                <w:szCs w:val="16"/>
                <w:color w:val="auto"/>
              </w:rPr>
            </w:pPr>
          </w:p>
        </w:tc>
      </w:tr>
      <w:tr>
        <w:trPr>
          <w:trHeight w:val="264"/>
        </w:trPr>
        <w:tc>
          <w:tcPr>
            <w:tcW w:w="28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4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r>
      <w:tr>
        <w:trPr>
          <w:trHeight w:val="27"/>
        </w:trPr>
        <w:tc>
          <w:tcPr>
            <w:tcW w:w="28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One of our equity method investees has two interest rate swaps which qualify as cash flow hedges. During 2018, our share of the change in fair value of the related swaps included in "accumulated other comprehensive (loss) income" was $0.4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5" w:lineRule="exact"/>
        <w:rPr>
          <w:sz w:val="20"/>
          <w:szCs w:val="20"/>
          <w:color w:val="auto"/>
        </w:rPr>
      </w:pPr>
    </w:p>
    <w:p>
      <w:pPr>
        <w:ind w:right="120" w:firstLine="8"/>
        <w:spacing w:after="0" w:line="261"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November 2016, we were included as a defendant in a class action lawsuit, in the circuit court for Montgomery County, Maryland, related to predatory towing by a third party company we had retained to provide towing services at several of our properties in Montgomery County, Maryland. Given the costs and risks of continuing litigation on this matter, we elected to participate in a settlement for which our share was approximately $0.4 million, and was reimbursed by insurance. The settlement did not cover liability for certain tows that were included in the lawsuit that the defendant class believes cannot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pursued because of the statute of limitations. Accordingly, we do not believe we should have any additional liability for these remaining tows; however, if we are unsuccessful in dismissing these tows from the litigation, our liability would be less than $0.1 million.</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During 2016, the legal liability period relating to our latent defect warranty on condominiums sold at Santana Row expired. Upon expiration, we released the remaining $4.9 million warranty reserve which is included in "gain on sale of real estate and change in control of interests" in the consolidated statement of comprehensive income for the year ended December 31, 2016.</w:t>
      </w:r>
    </w:p>
    <w:p>
      <w:pPr>
        <w:spacing w:after="0" w:line="13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December 31, 2018 and 2017, our reserves for general liability costs were $3.1 million and $3.3 million, respectively, and are included in “accounts payable and accrued expenses” in our consolidated balance sheets. Any potential losses which exceed our estimates would result in a decrease in our net income. During both 2018 and 2017, we made payments from these reserves of $1.4 million. Although we consider the reserve to be adequate, there can be no assurance that the reserve will prove to be adequate over-time to cover losses due to the difference between the assumptions used to estimate the reserve and actual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letters of credit outstanding of approximately $1.3 million.</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2018 in connection with capital improvement, development, and redevelopment projects, the Trust has contractual obligations of approximately $568.2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2018:</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4,794</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4,815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4,971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184,803</w:t>
            </w:r>
          </w:p>
        </w:tc>
      </w:tr>
      <w:tr>
        <w:trPr>
          <w:trHeight w:val="237"/>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209,121</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2018, our estimated maximum liability upon exercise of the put option would range from approximately $78 million to $83 million.</w:t>
      </w:r>
    </w:p>
    <w:p>
      <w:pPr>
        <w:spacing w:after="0" w:line="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interest on or after December 27, 2021 at fair market value. Based on management’s current estimate of fair market value as of December 31, 2018, our estimated maximum liability upon exercise of the put option would range from approximately $13 million to $14 million.</w:t>
      </w:r>
    </w:p>
    <w:p>
      <w:pPr>
        <w:spacing w:after="0" w:line="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2018, our estimated maximum liability upon exercise of the put option would range from approximately $23 million to $26 million.</w:t>
      </w:r>
    </w:p>
    <w:p>
      <w:pPr>
        <w:spacing w:after="0" w:line="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 Based on management's current estimate of fair market value as of December 31, 2018, our estimated maximum liability upon exercise of the put option would range from $9 million to $10 million. On January 4, 2019, we acquired a portion of the noncontrolling interest in Brook 35 for $0.8 million, bringing the noncontrolling ownership interest down to 6.5%.</w:t>
      </w:r>
    </w:p>
    <w:p>
      <w:pPr>
        <w:spacing w:after="0" w:line="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738,423 downREIT operating partnership units are outstanding which have a total fair value of $87.2 million, based on our closing stock price on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2018, 2017 and 2016, 17,952 shares, 17,911 shares and 15,619 shares, respectively, were issued under the Plan.</w:t>
      </w:r>
    </w:p>
    <w:p>
      <w:pPr>
        <w:spacing w:after="0" w:line="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29, 2017, we issued 6,000,000 Depositary Shares, each representing 1/1000th interest of 5.0% Series C Cumulative Redeemable Preferred Share, par value $0.01 per share ("Series C Preferred Shares"), at the liquidation preference of $25.00 per depositary share (or $25,000 per Series C Preferred share) in an underwritten public offering, which were outstanding as of December 31, 2018 and 2017. The Series C 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 The net proceeds after underwriting fees and other costs were approximately $145.0 million for the year ended December 31, 2017.</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2018, 2017, and 2016, we had 399,896 shares of 5.417% Series 1 Cumulative Convertible Preferred Shares (“Series 1 Preferred Shares”) outstanding that have a liquidation preference of $25 per share and par value $0.01 per share. The Series 1 Preferred Shares accrue dividends at a rate of</w:t>
      </w:r>
    </w:p>
    <w:p>
      <w:pPr>
        <w:ind w:right="60"/>
        <w:spacing w:after="0" w:line="290" w:lineRule="auto"/>
        <w:rPr>
          <w:sz w:val="20"/>
          <w:szCs w:val="20"/>
          <w:color w:val="auto"/>
        </w:rPr>
      </w:pPr>
      <w:r>
        <w:rPr>
          <w:rFonts w:ascii="Arial" w:cs="Arial" w:eastAsia="Arial" w:hAnsi="Arial"/>
          <w:sz w:val="17"/>
          <w:szCs w:val="17"/>
          <w:color w:val="auto"/>
        </w:rPr>
        <w:t>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2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7, 2018, we replaced our existing at-the-market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of outstanding under our revolving credit facility and/or for general corporate purposes. For the year ended December 31, 2018, we issued 987,383 common shares at a weighted average price per share of $129.19 for net cash proceeds of $126.1 million and paid $1.3 million in commissions and $0.2 million in additional offering expenses related to the sales of these common shares. For the year ended December 31, 2017, we issued 826,517 common shares at a weighted average price per share of $132.56 for net cash proceeds of $108.3 million and paid $1.1 million in commissions and $0.2 million in additional offering expenses related to the sales of these common shares. As of December 31, 2018, we had the capacity to issue up to $272.4 million in common shares under our ATM equity program.</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9—DIVIDENDS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1.354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700" w:firstLine="35"/>
        <w:spacing w:after="0" w:line="540" w:lineRule="auto"/>
        <w:tabs>
          <w:tab w:leader="none" w:pos="282" w:val="left"/>
        </w:tabs>
        <w:numPr>
          <w:ilvl w:val="0"/>
          <w:numId w:val="69"/>
        </w:numPr>
        <w:rPr>
          <w:rFonts w:ascii="Arial" w:cs="Arial" w:eastAsia="Arial" w:hAnsi="Arial"/>
          <w:sz w:val="17"/>
          <w:szCs w:val="17"/>
          <w:color w:val="auto"/>
        </w:rPr>
      </w:pPr>
      <w:r>
        <w:rPr>
          <w:rFonts w:ascii="Arial" w:cs="Arial" w:eastAsia="Arial" w:hAnsi="Arial"/>
          <w:sz w:val="17"/>
          <w:szCs w:val="17"/>
          <w:color w:val="auto"/>
        </w:rPr>
        <w:t>Amount represents dividends per depositary share, each representing 1/1000th of a share. A summary of the income tax status of dividends per share paid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3.859</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3.800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dividend eligible for 15% rate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0.161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4.020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3.800</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1.300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dividend eligible for 15% rate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0.054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1.354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5.0% Series C Cumulative Redeemable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1.254</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dividend eligible for 15% rate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0.052</w:t>
            </w:r>
          </w:p>
        </w:tc>
        <w:tc>
          <w:tcPr>
            <w:tcW w:w="5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1.306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October 31, 2018, the Trustees declared a quarterly cash dividend of $1.02 per common share, payable January 15, 2019 to common shareholders of record on January 2,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10—OPERATING LEASES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December 31, 2018, our 104 predominantly retail shopping center and mixed-use properties are located in 12 states and the District of Columbia. There are approximately 3,000 commercial leases and 2,600 residential leases. Our commercial tenants range from sole proprietorships to national retailers and corporations. At December 31, 2018, no one tenant or corporate group of tenants accounted for more than 2.7% of annualized base rent.</w:t>
      </w:r>
    </w:p>
    <w:p>
      <w:pPr>
        <w:spacing w:after="0" w:line="11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2018, future minimum rentals from noncancelable commercial operating leases (excluding both tenant reimbursements of operating expenses and percentage rent based on tenants'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606,183</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561,265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490,979</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418,337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338,324</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1,391,705</w:t>
            </w:r>
          </w:p>
        </w:tc>
      </w:tr>
      <w:tr>
        <w:trPr>
          <w:trHeight w:val="237"/>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3,806,793</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11—COMPONENTS OF RENTAL INCOME AND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rents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Retail and commercial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Residential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 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rental income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Straight-line rents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amortization of above and below market leases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components of rental expenses are as follows: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616,137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585,178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549,552</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55,416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49,465</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178,333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171,528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158,042</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11,148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10,977</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18,986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18,191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18,547</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895,698</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841,461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786,583</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44"/>
        </w:trPr>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-2194560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-1851660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-1508760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44" w:lineRule="exact"/>
        <w:rPr>
          <w:sz w:val="20"/>
          <w:szCs w:val="20"/>
          <w:color w:val="auto"/>
        </w:rPr>
      </w:pPr>
    </w:p>
    <w:p>
      <w:pPr>
        <w:sectPr>
          <w:pgSz w:w="11900" w:h="16838" w:orient="portrait"/>
          <w:cols w:equalWidth="0" w:num="2">
            <w:col w:w="6360" w:space="720"/>
            <w:col w:w="434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Repairs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67,745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67,996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25,763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24,968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and costs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20,823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Payroll</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7,762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7,758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Ground rent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2,561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12,547</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rental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173,094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164,890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158,326</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6"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82"/>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10,986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May 2010, our shareholders approved the 2010 Performance Incentive Plan, as amended (the "2010 Plan”), which authorized the grant of share options, common shares and other share-based awards for up to 2,450,000 common shares of beneficial interest. As of December 31, 2018, we have grants outstanding under this one share-based compensation plan.</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Option awards under the plan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 granted in 2018 and 2016:</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r>
      <w:tr>
        <w:trPr>
          <w:trHeight w:val="250"/>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43"/>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Risk 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option activity for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Average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Under</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21"/>
                <w:szCs w:val="21"/>
                <w:color w:val="auto"/>
              </w:rPr>
            </w:pP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106,485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60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weighted-average grant-date fair value of options granted in 2018 and 2016 was $14.42 and $19.52 per share, respectively. The total cash received from options exercised during 2018, 2017 and 2016 was $4.6 million, $10.0 million and $4.5 million, respectively. The total intrinsic value of options exercised during the years ended December 31, 2018, 2017 and 2016 was $8.2 million, $10.7 million and $4.2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237,171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101,614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(46,391)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142.98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206,100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weighted-average grant-date fair value of stock awarded in 2018, 2017 and 2016 was $112.88, $139.31 and $152.70, respectively. The total vesting-date fair value of shares vested during the year ended December 31, 2018, 2017 and 2016, was $9.7 million, $12.5 million and $13.8 million, respectively.</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2018, there was $14.2 million of total unrecognized compensation cost related to unvested share-based compensation arrangements (i.e. options and unvested shares) granted under our plans. This cost is expected to be recognized over the next 5.4 years with a weighted-average period of 1.9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2018, common shares were awarded under various compensation plans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Beneficiary</w:t>
            </w:r>
          </w:p>
        </w:tc>
      </w:tr>
      <w:tr>
        <w:trPr>
          <w:trHeight w:val="25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 2019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Shares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February 5, 2019</w:t>
            </w:r>
          </w:p>
        </w:tc>
        <w:tc>
          <w:tcPr>
            <w:tcW w:w="1100" w:type="dxa"/>
            <w:vAlign w:val="bottom"/>
          </w:tcPr>
          <w:p>
            <w:pPr>
              <w:jc w:val="right"/>
              <w:spacing w:after="0"/>
              <w:rPr>
                <w:sz w:val="20"/>
                <w:szCs w:val="20"/>
                <w:color w:val="auto"/>
              </w:rPr>
            </w:pPr>
            <w:r>
              <w:rPr>
                <w:rFonts w:ascii="Arial" w:cs="Arial" w:eastAsia="Arial" w:hAnsi="Arial"/>
                <w:sz w:val="18"/>
                <w:szCs w:val="18"/>
                <w:color w:val="auto"/>
              </w:rPr>
              <w:t>103,658</w:t>
            </w:r>
          </w:p>
        </w:tc>
        <w:tc>
          <w:tcPr>
            <w:tcW w:w="2440" w:type="dxa"/>
            <w:vAlign w:val="bottom"/>
            <w:gridSpan w:val="2"/>
          </w:tcPr>
          <w:p>
            <w:pPr>
              <w:ind w:left="60"/>
              <w:spacing w:after="0"/>
              <w:rPr>
                <w:sz w:val="20"/>
                <w:szCs w:val="20"/>
                <w:color w:val="auto"/>
              </w:rPr>
            </w:pPr>
            <w:r>
              <w:rPr>
                <w:rFonts w:ascii="Arial" w:cs="Arial" w:eastAsia="Arial" w:hAnsi="Arial"/>
                <w:sz w:val="18"/>
                <w:szCs w:val="18"/>
                <w:color w:val="auto"/>
              </w:rPr>
              <w:t>Restricted Shares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3-5 years</w:t>
            </w:r>
          </w:p>
        </w:tc>
        <w:tc>
          <w:tcPr>
            <w:tcW w:w="318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13—SAVINGS AND RETIREMENT PLANS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savings and retirement plan in accordance with the provisions of Section 401(k) of the Code. Generally, employees can elect, at their discretion, to contribute a portion of their compensation up to a maximum of $18,500 for 2018 and $18,000 for 2017 and 2016.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2018, 2017 and 2016 was approximately $688,000, $632,000 and $602,000, respectively.</w:t>
      </w:r>
    </w:p>
    <w:p>
      <w:pPr>
        <w:spacing w:after="0" w:line="12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2018 and 2017, we are liable to participants for approximately $12.0 million and $12.8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9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2018, 2017, and 2016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in 2018 and 2017, respectively, and no anti-dilutive stock options in 2016.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8"/>
          </w:tcPr>
          <w:p>
            <w:pPr>
              <w:jc w:val="right"/>
              <w:ind w:right="593"/>
              <w:spacing w:after="0"/>
              <w:rPr>
                <w:sz w:val="20"/>
                <w:szCs w:val="20"/>
                <w:color w:val="auto"/>
              </w:rPr>
            </w:pPr>
            <w:r>
              <w:rPr>
                <w:rFonts w:ascii="Arial" w:cs="Arial" w:eastAsia="Arial" w:hAnsi="Arial"/>
                <w:sz w:val="14"/>
                <w:szCs w:val="14"/>
                <w:b w:val="1"/>
                <w:bCs w:val="1"/>
                <w:color w:val="auto"/>
                <w:w w:val="95"/>
              </w:rPr>
              <w:t>(In thousands, except per share data)</w:t>
            </w:r>
          </w:p>
        </w:tc>
        <w:tc>
          <w:tcPr>
            <w:tcW w:w="0" w:type="dxa"/>
            <w:vAlign w:val="bottom"/>
          </w:tcPr>
          <w:p>
            <w:pPr>
              <w:spacing w:after="0"/>
              <w:rPr>
                <w:sz w:val="1"/>
                <w:szCs w:val="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237,111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219,948</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59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Less: Income from continuing operations attributable to noncontrolling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from continuing operations available for common shareholders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221,020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217,534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232,935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286,514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248,667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73,274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73,302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72,233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71,049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229,992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212,282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218,777</w:t>
            </w:r>
          </w:p>
        </w:tc>
        <w:tc>
          <w:tcPr>
            <w:tcW w:w="0" w:type="dxa"/>
            <w:vAlign w:val="bottom"/>
          </w:tcPr>
          <w:p>
            <w:pPr>
              <w:spacing w:after="0"/>
              <w:rPr>
                <w:sz w:val="1"/>
                <w:szCs w:val="1"/>
                <w:color w:val="auto"/>
              </w:rPr>
            </w:pPr>
          </w:p>
        </w:tc>
      </w:tr>
      <w:tr>
        <w:trPr>
          <w:trHeight w:val="67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15—SELECTED QUARTERLY FINANCIAL DATA (UNAUDITED)</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0"/>
                <w:szCs w:val="20"/>
                <w:color w:val="auto"/>
              </w:rPr>
            </w:pPr>
            <w:r>
              <w:rPr>
                <w:rFonts w:ascii="Arial" w:cs="Arial" w:eastAsia="Arial" w:hAnsi="Arial"/>
                <w:sz w:val="18"/>
                <w:szCs w:val="18"/>
                <w:color w:val="auto"/>
              </w:rPr>
              <w:t>Summarized quarterly financial data is as follows: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center"/>
              <w:ind w:right="2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24"/>
                <w:szCs w:val="24"/>
                <w:color w:val="auto"/>
              </w:rPr>
            </w:pPr>
          </w:p>
        </w:tc>
        <w:tc>
          <w:tcPr>
            <w:tcW w:w="7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6"/>
              </w:rPr>
              <w:t>Second</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29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7"/>
          </w:tcPr>
          <w:p>
            <w:pPr>
              <w:jc w:val="right"/>
              <w:ind w:right="331"/>
              <w:spacing w:after="0"/>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225,405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224,902</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229,753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235,376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86,145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89,896</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90,342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62,931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65,533</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64,180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56,382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61,247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63,595</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62,558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59,237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61,584</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60,548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0.84</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0.84</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180"/>
        </w:trPr>
        <w:tc>
          <w:tcPr>
            <w:tcW w:w="5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center"/>
              <w:ind w:right="2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5"/>
                <w:szCs w:val="15"/>
                <w:color w:val="auto"/>
              </w:rPr>
            </w:pPr>
          </w:p>
        </w:tc>
        <w:tc>
          <w:tcPr>
            <w:tcW w:w="7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6"/>
              </w:rPr>
              <w:t>Second</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29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4"/>
                <w:szCs w:val="14"/>
                <w:b w:val="1"/>
                <w:bCs w:val="1"/>
                <w:color w:val="auto"/>
                <w:w w:val="98"/>
              </w:rPr>
              <w:t>Quarter</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7"/>
          </w:tcPr>
          <w:p>
            <w:pPr>
              <w:jc w:val="right"/>
              <w:ind w:right="331"/>
              <w:spacing w:after="0"/>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207,389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208,049</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217,953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223,957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81,544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83,090</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58,070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78,133</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108,882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52,785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56,190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76,291</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5"/>
              </w:rPr>
              <w:t>106,777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56,055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76,156</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106,600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48,645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share—diluted(2)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0.78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6" w:right="239" w:bottom="1440" w:gutter="0" w:footer="0" w:header="0"/>
          <w:type w:val="continuous"/>
        </w:sectPr>
      </w:pPr>
    </w:p>
    <w:bookmarkStart w:id="87" w:name="page88"/>
    <w:bookmarkEnd w:id="87"/>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660" w:right="60" w:hanging="652"/>
        <w:spacing w:after="0" w:line="25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First and second quarter 2018 include net gains of $3.3 million and $4.0 million, respectively, related to condominiums sold at our Assembly Row and Pike &amp; Rose properties. Third quarter 2018 includes a $3.1 million gain on sale of real estate from our residential building at our Chelsea Commons property. Fourth quarter 2018 includes a $1.6 million gain on sale of real estate from our Atlantic Plaza property. All of these transactions are further discussed in Note 3.</w:t>
      </w:r>
    </w:p>
    <w:p>
      <w:pPr>
        <w:spacing w:after="0" w:line="2" w:lineRule="exact"/>
        <w:rPr>
          <w:rFonts w:ascii="Arial" w:cs="Arial" w:eastAsia="Arial" w:hAnsi="Arial"/>
          <w:sz w:val="18"/>
          <w:szCs w:val="18"/>
          <w:color w:val="auto"/>
        </w:rPr>
      </w:pPr>
    </w:p>
    <w:p>
      <w:pPr>
        <w:ind w:left="660" w:hanging="652"/>
        <w:spacing w:after="0" w:line="252"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Second quarter 2017 includes a $15.4 million gain related to the sale of three ground lease parcels at our Assembly Row property in Somerville, Massachusetts. Third quarter 2017 includes a $50.8 million gain on sale of real estate from our 150 Post Street and North Lake Commons properties. Fourth quarter 2017 includes a $6.5 million gain related to the sale of a parcel of land at our Bethesda Row property. Additionally, second, third, and fourth quarter 2017 include net percentage-of-completion gains of $3.3 million, $0.6 million, and $1.5 million, respectively, related to condominiums under binding contract at our Assembly Row property. All of these transactions are further discussed in Note 3. Fourth quarter 2017 includes a $12.3 million early extinguishment of debt charge.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29TH PLACE</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w w:val="91"/>
              </w:rPr>
              <w:t>$4,097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10,211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18,863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11,777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10,195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30,656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40,851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13,410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1975 - 2001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ANDORRA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12,346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10,857</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23,203</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25,635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19,686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ASSEMBLY</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ROW/ASSEMBLY</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MARKETPLACE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 2012-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93,252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34,196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573,115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69,421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631,142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700,563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57,207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2005-2013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AZALEA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jc w:val="right"/>
              <w:ind w:right="38"/>
              <w:spacing w:after="0"/>
              <w:rPr>
                <w:sz w:val="20"/>
                <w:szCs w:val="20"/>
                <w:color w:val="auto"/>
              </w:rPr>
            </w:pPr>
            <w:r>
              <w:rPr>
                <w:rFonts w:ascii="Arial" w:cs="Arial" w:eastAsia="Arial" w:hAnsi="Arial"/>
                <w:sz w:val="14"/>
                <w:szCs w:val="14"/>
                <w:color w:val="auto"/>
              </w:rPr>
              <w:t>39,655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40,219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67,117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40,219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67,232</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107,451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3,586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14,466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25,570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40,918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43,601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21,709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BARCROFT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1963, 1972,</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1/13/16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12,617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29,603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12,617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34,075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46,692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3,232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1990, &amp; 2000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47,397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63,856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68,219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44,674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12/31/1985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BELL GARDENS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1990, 2003,</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8/2/17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jc w:val="right"/>
              <w:ind w:right="38"/>
              <w:spacing w:after="0"/>
              <w:rPr>
                <w:sz w:val="20"/>
                <w:szCs w:val="20"/>
                <w:color w:val="auto"/>
              </w:rPr>
            </w:pPr>
            <w:r>
              <w:rPr>
                <w:rFonts w:ascii="Arial" w:cs="Arial" w:eastAsia="Arial" w:hAnsi="Arial"/>
                <w:sz w:val="14"/>
                <w:szCs w:val="14"/>
                <w:color w:val="auto"/>
              </w:rPr>
              <w:t>12,492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24,403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85,947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24,403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86,130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110,533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11/29/18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BETHESDA ROW</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9/30/08,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46,579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35,406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146,423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43,904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184,504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228,408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79,230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1945-2008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BRICK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24,715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60,396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4,094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81,017</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85,111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49,569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12/28/1989</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BRISTOL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12,156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28,115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31,971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18,839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BROOK 35 (New</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Jersey)</w:t>
            </w:r>
          </w:p>
        </w:tc>
        <w:tc>
          <w:tcPr>
            <w:tcW w:w="780" w:type="dxa"/>
            <w:vAlign w:val="bottom"/>
          </w:tcPr>
          <w:p>
            <w:pPr>
              <w:jc w:val="right"/>
              <w:ind w:right="38"/>
              <w:spacing w:after="0"/>
              <w:rPr>
                <w:sz w:val="20"/>
                <w:szCs w:val="20"/>
                <w:color w:val="auto"/>
              </w:rPr>
            </w:pPr>
            <w:r>
              <w:rPr>
                <w:rFonts w:ascii="Arial" w:cs="Arial" w:eastAsia="Arial" w:hAnsi="Arial"/>
                <w:sz w:val="14"/>
                <w:szCs w:val="14"/>
                <w:color w:val="auto"/>
              </w:rPr>
              <w:t>11,283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7,128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38,355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2,548</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7,128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40,903</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48,031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6,860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1986/2004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CAMPUS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16,710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13,412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16,710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13,726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30,436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1,826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CHELSEA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8/25/06,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COMMONS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1/30/07,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jc w:val="right"/>
              <w:ind w:right="38"/>
              <w:spacing w:after="0"/>
              <w:rPr>
                <w:sz w:val="20"/>
                <w:szCs w:val="20"/>
                <w:color w:val="auto"/>
              </w:rPr>
            </w:pPr>
            <w:r>
              <w:rPr>
                <w:rFonts w:ascii="Arial" w:cs="Arial" w:eastAsia="Arial" w:hAnsi="Arial"/>
                <w:sz w:val="14"/>
                <w:szCs w:val="14"/>
                <w:color w:val="auto"/>
              </w:rPr>
              <w:t>5,729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8,689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1,626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8,669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21,112</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29,781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7,722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1962/1969/2008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12/16/15,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1990/1994,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COCOWALK</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1922-1973,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6/30/17,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35,063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71,476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23,773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34,406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95,906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130,312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8,379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COLORADO BLVD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12/31/96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4,071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10,209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14,280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19,542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11,088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1905-1988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CONGRESSIONAL</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7,424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92,870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102,067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103,087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56,821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1965/2003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COURTHOUSE</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CENTER (Maryland)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1,869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4,735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6,485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2,115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12/17/1997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CROSSROADS</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4,635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11,611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18,490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4,635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30,101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34,736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17,297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CROW CANYON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COMMONS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Late 1970's/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12/29/05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27,245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54,575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8,065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27,245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62,640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89,885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23,626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1998/2006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DARIEN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30,368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19,523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4,278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30,368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23,801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54,169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3,722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DEDHAM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12/31/93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14,841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12,918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14,925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14,841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27,843</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42,684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16,192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12/14/16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DEL MAR</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7/11/08,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 (Florida)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41,712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13,638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55,387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70,974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22,290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1982/1994/2007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1994-2001,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138,035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11,919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149,954</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179,033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30,706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2011/2012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12/21/2012</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EASTGATE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CROSSING (North</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5,775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27,193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32,968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34,576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20,680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12/18/1986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ELLISBURG (New</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Jersey)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11,309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18,877</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30,201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34,214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20,892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10/16/1992</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ESCONDIDO</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PROMENADE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15,829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16,057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31,886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51,003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17,459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FALLS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9/30/67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1,270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10,880</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12,129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13,948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8,897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1960/1962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10/05/72</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FEDERAL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17,895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42,145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60,040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70,256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44,673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6/29/1989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FINLEY SQUARE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(Illinois)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9,544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20,417</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29,961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39,213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21,116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4/27/1995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3,943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11,699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15,480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6,517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4/25/1980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FOURTH STREET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13,978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9,909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13,978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10,013</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23,991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1948,1975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5/19/2017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FREE STATE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SHOPPING</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 (Maryland)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18,581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41,658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5,271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18,581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46,929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65,510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5,530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FRESH MEADOWS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24,625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25,255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41,722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24,633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66,969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91,602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40,833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1946-1949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12/5/1997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FRIENDSHIP</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CENTER (District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20,803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4,610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25,413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38,109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12,944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9/21/2001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GAITHERSBURG</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SQUARE (Maryland)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7,701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5,271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15,716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5,973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22,715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28,688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18,358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GARDEN MARKET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4,829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7,173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12,002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8,030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7/28/1994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GOVERNOR</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PLAZA (Maryland)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4,905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20,363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25,268</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27,336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21,247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GRAHAM PARK</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15,096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19,277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34,441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35,610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27,995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GRATIOT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(Michigan)</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1,601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17,840</w:t>
            </w: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19,441</w:t>
            </w:r>
          </w:p>
        </w:tc>
        <w:tc>
          <w:tcPr>
            <w:tcW w:w="1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19,966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17,770</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3/29/1973</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25.75 years</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COLUMN 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Pr>
          <w:p>
            <w:pPr>
              <w:spacing w:after="0"/>
              <w:rPr>
                <w:sz w:val="11"/>
                <w:szCs w:val="11"/>
                <w:color w:val="auto"/>
              </w:rPr>
            </w:pPr>
          </w:p>
        </w:tc>
        <w:tc>
          <w:tcPr>
            <w:tcW w:w="10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close of period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Date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Building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2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w w:val="86"/>
              </w:rPr>
              <w:t>Encumbrance</w:t>
            </w:r>
          </w:p>
        </w:tc>
        <w:tc>
          <w:tcPr>
            <w:tcW w:w="10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620" w:type="dxa"/>
            <w:vAlign w:val="bottom"/>
          </w:tcPr>
          <w:p>
            <w:pPr>
              <w:jc w:val="right"/>
              <w:ind w:right="10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57"/>
        </w:trPr>
        <w:tc>
          <w:tcPr>
            <w:tcW w:w="122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GREENLAWN</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PLAZA (New</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20,869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10,590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21,249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31,839</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2,618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1975/2004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GREENWICH</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AVENUE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(Connecticut)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5,444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1,199</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7,484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14,127</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4,360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4/12/1995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HASTINGS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RANCH PLAZA</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1958, 1984, 2006,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22,393</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22,662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22,662</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1,476</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HAUPPAUGE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15,262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5,125</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8,419</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20,759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29,178</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12,449</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8/6/1998</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HERMOSA</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AVENUE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4,829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1,368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4,857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3,528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9/17/1997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HOLLYWOOD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3/22/99 &amp;</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BLVD (California)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16,920</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21,492</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8,370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38,342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46,712</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15,374</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1929/1991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6/18/99</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12/12/88,</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HUNTINGTON</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12,194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16,008</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18,537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12,194</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34,545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46,739</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16,411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HUNTINGTON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SQUARE (New</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York)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10,075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2,748</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506</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12,317</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12,823</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3,780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1980/2004-2007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8/16/2010</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IDYLWOOD</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10,026</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2,753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4,308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12,779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17,087</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9,325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4/15/1994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JORDAN DOWNS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PLAZA</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3,255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11,697</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14,952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14,952</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6/15/2018</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KINGS COURT</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10,714</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11,598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11,598</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9,139</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LANCASTER</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4,907</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2,103</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11,614</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432</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13,285</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13,717</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8,070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4/24/1980</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LANGHORNE</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2,974</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18,742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21,716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22,436</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15,900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LAUREL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22,525</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27,843</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7,462</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50,364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57,826</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38,950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8/15/1986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LAWRENCE</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PARK</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7/23/1980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6,150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8,491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18,572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6,161</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27,052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33,213</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22,745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&amp; 4/3/17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LEESBURG</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PLAZA (Virginia)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8,184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10,722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17,918</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28,640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36,824</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15,528</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9/15/1998</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LINDEN SQUARE</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79,382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19,247</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50,936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79,346</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70,219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149,565</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24,578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1960-2008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MELVILLE MALL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35,622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32,882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23,485</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56,367</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91,989</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14,734</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10/16/2006</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10/14/03 &amp;</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55,472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29,738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51,047</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47,401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29,738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98,448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128,186</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44,812</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MONTROSE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CROSSING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1960s, 1970s, 1996 &amp;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12/27/11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69,310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48,624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91,819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21,542</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113,361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161,985</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28,916</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12/19/13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MOUNT</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VERNON/SOUTH</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VALLEY/7770</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RICHMOND</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3/21/03,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HWY. (Virginia)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33,501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41,621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10,150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75,040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85,190</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36,802</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1966/1972/1987/2001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NORTH</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DARTMOUTH</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9,366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9,366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9,369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NORTHEAST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10,596</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21,987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32,582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33,735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21,280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OLD KEENE MILL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998</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7,151</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8,149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8,787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5,715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6/15/1976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OLD TOWN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 1997-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2,765</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29,663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32,428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35,848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22,076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10/22/1997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OLIVO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MISSION HILLS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15,048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46,732</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15,215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15,048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61,947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76,995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2017-2018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76"/>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PAN AM (Virginia)</w:t>
            </w: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8,694</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12,929</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7,892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8,695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20,820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29,515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15,818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PENTAGON ROW</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1998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2,955</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103,348</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106,303</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106,303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49,449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1999 - 2002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11/22/10</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PERRING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6,461</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21,898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28,359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24,001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5/18/82,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PIKE &amp; ROSE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1963, 2012-</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31,471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10,335</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524,922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27,929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538,799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566,728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36,543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7/31/12</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PIKE 7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3/31/97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14,970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22,799</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10,274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14,914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33,129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48,043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17,690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PLAZA DEL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MERCADO</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10,305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21,553</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14,705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10,305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36,258</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46,563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3,964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DEL SOL</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8,532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12,331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12,331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17,936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12/30/11,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PLAZA EL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6/14/13,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SEGUNDO/THE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7/26/13,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POINT (California)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124,244</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62,127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153,556</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70,231</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64,463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221,451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285,914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46,765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2006/2007/2016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12/27/13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PACOIMA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38,138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12,227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38,138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12,227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50,365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QUEEN ANNE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PLAZA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8,457</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6,525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14,982</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18,301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10,359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12/23/1994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QUINCE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ORCHARD</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7,949</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28,316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36,534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39,462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21,216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RIVERPOINT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CENTER (Illinois)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15,422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104,572</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15,422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105,236</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120,658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6,046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1989, 2012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3/31/2017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ROCKVILLE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TOWN SQUARE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4,436</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8,092</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44,099</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52,191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52,191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19,088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2005 - 2007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2006 - 2007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ROLLINGWOOD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APTS. (Maryland)</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20,326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2,246</w:t>
            </w:r>
          </w:p>
        </w:tc>
        <w:tc>
          <w:tcPr>
            <w:tcW w:w="880" w:type="dxa"/>
            <w:vAlign w:val="bottom"/>
            <w:gridSpan w:val="2"/>
          </w:tcPr>
          <w:p>
            <w:pPr>
              <w:jc w:val="right"/>
              <w:ind w:right="35"/>
              <w:spacing w:after="0"/>
              <w:rPr>
                <w:sz w:val="20"/>
                <w:szCs w:val="20"/>
                <w:color w:val="auto"/>
              </w:rPr>
            </w:pPr>
            <w:r>
              <w:rPr>
                <w:rFonts w:ascii="Arial" w:cs="Arial" w:eastAsia="Arial" w:hAnsi="Arial"/>
                <w:sz w:val="14"/>
                <w:szCs w:val="14"/>
                <w:color w:val="auto"/>
              </w:rPr>
              <w:t>8,302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10,326</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11,100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9,653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1/15/1971</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SAM'S PARK &amp;</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SHOP (District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6,319</w:t>
            </w:r>
          </w:p>
        </w:tc>
        <w:tc>
          <w:tcPr>
            <w:tcW w:w="8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2,697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9,016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13,856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5,518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Descriptions</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1958, 1964-</w:t>
            </w: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SAN ANTONIO</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1965, 1974-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1975, 1995-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39,920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1,919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39,920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34,385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74,305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6,207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1/9/2015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2009, 2011,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SANTANA ROW</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 2016-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40 - 50</w:t>
            </w: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66,682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7,502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887,246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53,217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908,213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961,430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200,651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SAUGUS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8,291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3,050</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11,341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15,724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7,092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10/1/1996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SYLMAR TOWNE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17,446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24,636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18,522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24,961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43,483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THE AVENUE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WHITE MARSH</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52,543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72,432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26,626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99,055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119,740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35,323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GROVE AT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SHREWSBURY</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1/1/2014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42,776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103,115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4,223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107,333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125,354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17,289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1988/1993/2007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THE SHOPPES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NOTTINGHAM</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SQUARE (Maryland)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12,849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13,252</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17,693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5,387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SHOPS AT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SUNSET PLACE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65,946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64,499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50,853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9,076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64,499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59,929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124,428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9,406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10/1/2015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THIRD STREET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PROMENADE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22,645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12,709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45,765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25,125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55,994</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81,119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34,348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1996-2000</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TOWER SHOPPNG</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 (Virginia)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10,518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4,399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7,280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22,087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9,328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1953-1960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TOWER SHOPS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1/19/11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(Florida)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29,940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43,390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24,259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29,962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67,627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97,589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18,494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6/13/14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TOWN CENTER OF</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NEW BRITAIN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12,285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13,897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5,482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TOWSON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RESIDENTIAL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(FLATS @703)</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20,047</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20,047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22,375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2016-2017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TROY HILLS (New</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5,193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30,974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5,865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33,428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39,293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22,105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TYSON'S STATION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453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3,890</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4,238</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4,731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3,869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1/17/1978</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 AT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SHIRLINGTON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 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6,704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14,808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41,784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62,119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66,353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29,320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WESTGATE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107,284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42,767</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150,051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156,370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54,800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3/31/2004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WHITE MARSH</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21,413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835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22,248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25,726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9,106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WHITE MARSH</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OTHER (Maryland)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31,953</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1,843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31,983</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33,942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COLUMN F</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87"/>
              </w:rPr>
              <w:t>Gross amount at which carried at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20" w:type="dxa"/>
            <w:vAlign w:val="bottom"/>
          </w:tcPr>
          <w:p>
            <w:pPr>
              <w:spacing w:after="0"/>
              <w:rPr>
                <w:sz w:val="15"/>
                <w:szCs w:val="15"/>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w w:val="90"/>
              </w:rPr>
              <w:t>Encumbrance</w:t>
            </w:r>
          </w:p>
        </w:tc>
        <w:tc>
          <w:tcPr>
            <w:tcW w:w="12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8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WILDWOOD</w:t>
            </w: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9,111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14,197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15,258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24,369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8,727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57"/>
        </w:trPr>
        <w:tc>
          <w:tcPr>
            <w:tcW w:w="15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GROVE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22,117</w:t>
            </w:r>
          </w:p>
        </w:tc>
        <w:tc>
          <w:tcPr>
            <w:tcW w:w="10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28,760</w:t>
            </w:r>
          </w:p>
        </w:tc>
        <w:tc>
          <w:tcPr>
            <w:tcW w:w="1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30,259</w:t>
            </w:r>
          </w:p>
        </w:tc>
        <w:tc>
          <w:tcPr>
            <w:tcW w:w="100" w:type="dxa"/>
            <w:vAlign w:val="bottom"/>
          </w:tcPr>
          <w:p>
            <w:pPr>
              <w:spacing w:after="0"/>
              <w:rPr>
                <w:sz w:val="16"/>
                <w:szCs w:val="16"/>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27,126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92,318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7,790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95,443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103,233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60,517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5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WYNNEWOOD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(Pennsylvania)</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8,055</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13,759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21,109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34,868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42,923</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24,551</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545,898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89"/>
              </w:rPr>
              <w:t>$ 1,459,321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1"/>
              </w:rPr>
              <w:t>$ 2,416,071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89"/>
              </w:rPr>
              <w:t>$ 3,944,080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89"/>
              </w:rPr>
              <w:t>$ 1,422,834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1"/>
              </w:rPr>
              <w:t>$ 6,396,638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1"/>
              </w:rPr>
              <w:t>$ 7,819,472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91"/>
              </w:rPr>
              <w:t>$ 2,059,143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6"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7"/>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2018</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Reconciliation of Total Cost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6,064,406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229,296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483,932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(18,561)</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555,476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492,541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(172,029)</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407,225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(237,754)</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2018 (1)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(1)  For Federal tax purposes, the aggregate cost basis is approximately $7.2 billion as of December 31, 2018.</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220" w:type="dxa"/>
            <w:vAlign w:val="bottom"/>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color w:val="auto"/>
                <w:w w:val="91"/>
              </w:rPr>
              <w:t>F-38</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7"/>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2018</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Reconciliation of Accumulated Depreciation and 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1,574,041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173,244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193,340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(46,030)</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215,969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(33,370)</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2018</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F-39</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Column B</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Column C</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D</w:t>
            </w:r>
          </w:p>
        </w:tc>
        <w:tc>
          <w:tcPr>
            <w:tcW w:w="240" w:type="dxa"/>
            <w:vAlign w:val="bottom"/>
          </w:tcPr>
          <w:p>
            <w:pPr>
              <w:spacing w:after="0"/>
              <w:rPr>
                <w:sz w:val="16"/>
                <w:szCs w:val="16"/>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Column E</w:t>
            </w:r>
          </w:p>
        </w:tc>
        <w:tc>
          <w:tcPr>
            <w:tcW w:w="18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Column F</w:t>
            </w:r>
          </w:p>
        </w:tc>
        <w:tc>
          <w:tcPr>
            <w:tcW w:w="16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G</w:t>
            </w:r>
          </w:p>
        </w:tc>
        <w:tc>
          <w:tcPr>
            <w:tcW w:w="16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Column H</w:t>
            </w:r>
          </w:p>
        </w:tc>
        <w:tc>
          <w:tcPr>
            <w:tcW w:w="0" w:type="dxa"/>
            <w:vAlign w:val="bottom"/>
          </w:tcPr>
          <w:p>
            <w:pPr>
              <w:spacing w:after="0"/>
              <w:rPr>
                <w:sz w:val="1"/>
                <w:szCs w:val="1"/>
                <w:color w:val="auto"/>
              </w:rPr>
            </w:pPr>
          </w:p>
        </w:tc>
      </w:tr>
      <w:tr>
        <w:trPr>
          <w:trHeight w:val="152"/>
        </w:trPr>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of Loans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Periodic Payment</w:t>
            </w:r>
          </w:p>
        </w:tc>
        <w:tc>
          <w:tcPr>
            <w:tcW w:w="24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2"/>
                <w:szCs w:val="12"/>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Face Amount</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Liens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of Mortgages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of Mortgages(1)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219"/>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2021</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8"/>
              </w:rPr>
              <w:t>21,179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21,179   (2)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May 2021</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tcPr>
          <w:p>
            <w:pPr>
              <w:spacing w:after="0"/>
              <w:rPr>
                <w:sz w:val="19"/>
                <w:szCs w:val="19"/>
                <w:color w:val="auto"/>
              </w:rPr>
            </w:pPr>
          </w:p>
        </w:tc>
        <w:tc>
          <w:tcPr>
            <w:tcW w:w="118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24"/>
              <w:spacing w:after="0"/>
              <w:rPr>
                <w:sz w:val="20"/>
                <w:szCs w:val="20"/>
                <w:color w:val="auto"/>
              </w:rPr>
            </w:pPr>
            <w:r>
              <w:rPr>
                <w:rFonts w:ascii="Arial" w:cs="Arial" w:eastAsia="Arial" w:hAnsi="Arial"/>
                <w:sz w:val="16"/>
                <w:szCs w:val="16"/>
                <w:color w:val="auto"/>
              </w:rPr>
              <w:t>9,250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buildings in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Philadelphia, PA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balloon payment due</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8"/>
              </w:rPr>
              <w:t>30,429</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30,429</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$30.4 million as of December 31, 2018.</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Table of Contents</w:t>
              </w:r>
            </w:hyperlink>
          </w:p>
        </w:tc>
        <w:tc>
          <w:tcPr>
            <w:tcW w:w="6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37"/>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rPr>
              <w:t>FEDERAL REALTY INVESTMENT TRUST</w:t>
            </w:r>
          </w:p>
        </w:tc>
        <w:tc>
          <w:tcPr>
            <w:tcW w:w="96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rPr>
              <w:t>SCHEDULE IV</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9"/>
              </w:rPr>
              <w:t>MORTGAGE LOANS ON REAL ESTATE - CONTINUED</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90"/>
              </w:rPr>
              <w:t>Three Years Ended December 31, 2018</w:t>
            </w:r>
          </w:p>
        </w:tc>
        <w:tc>
          <w:tcPr>
            <w:tcW w:w="9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40" w:type="dxa"/>
            <w:vAlign w:val="bottom"/>
            <w:gridSpan w:val="2"/>
          </w:tcPr>
          <w:p>
            <w:pPr>
              <w:jc w:val="center"/>
              <w:ind w:right="2150"/>
              <w:spacing w:after="0"/>
              <w:rPr>
                <w:sz w:val="20"/>
                <w:szCs w:val="20"/>
                <w:color w:val="auto"/>
              </w:rPr>
            </w:pPr>
            <w:r>
              <w:rPr>
                <w:rFonts w:ascii="Arial" w:cs="Arial" w:eastAsia="Arial" w:hAnsi="Arial"/>
                <w:sz w:val="18"/>
                <w:szCs w:val="18"/>
                <w:b w:val="1"/>
                <w:bCs w:val="1"/>
                <w:color w:val="auto"/>
                <w:w w:val="91"/>
              </w:rPr>
              <w:t>Reconciliation of Carrying Amount</w:t>
            </w:r>
          </w:p>
        </w:tc>
        <w:tc>
          <w:tcPr>
            <w:tcW w:w="96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72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(11,714)</w:t>
            </w:r>
          </w:p>
        </w:tc>
      </w:tr>
      <w:tr>
        <w:trPr>
          <w:trHeight w:val="237"/>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68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29,904</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6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Issuance of loans</w:t>
            </w:r>
          </w:p>
        </w:tc>
        <w:tc>
          <w:tcPr>
            <w:tcW w:w="6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68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30,429</w:t>
            </w:r>
          </w:p>
        </w:tc>
      </w:tr>
      <w:tr>
        <w:trPr>
          <w:trHeight w:val="257"/>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2018</w:t>
            </w:r>
          </w:p>
        </w:tc>
        <w:tc>
          <w:tcPr>
            <w:tcW w:w="68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30,429</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5"/>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40" w:type="dxa"/>
            <w:vAlign w:val="bottom"/>
            <w:gridSpan w:val="2"/>
          </w:tcPr>
          <w:p>
            <w:pPr>
              <w:jc w:val="center"/>
              <w:ind w:right="2170"/>
              <w:spacing w:after="0"/>
              <w:rPr>
                <w:sz w:val="20"/>
                <w:szCs w:val="20"/>
                <w:color w:val="auto"/>
              </w:rPr>
            </w:pPr>
            <w:r>
              <w:rPr>
                <w:rFonts w:ascii="Arial" w:cs="Arial" w:eastAsia="Arial" w:hAnsi="Arial"/>
                <w:sz w:val="18"/>
                <w:szCs w:val="18"/>
                <w:color w:val="auto"/>
                <w:w w:val="91"/>
              </w:rPr>
              <w:t>F-41</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20" w:type="dxa"/>
            <w:vAlign w:val="bottom"/>
            <w:gridSpan w:val="4"/>
          </w:tcPr>
          <w:p>
            <w:pPr>
              <w:ind w:left="3060"/>
              <w:spacing w:after="0"/>
              <w:rPr>
                <w:sz w:val="20"/>
                <w:szCs w:val="20"/>
                <w:color w:val="auto"/>
              </w:rPr>
            </w:pPr>
            <w:r>
              <w:rPr>
                <w:rFonts w:ascii="Arial" w:cs="Arial" w:eastAsia="Arial" w:hAnsi="Arial"/>
                <w:sz w:val="18"/>
                <w:szCs w:val="18"/>
                <w:b w:val="1"/>
                <w:bCs w:val="1"/>
                <w:color w:val="auto"/>
              </w:rPr>
              <w:t>FEDERAL REALTY INVESTMENT TRUST AND SUBSIDIARIES</w:t>
            </w:r>
          </w:p>
        </w:tc>
      </w:tr>
      <w:tr>
        <w:trPr>
          <w:trHeight w:val="573"/>
        </w:trPr>
        <w:tc>
          <w:tcPr>
            <w:tcW w:w="3060" w:type="dxa"/>
            <w:vAlign w:val="bottom"/>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2440" w:type="dxa"/>
            <w:vAlign w:val="bottom"/>
          </w:tcPr>
          <w:p>
            <w:pPr>
              <w:spacing w:after="0"/>
              <w:rPr>
                <w:sz w:val="20"/>
                <w:szCs w:val="20"/>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7"/>
              </w:rPr>
              <w:t>ORGANIZATION</w:t>
            </w:r>
          </w:p>
        </w:tc>
      </w:tr>
      <w:tr>
        <w:trPr>
          <w:trHeight w:val="27"/>
        </w:trPr>
        <w:tc>
          <w:tcPr>
            <w:tcW w:w="3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Associates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Andorra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Governor Plaza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Shopping Center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Berman Enterprises II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Escondido Promenade,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Leasing &amp; Development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Congressional Plaza Associates,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Pike 7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Federal/LPF GP,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FRLP,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East Bay Bridge,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East Bay Bridge Retail,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Management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Solar,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Santana Row ROF,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Assembly Square,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Linden Square,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White Marsh,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Cordon Fairfield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Campbell-Philadelphia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Shoppes at 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Properties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Limited Partnership, LLLP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The Avenue at White Marsh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NVI-Avenue,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Florida,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Boston,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West Coast,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Borrower,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CA Operations,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bl>
    <w:p>
      <w:pPr>
        <w:sectPr>
          <w:pgSz w:w="11900" w:h="16838" w:orient="portrait"/>
          <w:cols w:equalWidth="0" w:num="1">
            <w:col w:w="11420"/>
          </w:cols>
          <w:pgMar w:left="240" w:top="742" w:right="239" w:bottom="0" w:gutter="0" w:footer="0" w:header="0"/>
        </w:sectPr>
      </w:pPr>
    </w:p>
    <w:bookmarkStart w:id="99" w:name="page100"/>
    <w:bookmarkEnd w:id="99"/>
    <w:p>
      <w:pPr>
        <w:spacing w:after="0"/>
        <w:tabs>
          <w:tab w:leader="none" w:pos="8080" w:val="left"/>
        </w:tabs>
        <w:rPr>
          <w:sz w:val="20"/>
          <w:szCs w:val="20"/>
          <w:color w:val="auto"/>
        </w:rPr>
      </w:pPr>
      <w:r>
        <w:rPr>
          <w:rFonts w:ascii="Arial" w:cs="Arial" w:eastAsia="Arial" w:hAnsi="Arial"/>
          <w:sz w:val="20"/>
          <w:szCs w:val="20"/>
          <w:color w:val="auto"/>
        </w:rPr>
        <w:t>FR Huntington Square, LLC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0179"/>
          </w:cols>
          <w:pgMar w:left="280" w:top="122" w:right="1440"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FR Darien,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Hastings Ranch,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Riverpoint,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SRI/CM 4th Street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Assembly Row 5B,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Grove Fee Owner,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Limited Partnership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Sea Girt Limited Partnership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Operator,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3112 Commodore Plaza Investments,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3131 Commodore Plaza Investments,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3419 Main Highway Investments,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Federal/Lion Venture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Atlantic Plaza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380" w:space="720"/>
            <w:col w:w="2079"/>
          </w:cols>
          <w:pgMar w:left="280" w:top="744" w:right="1440" w:bottom="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FLV Campus Plaza 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ectPr>
          <w:pgSz w:w="11900" w:h="16838" w:orient="portrait"/>
          <w:cols w:equalWidth="0" w:num="2">
            <w:col w:w="7380" w:space="720"/>
            <w:col w:w="2079"/>
          </w:cols>
          <w:pgMar w:left="280" w:top="122" w:right="1440" w:bottom="1440" w:gutter="0" w:footer="0" w:header="0"/>
        </w:sectPr>
      </w:pPr>
    </w:p>
    <w:p>
      <w:pPr>
        <w:spacing w:after="0"/>
        <w:rPr>
          <w:sz w:val="20"/>
          <w:szCs w:val="20"/>
          <w:color w:val="auto"/>
        </w:rPr>
      </w:pPr>
      <w:r>
        <w:rPr>
          <w:rFonts w:ascii="Arial" w:cs="Arial" w:eastAsia="Arial" w:hAnsi="Arial"/>
          <w:sz w:val="18"/>
          <w:szCs w:val="18"/>
          <w:color w:val="auto"/>
        </w:rPr>
        <w:t>FLV Plaza del Mercado,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122" w:right="1440"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color w:val="auto"/>
        </w:rPr>
        <w:t>FLV Plaza del Mercado,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Limited Partnership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South Gate Joint Venture,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Azalea Joint Venture,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Alameda,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Bell Gardens,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El Monte,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El Portal,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Los Jardines,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Mission Hills,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SCP,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Sylmar,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TRS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Plaza Pacoima,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Olivo Land,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Primestor/FRIT Jordan Downs JV,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Primestor Jordan Downs,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Primestor Development Investment,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RevUp,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744"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issued our reports dated February 13, 2019, with respect to the consolidated financial statements, schedules, and internal control over financial reporting included in the Annual Report of Federal Realty Investment Trust on Form 10-K for the year ended December 31, 2018. We consent to the incorporation by reference of said reports in the Registration Statements of Federal Realty Investment Trust on Form S-3 (File No. 333-224701, File No. 333-224721, File No. 333-224807, File No. 333-217607, File No. 333-124195, and File No. 033-63687) and on Form S-8 (File No. 333-166531, File No. 333-147080, File No. 333-147081, and File No. 333-60364).</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13, 2019</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880" w:hanging="46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13, 2019</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13, 2019</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2018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13, 2019</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2018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13, 2019</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lvl w:ilvl="1">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2"/>
    </w:lvl>
  </w:abstractNum>
  <w:abstractNum w:abstractNumId="27">
    <w:nsid w:val="79A1DEAA"/>
    <w:multiLevelType w:val="hybridMultilevel"/>
    <w:lvl w:ilvl="0">
      <w:lvlJc w:val="left"/>
      <w:lvlText w:val="(%1)"/>
      <w:numFmt w:val="decimal"/>
      <w:start w:val="3"/>
    </w:lvl>
  </w:abstractNum>
  <w:abstractNum w:abstractNumId="28">
    <w:nsid w:val="75C6C33A"/>
    <w:multiLevelType w:val="hybridMultilevel"/>
    <w:lvl w:ilvl="0">
      <w:lvlJc w:val="left"/>
      <w:lvlText w:val="(%1)"/>
      <w:numFmt w:val="decimal"/>
      <w:start w:val="4"/>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lowerLetter"/>
      <w:start w:val="1"/>
    </w:lvl>
    <w:lvl w:ilvl="1">
      <w:lvlJc w:val="left"/>
      <w:lvlText w:val="(%2)"/>
      <w:numFmt w:val="lowerLetter"/>
      <w:start w:val="3"/>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2"/>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1)"/>
      <w:numFmt w:val="lowerLetter"/>
      <w:start w:val="2"/>
    </w:lvl>
  </w:abstractNum>
  <w:abstractNum w:abstractNumId="62">
    <w:nsid w:val="6590700B"/>
    <w:multiLevelType w:val="hybridMultilevel"/>
    <w:lvl w:ilvl="0">
      <w:lvlJc w:val="left"/>
      <w:lvlText w:val="%1"/>
      <w:numFmt w:val="decimal"/>
      <w:start w:val="10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14" Type="http://schemas.openxmlformats.org/officeDocument/2006/relationships/hyperlink" Target="http://www.sec.gov/Archives/edgar/data/34903/000119312509131764/dex31.htm" TargetMode="External"/><Relationship Id="rId15" Type="http://schemas.openxmlformats.org/officeDocument/2006/relationships/hyperlink" Target="http://www.sec.gov/Archives/edgar/data/34903/000003490317000008/frt-12312016xex32.htm" TargetMode="External"/><Relationship Id="rId16" Type="http://schemas.openxmlformats.org/officeDocument/2006/relationships/hyperlink" Target="http://www.sec.gov/Archives/edgar/data/34903/000095010900001048/0000950109-00-001048.txt" TargetMode="External"/><Relationship Id="rId17" Type="http://schemas.openxmlformats.org/officeDocument/2006/relationships/hyperlink" Target="http://www.sec.gov/Archives/edgar/data/34903/000119312507053506/dex41.htm" TargetMode="External"/><Relationship Id="rId18" Type="http://schemas.openxmlformats.org/officeDocument/2006/relationships/hyperlink" Target="http://www.sec.gov/Archives/edgar/data/34903/0000950109-98-004542.txt" TargetMode="External"/><Relationship Id="rId19" Type="http://schemas.openxmlformats.org/officeDocument/2006/relationships/hyperlink" Target="http://www.sec.gov/Archives/edgar/data/34903/000119312517299279/d453589dex32.htm" TargetMode="External"/><Relationship Id="rId20" Type="http://schemas.openxmlformats.org/officeDocument/2006/relationships/hyperlink" Target="http://www.sec.gov/Archives/edgar/data/34903/000119312517299279/d453589dex41.htm" TargetMode="External"/><Relationship Id="rId21" Type="http://schemas.openxmlformats.org/officeDocument/2006/relationships/hyperlink" Target="http://www.sec.gov/Archives/edgar/data/34903/000119312517299279/d453589dex43.htm" TargetMode="External"/><Relationship Id="rId22" Type="http://schemas.openxmlformats.org/officeDocument/2006/relationships/hyperlink" Target="http://www.sec.gov/Archives/edgar/data/34903/0000928385-99-001432.txt" TargetMode="External"/><Relationship Id="rId23" Type="http://schemas.openxmlformats.org/officeDocument/2006/relationships/hyperlink" Target="http://www.sec.gov/Archives/edgar/data/34903/000119312505043736/dex1012.htm" TargetMode="External"/><Relationship Id="rId24" Type="http://schemas.openxmlformats.org/officeDocument/2006/relationships/hyperlink" Target="http://www.sec.gov/Archives/edgar/data/34903/000092838501500706/dex991.txt" TargetMode="External"/><Relationship Id="rId25" Type="http://schemas.openxmlformats.org/officeDocument/2006/relationships/hyperlink" Target="http://www.sec.gov/Archives/edgar/data/34903/000119312505043736/dex1026.htm" TargetMode="External"/><Relationship Id="rId26" Type="http://schemas.openxmlformats.org/officeDocument/2006/relationships/hyperlink" Target="http://www.sec.gov/Archives/edgar/data/34903/000119312505151516/dex1026.htm" TargetMode="External"/><Relationship Id="rId27" Type="http://schemas.openxmlformats.org/officeDocument/2006/relationships/hyperlink" Target="http://www.sec.gov/Archives/edgar/data/34903/000119312505043736/dex1027.htm" TargetMode="External"/><Relationship Id="rId28" Type="http://schemas.openxmlformats.org/officeDocument/2006/relationships/hyperlink" Target="http://www.sec.gov/Archives/edgar/data/34903/000119312505043736/dex1028.htm" TargetMode="External"/><Relationship Id="rId29" Type="http://schemas.openxmlformats.org/officeDocument/2006/relationships/hyperlink" Target="http://www.sec.gov/Archives/edgar/data/34903/000119312511036800/dex1035.htm" TargetMode="External"/><Relationship Id="rId30" Type="http://schemas.openxmlformats.org/officeDocument/2006/relationships/hyperlink" Target="http://www.sec.gov/Archives/edgar/data/34903/000119312506044561/dex1032.htm" TargetMode="External"/><Relationship Id="rId31" Type="http://schemas.openxmlformats.org/officeDocument/2006/relationships/hyperlink" Target="http://www.sec.gov/Archives/edgar/data/34903/000119312507168241/dex1034.htm" TargetMode="External"/><Relationship Id="rId32" Type="http://schemas.openxmlformats.org/officeDocument/2006/relationships/hyperlink" Target="http://www.sec.gov/Archives/edgar/data/34903/000119312509038641/dex1026.htm" TargetMode="External"/><Relationship Id="rId33" Type="http://schemas.openxmlformats.org/officeDocument/2006/relationships/hyperlink" Target="http://www.sec.gov/Archives/edgar/data/34903/000119312509038641/dex1027.htm" TargetMode="External"/><Relationship Id="rId34" Type="http://schemas.openxmlformats.org/officeDocument/2006/relationships/hyperlink" Target="http://www.sec.gov/Archives/edgar/data/34903/000119312509038641/dex1028.htm" TargetMode="External"/><Relationship Id="rId35" Type="http://schemas.openxmlformats.org/officeDocument/2006/relationships/hyperlink" Target="http://www.sec.gov/Archives/edgar/data/34903/000119312509038641/dex1030.htm" TargetMode="External"/><Relationship Id="rId36" Type="http://schemas.openxmlformats.org/officeDocument/2006/relationships/hyperlink" Target="http://www.sec.gov/Archives/edgar/data/34903/000119312510065274/ddef14a.htm#toc85041_80" TargetMode="External"/><Relationship Id="rId37" Type="http://schemas.openxmlformats.org/officeDocument/2006/relationships/hyperlink" Target="http://www.sec.gov/Archives/edgar/data/34903/000119312510246216/dex1036.htm" TargetMode="External"/><Relationship Id="rId38" Type="http://schemas.openxmlformats.org/officeDocument/2006/relationships/hyperlink" Target="http://www.sec.gov/Archives/edgar/data/34903/000119312511036800/dex1034.htm" TargetMode="External"/><Relationship Id="rId39" Type="http://schemas.openxmlformats.org/officeDocument/2006/relationships/hyperlink" Target="http://www.sec.gov/Archives/edgar/data/34903/000119312511036800/dex1038.htm" TargetMode="External"/><Relationship Id="rId40" Type="http://schemas.openxmlformats.org/officeDocument/2006/relationships/hyperlink" Target="http://www.sec.gov/Archives/edgar/data/34903/000119312511036800/dex1039.htm" TargetMode="External"/><Relationship Id="rId41" Type="http://schemas.openxmlformats.org/officeDocument/2006/relationships/hyperlink" Target="http://www.sec.gov/Archives/edgar/data/34903/000119312511036800/dex1040.htm" TargetMode="External"/><Relationship Id="rId42" Type="http://schemas.openxmlformats.org/officeDocument/2006/relationships/hyperlink" Target="http://www.sec.gov/Archives/edgar/data/34903/000119312511036800/dex1041.htm" TargetMode="External"/><Relationship Id="rId43" Type="http://schemas.openxmlformats.org/officeDocument/2006/relationships/hyperlink" Target="http://www.sec.gov/Archives/edgar/data/34903/000119312511186005/dex101.htm" TargetMode="External"/><Relationship Id="rId44" Type="http://schemas.openxmlformats.org/officeDocument/2006/relationships/hyperlink" Target="http://www.sec.gov/Archives/edgar/data/34903/000119312511322933/d260701dex101.htm" TargetMode="External"/><Relationship Id="rId45" Type="http://schemas.openxmlformats.org/officeDocument/2006/relationships/hyperlink" Target="http://www.sec.gov/Archives/edgar/data/34903/000003490313000006/frt-12312012xex1035.htm" TargetMode="External"/><Relationship Id="rId46" Type="http://schemas.openxmlformats.org/officeDocument/2006/relationships/hyperlink" Target="http://www.sec.gov/Archives/edgar/data/34903/000003490313000006/frt-12312012xex1036.htm" TargetMode="External"/><Relationship Id="rId47" Type="http://schemas.openxmlformats.org/officeDocument/2006/relationships/hyperlink" Target="http://www.sec.gov/Archives/edgar/data/34903/000003490313000006/frt-12312012xex1037.htm" TargetMode="External"/><Relationship Id="rId48" Type="http://schemas.openxmlformats.org/officeDocument/2006/relationships/hyperlink" Target="http://www.sec.gov/Archives/edgar/data/34903/000003490313000006/frt-12312012xex1038.htm" TargetMode="External"/><Relationship Id="rId49" Type="http://schemas.openxmlformats.org/officeDocument/2006/relationships/hyperlink" Target="http://www.sec.gov/Archives/edgar/data/34903/000003490313000012/frt-04262013ex101.htm" TargetMode="External"/><Relationship Id="rId50" Type="http://schemas.openxmlformats.org/officeDocument/2006/relationships/hyperlink" Target="http://www.sec.gov/Archives/edgar/data/34903/000003490313000018/frt-03312013xex1040.htm" TargetMode="External"/><Relationship Id="rId51" Type="http://schemas.openxmlformats.org/officeDocument/2006/relationships/hyperlink" Target="http://www.sec.gov/Archives/edgar/data/34903/000003490314000032/frt-08282014ex101.htm" TargetMode="External"/><Relationship Id="rId52" Type="http://schemas.openxmlformats.org/officeDocument/2006/relationships/hyperlink" Target="http://www.sec.gov/Archives/edgar/data/34903/000003490316000053/frt-042016ex101.htm" TargetMode="External"/><Relationship Id="rId53" Type="http://schemas.openxmlformats.org/officeDocument/2006/relationships/hyperlink" Target="http://www.sec.gov/Archives/edgar/data/34903/000003490316000054/frt-042016ex101tl.htm" TargetMode="External"/><Relationship Id="rId54" Type="http://schemas.openxmlformats.org/officeDocument/2006/relationships/hyperlink" Target="http://www.sec.gov/Archives/edgar/data/34903/000003490316000072/frt-09302016xex10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2019-12-28T16:31:52Z</dcterms:created>
  <dcterms:modified xsi:type="dcterms:W3CDTF">2019-12-28T16:31:52Z</dcterms:modified>
</cp:coreProperties>
</file>