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203835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191135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000" w:type="dxa"/>
            <w:vAlign w:val="bottom"/>
          </w:tcPr>
          <w:p>
            <w:pPr>
              <w:jc w:val="center"/>
              <w:ind w:right="2281"/>
              <w:spacing w:after="0"/>
              <w:rPr>
                <w:sz w:val="20"/>
                <w:szCs w:val="20"/>
                <w:color w:val="auto"/>
              </w:rPr>
            </w:pPr>
            <w:r>
              <w:rPr>
                <w:rFonts w:ascii="Arial" w:cs="Arial" w:eastAsia="Arial" w:hAnsi="Arial"/>
                <w:sz w:val="18"/>
                <w:szCs w:val="18"/>
                <w:b w:val="1"/>
                <w:bCs w:val="1"/>
                <w:color w:val="auto"/>
                <w:w w:val="96"/>
              </w:rPr>
              <w:t>Maryland</w:t>
            </w:r>
          </w:p>
        </w:tc>
        <w:tc>
          <w:tcPr>
            <w:tcW w:w="2320" w:type="dxa"/>
            <w:vAlign w:val="bottom"/>
          </w:tcPr>
          <w:p>
            <w:pPr>
              <w:jc w:val="center"/>
              <w:ind w:right="1122"/>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261"/>
              <w:spacing w:after="0"/>
              <w:rPr>
                <w:sz w:val="20"/>
                <w:szCs w:val="20"/>
                <w:color w:val="auto"/>
              </w:rPr>
            </w:pPr>
            <w:r>
              <w:rPr>
                <w:rFonts w:ascii="Arial" w:cs="Arial" w:eastAsia="Arial" w:hAnsi="Arial"/>
                <w:sz w:val="18"/>
                <w:szCs w:val="18"/>
                <w:b w:val="1"/>
                <w:bCs w:val="1"/>
                <w:color w:val="auto"/>
                <w:w w:val="89"/>
              </w:rPr>
              <w:t>52-0782497</w:t>
            </w:r>
          </w:p>
        </w:tc>
      </w:tr>
      <w:tr>
        <w:trPr>
          <w:trHeight w:val="149"/>
        </w:trPr>
        <w:tc>
          <w:tcPr>
            <w:tcW w:w="4000" w:type="dxa"/>
            <w:vAlign w:val="bottom"/>
          </w:tcPr>
          <w:p>
            <w:pPr>
              <w:jc w:val="center"/>
              <w:ind w:right="22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80" w:type="dxa"/>
            <w:vAlign w:val="bottom"/>
          </w:tcPr>
          <w:p>
            <w:pPr>
              <w:jc w:val="center"/>
              <w:ind w:left="12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00" w:type="dxa"/>
            <w:vAlign w:val="bottom"/>
          </w:tcPr>
          <w:p>
            <w:pPr>
              <w:jc w:val="center"/>
              <w:ind w:right="2281"/>
              <w:spacing w:after="0"/>
              <w:rPr>
                <w:sz w:val="20"/>
                <w:szCs w:val="20"/>
                <w:color w:val="auto"/>
              </w:rPr>
            </w:pPr>
            <w:r>
              <w:rPr>
                <w:rFonts w:ascii="Arial" w:cs="Arial" w:eastAsia="Arial" w:hAnsi="Arial"/>
                <w:sz w:val="14"/>
                <w:szCs w:val="14"/>
                <w:b w:val="1"/>
                <w:bCs w:val="1"/>
                <w:color w:val="auto"/>
                <w:w w:val="92"/>
              </w:rPr>
              <w:t>of incorporation)</w:t>
            </w:r>
          </w:p>
        </w:tc>
        <w:tc>
          <w:tcPr>
            <w:tcW w:w="2320" w:type="dxa"/>
            <w:vAlign w:val="bottom"/>
          </w:tcPr>
          <w:p>
            <w:pPr>
              <w:jc w:val="center"/>
              <w:ind w:right="1142"/>
              <w:spacing w:after="0"/>
              <w:rPr>
                <w:sz w:val="20"/>
                <w:szCs w:val="20"/>
                <w:color w:val="auto"/>
              </w:rPr>
            </w:pPr>
            <w:r>
              <w:rPr>
                <w:rFonts w:ascii="Arial" w:cs="Arial" w:eastAsia="Arial" w:hAnsi="Arial"/>
                <w:sz w:val="14"/>
                <w:szCs w:val="14"/>
                <w:b w:val="1"/>
                <w:bCs w:val="1"/>
                <w:color w:val="auto"/>
                <w:w w:val="95"/>
              </w:rPr>
              <w:t>File Number)</w:t>
            </w:r>
          </w:p>
        </w:tc>
        <w:tc>
          <w:tcPr>
            <w:tcW w:w="2480" w:type="dxa"/>
            <w:vAlign w:val="bottom"/>
          </w:tcPr>
          <w:p>
            <w:pPr>
              <w:jc w:val="center"/>
              <w:ind w:left="1261"/>
              <w:spacing w:after="0"/>
              <w:rPr>
                <w:sz w:val="20"/>
                <w:szCs w:val="20"/>
                <w:color w:val="auto"/>
              </w:rPr>
            </w:pPr>
            <w:r>
              <w:rPr>
                <w:rFonts w:ascii="Arial" w:cs="Arial" w:eastAsia="Arial" w:hAnsi="Arial"/>
                <w:sz w:val="14"/>
                <w:szCs w:val="14"/>
                <w:b w:val="1"/>
                <w:bCs w:val="1"/>
                <w:color w:val="auto"/>
                <w:w w:val="96"/>
              </w:rPr>
              <w:t>Identification No.)</w:t>
            </w:r>
          </w:p>
        </w:tc>
      </w:tr>
      <w:tr>
        <w:trPr>
          <w:trHeight w:val="394"/>
        </w:trPr>
        <w:tc>
          <w:tcPr>
            <w:tcW w:w="632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1626 East Jefferson Street, Rockville, Maryland</w:t>
            </w:r>
          </w:p>
        </w:tc>
        <w:tc>
          <w:tcPr>
            <w:tcW w:w="2480" w:type="dxa"/>
            <w:vAlign w:val="bottom"/>
          </w:tcPr>
          <w:p>
            <w:pPr>
              <w:jc w:val="center"/>
              <w:ind w:left="1261"/>
              <w:spacing w:after="0"/>
              <w:rPr>
                <w:sz w:val="20"/>
                <w:szCs w:val="20"/>
                <w:color w:val="auto"/>
              </w:rPr>
            </w:pPr>
            <w:r>
              <w:rPr>
                <w:rFonts w:ascii="Arial" w:cs="Arial" w:eastAsia="Arial" w:hAnsi="Arial"/>
                <w:sz w:val="18"/>
                <w:szCs w:val="18"/>
                <w:b w:val="1"/>
                <w:bCs w:val="1"/>
                <w:color w:val="auto"/>
                <w:w w:val="89"/>
              </w:rPr>
              <w:t>20852-4041</w:t>
            </w:r>
          </w:p>
        </w:tc>
      </w:tr>
      <w:tr>
        <w:trPr>
          <w:trHeight w:val="186"/>
        </w:trPr>
        <w:tc>
          <w:tcPr>
            <w:tcW w:w="4000" w:type="dxa"/>
            <w:vAlign w:val="bottom"/>
          </w:tcPr>
          <w:p>
            <w:pPr>
              <w:jc w:val="center"/>
              <w:ind w:left="1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80" w:type="dxa"/>
            <w:vAlign w:val="bottom"/>
          </w:tcPr>
          <w:p>
            <w:pPr>
              <w:jc w:val="center"/>
              <w:ind w:left="126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197485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Symbol</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Shares of Beneficial Interest, $.01 par</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FRT</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 Rights</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Depositary Shares, each representing 1/1000 of</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FRT-C</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a share of 5.00% Series C Cumulative</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Redeemable Preferred Stock, $.01 par value per</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3"/>
              </w:rPr>
              <w:t>share</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9"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August 19, 2019, Federal Realty Investment Trust (the “Registrant”) entered into an underwriting agreement with BofA Securities, Inc., Jefferies LLC and Wells Fargo Securities, LLC, as representatives of the several underwriters named in Schedule I to the related pricing agreement, whereby the Registrant agreed to issue and sell $100,000,000 aggregate principal amount of 3.20% Notes due 2029 (the “Notes”) in an underwritten public offering.</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offering of the Notes closed on August 21, 2019. The Notes are of the same series as the 3.20% Notes due 2029 that the Registrant first issued on June 7, 2019 and are governed by the Indenture, dated as of September 1, 1998, between the Registrant and U.S. Bank National Association (successor trustee to Wachovia Bank, National Association (successor trustee to First Union National Bank)).</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Notes are senior unsecured obligations of the Registrant and rank equally with all of the Registrant’s other senior unsecured indebtedness. The Notes bear interest at 3.20% per annum, and interest is payable on June 15 and December 15 of each year, beginning on December 15, 2019. The Notes will mature on June 15, 2029 (unless redeemed prior to such date in accordance with their terms).</w:t>
      </w:r>
    </w:p>
    <w:p>
      <w:pPr>
        <w:spacing w:after="0" w:line="2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8"/>
              </w:rPr>
              <w:t>Exhibit</w:t>
            </w:r>
          </w:p>
        </w:tc>
        <w:tc>
          <w:tcPr>
            <w:tcW w:w="2200" w:type="dxa"/>
            <w:vAlign w:val="bottom"/>
          </w:tcPr>
          <w:p>
            <w:pPr>
              <w:spacing w:after="0"/>
              <w:rPr>
                <w:sz w:val="14"/>
                <w:szCs w:val="14"/>
                <w:color w:val="auto"/>
              </w:rPr>
            </w:pPr>
          </w:p>
        </w:tc>
        <w:tc>
          <w:tcPr>
            <w:tcW w:w="7660" w:type="dxa"/>
            <w:vAlign w:val="bottom"/>
            <w:gridSpan w:val="11"/>
            <w:vMerge w:val="restart"/>
          </w:tcPr>
          <w:p>
            <w:pPr>
              <w:ind w:left="2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 w:type="dxa"/>
            <w:vAlign w:val="bottom"/>
          </w:tcPr>
          <w:p>
            <w:pPr>
              <w:spacing w:after="0"/>
              <w:rPr>
                <w:sz w:val="24"/>
                <w:szCs w:val="24"/>
                <w:color w:val="auto"/>
              </w:rPr>
            </w:pP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986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Underwriting Agreement, dated August 19, 2019, by and among the Registrant and BofA Securities, Inc., Jefferies LLC and Wells Fargo</w:t>
              </w:r>
            </w:hyperlink>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Securities, LLC, as representatives of the underwriters named in Schedule I to the related pricing agreement</w:t>
              </w:r>
            </w:hyperlink>
          </w:p>
        </w:tc>
        <w:tc>
          <w:tcPr>
            <w:tcW w:w="0" w:type="dxa"/>
            <w:vAlign w:val="bottom"/>
          </w:tcPr>
          <w:p>
            <w:pPr>
              <w:spacing w:after="0"/>
              <w:rPr>
                <w:sz w:val="1"/>
                <w:szCs w:val="1"/>
                <w:color w:val="auto"/>
              </w:rPr>
            </w:pPr>
          </w:p>
        </w:tc>
      </w:tr>
      <w:tr>
        <w:trPr>
          <w:trHeight w:val="20"/>
        </w:trPr>
        <w:tc>
          <w:tcPr>
            <w:tcW w:w="1080" w:type="dxa"/>
            <w:vAlign w:val="bottom"/>
            <w:gridSpan w:val="3"/>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3"/>
          </w:tcPr>
          <w:p>
            <w:pPr>
              <w:jc w:val="right"/>
              <w:ind w:right="700"/>
              <w:spacing w:after="0"/>
              <w:rPr>
                <w:sz w:val="20"/>
                <w:szCs w:val="20"/>
                <w:color w:val="auto"/>
              </w:rPr>
            </w:pPr>
            <w:r>
              <w:rPr>
                <w:rFonts w:ascii="Arial" w:cs="Arial" w:eastAsia="Arial" w:hAnsi="Arial"/>
                <w:sz w:val="18"/>
                <w:szCs w:val="18"/>
                <w:color w:val="auto"/>
              </w:rPr>
              <w:t>1.2</w:t>
            </w:r>
          </w:p>
        </w:tc>
        <w:tc>
          <w:tcPr>
            <w:tcW w:w="94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Pricing Agreement, dated August 19, 2019, by and among the Registrant and BofA Securities, Inc., Jefferies LLC and Wells Fargo</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Securities, LLC, as representatives of the underwriters named therein</w:t>
              </w:r>
            </w:hyperlink>
          </w:p>
        </w:tc>
        <w:tc>
          <w:tcPr>
            <w:tcW w:w="48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jc w:val="right"/>
              <w:ind w:right="700"/>
              <w:spacing w:after="0"/>
              <w:rPr>
                <w:sz w:val="20"/>
                <w:szCs w:val="20"/>
                <w:color w:val="auto"/>
              </w:rPr>
            </w:pPr>
            <w:r>
              <w:rPr>
                <w:rFonts w:ascii="Arial" w:cs="Arial" w:eastAsia="Arial" w:hAnsi="Arial"/>
                <w:sz w:val="18"/>
                <w:szCs w:val="18"/>
                <w:color w:val="auto"/>
              </w:rPr>
              <w:t>4.1</w:t>
            </w:r>
          </w:p>
        </w:tc>
        <w:tc>
          <w:tcPr>
            <w:tcW w:w="2200" w:type="dxa"/>
            <w:vAlign w:val="bottom"/>
            <w:tcBorders>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Form of 3.20% Note due 2029</w:t>
              </w:r>
            </w:hyperlink>
          </w:p>
        </w:tc>
        <w:tc>
          <w:tcPr>
            <w:tcW w:w="7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jc w:val="right"/>
              <w:ind w:right="700"/>
              <w:spacing w:after="0"/>
              <w:rPr>
                <w:sz w:val="20"/>
                <w:szCs w:val="20"/>
                <w:color w:val="auto"/>
              </w:rPr>
            </w:pPr>
            <w:r>
              <w:rPr>
                <w:rFonts w:ascii="Arial" w:cs="Arial" w:eastAsia="Arial" w:hAnsi="Arial"/>
                <w:sz w:val="18"/>
                <w:szCs w:val="18"/>
                <w:color w:val="auto"/>
              </w:rPr>
              <w:t>5.1</w:t>
            </w:r>
          </w:p>
        </w:tc>
        <w:tc>
          <w:tcPr>
            <w:tcW w:w="83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Opinion of Pillsbury Winthrop Shaw Pittman LLP relating to legality of the securities being issued by the Registrant</w:t>
              </w:r>
            </w:hyperlink>
          </w:p>
        </w:tc>
        <w:tc>
          <w:tcPr>
            <w:tcW w:w="1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jc w:val="right"/>
              <w:ind w:right="700"/>
              <w:spacing w:after="0"/>
              <w:rPr>
                <w:sz w:val="20"/>
                <w:szCs w:val="20"/>
                <w:color w:val="auto"/>
              </w:rPr>
            </w:pPr>
            <w:r>
              <w:rPr>
                <w:rFonts w:ascii="Arial" w:cs="Arial" w:eastAsia="Arial" w:hAnsi="Arial"/>
                <w:sz w:val="18"/>
                <w:szCs w:val="18"/>
                <w:color w:val="auto"/>
              </w:rPr>
              <w:t>8.1</w:t>
            </w:r>
          </w:p>
        </w:tc>
        <w:tc>
          <w:tcPr>
            <w:tcW w:w="77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Opinion of Pillsbury Winthrop Shaw Pittman LLP relating to material tax matters relating to the Registrant</w:t>
              </w:r>
            </w:hyperlink>
          </w:p>
        </w:tc>
        <w:tc>
          <w:tcPr>
            <w:tcW w:w="2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gridSpan w:val="3"/>
          </w:tcPr>
          <w:p>
            <w:pPr>
              <w:jc w:val="right"/>
              <w:ind w:right="700"/>
              <w:spacing w:after="0"/>
              <w:rPr>
                <w:sz w:val="20"/>
                <w:szCs w:val="20"/>
                <w:color w:val="auto"/>
              </w:rPr>
            </w:pPr>
            <w:r>
              <w:rPr>
                <w:rFonts w:ascii="Arial" w:cs="Arial" w:eastAsia="Arial" w:hAnsi="Arial"/>
                <w:sz w:val="18"/>
                <w:szCs w:val="18"/>
                <w:color w:val="auto"/>
              </w:rPr>
              <w:t>23.1</w:t>
            </w:r>
          </w:p>
        </w:tc>
        <w:tc>
          <w:tcPr>
            <w:tcW w:w="9860" w:type="dxa"/>
            <w:vAlign w:val="bottom"/>
            <w:gridSpan w:val="12"/>
          </w:tcPr>
          <w:p>
            <w:pPr>
              <w:spacing w:after="0"/>
              <w:rPr>
                <w:rFonts w:ascii="Arial" w:cs="Arial" w:eastAsia="Arial" w:hAnsi="Arial"/>
                <w:sz w:val="18"/>
                <w:szCs w:val="18"/>
                <w:color w:val="auto"/>
              </w:rPr>
            </w:pPr>
            <w:r>
              <w:rPr>
                <w:rFonts w:ascii="Arial" w:cs="Arial" w:eastAsia="Arial" w:hAnsi="Arial"/>
                <w:sz w:val="18"/>
                <w:szCs w:val="18"/>
                <w:color w:val="auto"/>
              </w:rPr>
              <w:t xml:space="preserve">Consents of Pillsbury Winthrop Shaw Pittman LLP (contained in the opinions filed as Exhibits </w:t>
            </w:r>
            <w:hyperlink w:anchor="page65">
              <w:r>
                <w:rPr>
                  <w:rFonts w:ascii="Arial" w:cs="Arial" w:eastAsia="Arial" w:hAnsi="Arial"/>
                  <w:sz w:val="18"/>
                  <w:szCs w:val="18"/>
                  <w:color w:val="0000EE"/>
                </w:rPr>
                <w:t>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67">
              <w:r>
                <w:rPr>
                  <w:rFonts w:ascii="Arial" w:cs="Arial" w:eastAsia="Arial" w:hAnsi="Arial"/>
                  <w:sz w:val="18"/>
                  <w:szCs w:val="18"/>
                  <w:color w:val="0000EE"/>
                </w:rPr>
                <w:t>8.1</w:t>
              </w:r>
              <w:r>
                <w:rPr>
                  <w:rFonts w:ascii="Arial" w:cs="Arial" w:eastAsia="Arial" w:hAnsi="Arial"/>
                  <w:sz w:val="18"/>
                  <w:szCs w:val="18"/>
                  <w:color w:val="auto"/>
                </w:rPr>
                <w:t xml:space="preserve"> </w:t>
              </w:r>
            </w:hyperlink>
            <w:r>
              <w:rPr>
                <w:rFonts w:ascii="Arial" w:cs="Arial" w:eastAsia="Arial" w:hAnsi="Arial"/>
                <w:sz w:val="18"/>
                <w:szCs w:val="18"/>
                <w:color w:val="auto"/>
              </w:rPr>
              <w:t>hereto)</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5460" w:right="1220" w:hanging="5402"/>
        <w:spacing w:after="0" w:line="481" w:lineRule="auto"/>
        <w:tabs>
          <w:tab w:leader="none" w:pos="106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is embedded within the Inline XBRL document). 2</w:t>
      </w:r>
    </w:p>
    <w:p>
      <w:pPr>
        <w:sectPr>
          <w:pgSz w:w="11900" w:h="16838" w:orient="portrait"/>
          <w:cols w:equalWidth="0" w:num="1">
            <w:col w:w="10940"/>
          </w:cols>
          <w:pgMar w:left="440" w:top="297" w:right="51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August 22, 2019</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 Secretary</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80"/>
          </w:cols>
          <w:pgMar w:left="440" w:top="301"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August 19,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OF</w:t>
      </w:r>
      <w:r>
        <w:rPr>
          <w:rFonts w:ascii="Arial" w:cs="Arial" w:eastAsia="Arial" w:hAnsi="Arial"/>
          <w:sz w:val="18"/>
          <w:szCs w:val="18"/>
          <w:color w:val="auto"/>
        </w:rPr>
        <w:t>A S</w:t>
      </w:r>
      <w:r>
        <w:rPr>
          <w:rFonts w:ascii="Arial" w:cs="Arial" w:eastAsia="Arial" w:hAnsi="Arial"/>
          <w:sz w:val="15"/>
          <w:szCs w:val="15"/>
          <w:color w:val="auto"/>
        </w:rPr>
        <w:t>ECURITIES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c/o</w:t>
        <w:tab/>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78"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ectPr>
          <w:pgSz w:w="11900" w:h="16838" w:orient="portrait"/>
          <w:cols w:equalWidth="0" w:num="1">
            <w:col w:w="11020"/>
          </w:cols>
          <w:pgMar w:left="440" w:top="121" w:right="439" w:bottom="1440" w:gutter="0" w:footer="0" w:header="0"/>
        </w:sectPr>
      </w:pPr>
    </w:p>
    <w:bookmarkStart w:id="4" w:name="page5"/>
    <w:bookmarkEnd w:id="4"/>
    <w:p>
      <w:pPr>
        <w:ind w:left="-20" w:right="40" w:firstLine="444"/>
        <w:spacing w:after="0" w:line="268" w:lineRule="auto"/>
        <w:tabs>
          <w:tab w:leader="none" w:pos="736" w:val="left"/>
        </w:tabs>
        <w:numPr>
          <w:ilvl w:val="0"/>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83" w:lineRule="exact"/>
        <w:rPr>
          <w:rFonts w:ascii="Arial" w:cs="Arial" w:eastAsia="Arial" w:hAnsi="Arial"/>
          <w:sz w:val="17"/>
          <w:szCs w:val="17"/>
          <w:color w:val="auto"/>
        </w:rPr>
      </w:pPr>
    </w:p>
    <w:p>
      <w:pPr>
        <w:ind w:left="-20" w:right="160" w:firstLine="444"/>
        <w:spacing w:after="0" w:line="277" w:lineRule="auto"/>
        <w:tabs>
          <w:tab w:leader="none" w:pos="7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62" w:lineRule="exact"/>
        <w:rPr>
          <w:rFonts w:ascii="Arial" w:cs="Arial" w:eastAsia="Arial" w:hAnsi="Arial"/>
          <w:sz w:val="18"/>
          <w:szCs w:val="18"/>
          <w:color w:val="auto"/>
        </w:rPr>
      </w:pPr>
    </w:p>
    <w:p>
      <w:pPr>
        <w:ind w:left="420" w:firstLine="428"/>
        <w:spacing w:after="0" w:line="290" w:lineRule="auto"/>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333-224701),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60" w:top="274" w:right="439" w:bottom="1440" w:gutter="0" w:footer="0" w:header="0"/>
        </w:sectPr>
      </w:pPr>
    </w:p>
    <w:bookmarkStart w:id="5" w:name="page6"/>
    <w:bookmarkEnd w:id="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70" w:lineRule="exact"/>
        <w:rPr>
          <w:sz w:val="20"/>
          <w:szCs w:val="20"/>
          <w:color w:val="auto"/>
        </w:rPr>
      </w:pPr>
    </w:p>
    <w:p>
      <w:pPr>
        <w:ind w:right="40" w:firstLine="423"/>
        <w:spacing w:after="0" w:line="290"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58" w:lineRule="exact"/>
        <w:rPr>
          <w:sz w:val="20"/>
          <w:szCs w:val="20"/>
          <w:color w:val="auto"/>
        </w:rPr>
      </w:pPr>
    </w:p>
    <w:p>
      <w:pPr>
        <w:ind w:right="80" w:firstLine="428"/>
        <w:spacing w:after="0" w:line="254" w:lineRule="auto"/>
        <w:tabs>
          <w:tab w:leader="none" w:pos="81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79" w:lineRule="exact"/>
        <w:rPr>
          <w:sz w:val="20"/>
          <w:szCs w:val="20"/>
          <w:color w:val="auto"/>
        </w:rPr>
      </w:pPr>
    </w:p>
    <w:p>
      <w:pPr>
        <w:ind w:right="20" w:firstLine="428"/>
        <w:spacing w:after="0" w:line="25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Original Registration Statement became effective upon filing under Rule 462(e) under the Act (“Rule 462(e)”) on May 7, 2018,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80"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80" w:lineRule="exact"/>
        <w:rPr>
          <w:sz w:val="20"/>
          <w:szCs w:val="20"/>
          <w:color w:val="auto"/>
        </w:rPr>
      </w:pPr>
    </w:p>
    <w:p>
      <w:pPr>
        <w:ind w:right="40" w:firstLine="428"/>
        <w:spacing w:after="0" w:line="255" w:lineRule="auto"/>
        <w:tabs>
          <w:tab w:leader="none" w:pos="718"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complies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85" w:lineRule="exact"/>
        <w:rPr>
          <w:sz w:val="20"/>
          <w:szCs w:val="20"/>
          <w:color w:val="auto"/>
        </w:rPr>
      </w:pPr>
    </w:p>
    <w:p>
      <w:pPr>
        <w:ind w:right="60" w:firstLine="423"/>
        <w:spacing w:after="0" w:line="297" w:lineRule="auto"/>
        <w:rPr>
          <w:sz w:val="20"/>
          <w:szCs w:val="20"/>
          <w:color w:val="auto"/>
        </w:rPr>
      </w:pPr>
      <w:r>
        <w:rPr>
          <w:rFonts w:ascii="Arial" w:cs="Arial" w:eastAsia="Arial" w:hAnsi="Arial"/>
          <w:sz w:val="16"/>
          <w:szCs w:val="16"/>
          <w:color w:val="auto"/>
        </w:rPr>
        <w:t>The Prospectus and each amendment or supplement thereto, if any, at the time the Prospectus or any such amendment or supplement was issued and at the Time of Delivery, complied, complies and will comply, in all material respects with the requirements of the Act, and neither the Prospectus nor any amendments or supplements thereto, at the time the Prospectus or any such amendment or supplement was issued or at the Time of Delivery,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7" w:name="page8"/>
    <w:bookmarkEnd w:id="7"/>
    <w:p>
      <w:pPr>
        <w:ind w:right="2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80" w:lineRule="exact"/>
        <w:rPr>
          <w:sz w:val="20"/>
          <w:szCs w:val="20"/>
          <w:color w:val="auto"/>
        </w:rPr>
      </w:pPr>
    </w:p>
    <w:p>
      <w:pPr>
        <w:ind w:firstLine="423"/>
        <w:spacing w:after="0" w:line="302"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46" w:lineRule="exact"/>
        <w:rPr>
          <w:sz w:val="20"/>
          <w:szCs w:val="20"/>
          <w:color w:val="auto"/>
        </w:rPr>
      </w:pPr>
    </w:p>
    <w:p>
      <w:pPr>
        <w:ind w:right="100" w:firstLine="423"/>
        <w:spacing w:after="0" w:line="257" w:lineRule="auto"/>
        <w:rPr>
          <w:sz w:val="20"/>
          <w:szCs w:val="20"/>
          <w:color w:val="auto"/>
        </w:rPr>
      </w:pPr>
      <w:r>
        <w:rPr>
          <w:rFonts w:ascii="Arial" w:cs="Arial" w:eastAsia="Arial" w:hAnsi="Arial"/>
          <w:sz w:val="18"/>
          <w:szCs w:val="18"/>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117" w:lineRule="exact"/>
        <w:rPr>
          <w:sz w:val="20"/>
          <w:szCs w:val="20"/>
          <w:color w:val="auto"/>
        </w:rPr>
      </w:pPr>
    </w:p>
    <w:p>
      <w:pPr>
        <w:ind w:right="520" w:firstLine="423"/>
        <w:spacing w:after="0" w:line="277" w:lineRule="auto"/>
        <w:rPr>
          <w:sz w:val="20"/>
          <w:szCs w:val="20"/>
          <w:color w:val="auto"/>
        </w:rPr>
      </w:pPr>
      <w:r>
        <w:rPr>
          <w:rFonts w:ascii="Arial" w:cs="Arial" w:eastAsia="Arial" w:hAnsi="Arial"/>
          <w:sz w:val="18"/>
          <w:szCs w:val="18"/>
          <w:color w:val="auto"/>
        </w:rPr>
        <w:t>“Applicable Time” shall have the meaning set forth in Schedule II of the Pricing Agreement with respect to the Designated Securities specified therein.</w:t>
      </w:r>
    </w:p>
    <w:p>
      <w:pPr>
        <w:spacing w:after="0" w:line="62" w:lineRule="exact"/>
        <w:rPr>
          <w:sz w:val="20"/>
          <w:szCs w:val="20"/>
          <w:color w:val="auto"/>
        </w:rPr>
      </w:pPr>
    </w:p>
    <w:p>
      <w:pPr>
        <w:ind w:right="20" w:firstLine="423"/>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70" w:lineRule="exact"/>
        <w:rPr>
          <w:sz w:val="20"/>
          <w:szCs w:val="20"/>
          <w:color w:val="auto"/>
        </w:rPr>
      </w:pPr>
    </w:p>
    <w:p>
      <w:pPr>
        <w:jc w:val="both"/>
        <w:ind w:right="40" w:firstLine="423"/>
        <w:spacing w:after="0" w:line="312"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8" w:name="page9"/>
    <w:bookmarkEnd w:id="8"/>
    <w:p>
      <w:pPr>
        <w:ind w:right="20" w:firstLine="428"/>
        <w:spacing w:after="0" w:line="312" w:lineRule="auto"/>
        <w:tabs>
          <w:tab w:leader="none" w:pos="810"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38" w:lineRule="exact"/>
        <w:rPr>
          <w:rFonts w:ascii="Arial" w:cs="Arial" w:eastAsia="Arial" w:hAnsi="Arial"/>
          <w:sz w:val="16"/>
          <w:szCs w:val="16"/>
          <w:color w:val="auto"/>
        </w:rPr>
      </w:pPr>
    </w:p>
    <w:p>
      <w:pPr>
        <w:ind w:firstLine="428"/>
        <w:spacing w:after="0" w:line="255" w:lineRule="auto"/>
        <w:tabs>
          <w:tab w:leader="none" w:pos="80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81" w:lineRule="exact"/>
        <w:rPr>
          <w:rFonts w:ascii="Arial" w:cs="Arial" w:eastAsia="Arial" w:hAnsi="Arial"/>
          <w:sz w:val="18"/>
          <w:szCs w:val="18"/>
          <w:color w:val="auto"/>
        </w:rPr>
      </w:pPr>
    </w:p>
    <w:p>
      <w:pPr>
        <w:ind w:right="20" w:firstLine="428"/>
        <w:spacing w:after="0" w:line="286"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74" w:right="4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80" w:lineRule="exact"/>
        <w:rPr>
          <w:sz w:val="20"/>
          <w:szCs w:val="20"/>
          <w:color w:val="auto"/>
        </w:rPr>
      </w:pPr>
    </w:p>
    <w:p>
      <w:pPr>
        <w:ind w:right="20" w:firstLine="428"/>
        <w:spacing w:after="0" w:line="285" w:lineRule="auto"/>
        <w:tabs>
          <w:tab w:leader="none" w:pos="81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since the date of the latest audited financial statements included or incorporated by reference in the Registration Statement, the General Disclosure Package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May 7, 2018 between the Company and Wells Fargo Securities, LLC, (b) the Equity Distribution Agreement dated May 7, 2018 between the Company and BofA Securities, Inc. and (c) the Equity Distribution Agreement dated May 7, 2018 between the Company and Citigroup Global Markets Inc.,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280" w:lineRule="exact"/>
        <w:rPr>
          <w:rFonts w:ascii="Arial" w:cs="Arial" w:eastAsia="Arial" w:hAnsi="Arial"/>
          <w:sz w:val="16"/>
          <w:szCs w:val="16"/>
          <w:color w:val="auto"/>
        </w:rPr>
      </w:pPr>
    </w:p>
    <w:p>
      <w:pPr>
        <w:jc w:val="both"/>
        <w:ind w:right="540" w:firstLine="428"/>
        <w:spacing w:after="0" w:line="264" w:lineRule="auto"/>
        <w:tabs>
          <w:tab w:leader="none" w:pos="81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10" w:name="page11"/>
    <w:bookmarkEnd w:id="10"/>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73" w:lineRule="exact"/>
        <w:rPr>
          <w:sz w:val="20"/>
          <w:szCs w:val="20"/>
          <w:color w:val="auto"/>
        </w:rPr>
      </w:pPr>
    </w:p>
    <w:p>
      <w:pPr>
        <w:ind w:right="40" w:firstLine="428"/>
        <w:spacing w:after="0" w:line="286" w:lineRule="auto"/>
        <w:tabs>
          <w:tab w:leader="none" w:pos="77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Company has full right, power and authority under its organizational documents to enter into this Underwriting Agreement and the Pricing Agreement with respect to such Designated Securities, and this Underwriting Agreement and the Pricing Agreement with respect to such Designated Securities have been duly and validly authorized, executed and delivered by the Company.</w:t>
      </w:r>
    </w:p>
    <w:p>
      <w:pPr>
        <w:spacing w:after="0" w:line="57" w:lineRule="exact"/>
        <w:rPr>
          <w:rFonts w:ascii="Arial" w:cs="Arial" w:eastAsia="Arial" w:hAnsi="Arial"/>
          <w:sz w:val="17"/>
          <w:szCs w:val="17"/>
          <w:color w:val="auto"/>
        </w:rPr>
      </w:pPr>
    </w:p>
    <w:p>
      <w:pPr>
        <w:ind w:firstLine="428"/>
        <w:spacing w:after="0" w:line="253" w:lineRule="auto"/>
        <w:tabs>
          <w:tab w:leader="none" w:pos="77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Designated Securities have been duly and validly authorized by the Company,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86" w:lineRule="exact"/>
        <w:rPr>
          <w:rFonts w:ascii="Arial" w:cs="Arial" w:eastAsia="Arial" w:hAnsi="Arial"/>
          <w:sz w:val="18"/>
          <w:szCs w:val="18"/>
          <w:color w:val="auto"/>
        </w:rPr>
      </w:pPr>
    </w:p>
    <w:p>
      <w:pPr>
        <w:ind w:right="140" w:firstLine="428"/>
        <w:spacing w:after="0" w:line="274" w:lineRule="auto"/>
        <w:tabs>
          <w:tab w:leader="none" w:pos="813" w:val="left"/>
        </w:tabs>
        <w:numPr>
          <w:ilvl w:val="1"/>
          <w:numId w:val="9"/>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is in violation of its charter or bylaws or similar organizational documents; (ii) no subsidiary of the Company not referred to in clause (i) above is in violation of its charter or bylaws or similar organizational documents;</w:t>
      </w:r>
    </w:p>
    <w:p>
      <w:pPr>
        <w:ind w:right="20" w:firstLine="4"/>
        <w:spacing w:after="0" w:line="268" w:lineRule="auto"/>
        <w:tabs>
          <w:tab w:leader="none" w:pos="3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1" w:name="page12"/>
    <w:bookmarkEnd w:id="11"/>
    <w:p>
      <w:pPr>
        <w:ind w:right="20" w:firstLine="428"/>
        <w:spacing w:after="0" w:line="286" w:lineRule="auto"/>
        <w:tabs>
          <w:tab w:leader="none" w:pos="77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66" w:lineRule="exact"/>
        <w:rPr>
          <w:rFonts w:ascii="Arial" w:cs="Arial" w:eastAsia="Arial" w:hAnsi="Arial"/>
          <w:sz w:val="16"/>
          <w:szCs w:val="16"/>
          <w:color w:val="auto"/>
        </w:rPr>
      </w:pPr>
    </w:p>
    <w:p>
      <w:pPr>
        <w:ind w:firstLine="428"/>
        <w:spacing w:after="0" w:line="255" w:lineRule="auto"/>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85" w:lineRule="exact"/>
        <w:rPr>
          <w:rFonts w:ascii="Arial" w:cs="Arial" w:eastAsia="Arial" w:hAnsi="Arial"/>
          <w:sz w:val="18"/>
          <w:szCs w:val="18"/>
          <w:color w:val="auto"/>
        </w:rPr>
      </w:pPr>
    </w:p>
    <w:p>
      <w:pPr>
        <w:ind w:firstLine="428"/>
        <w:spacing w:after="0" w:line="272" w:lineRule="auto"/>
        <w:tabs>
          <w:tab w:leader="none" w:pos="81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2" w:name="page13"/>
    <w:bookmarkEnd w:id="12"/>
    <w:p>
      <w:pPr>
        <w:ind w:right="40" w:firstLine="428"/>
        <w:spacing w:after="0" w:line="259" w:lineRule="auto"/>
        <w:tabs>
          <w:tab w:leader="none" w:pos="81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180" w:firstLine="428"/>
        <w:spacing w:after="0" w:line="276" w:lineRule="auto"/>
        <w:tabs>
          <w:tab w:leader="none" w:pos="81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64" w:lineRule="exact"/>
        <w:rPr>
          <w:rFonts w:ascii="Arial" w:cs="Arial" w:eastAsia="Arial" w:hAnsi="Arial"/>
          <w:sz w:val="17"/>
          <w:szCs w:val="17"/>
          <w:color w:val="auto"/>
        </w:rPr>
      </w:pPr>
    </w:p>
    <w:p>
      <w:pPr>
        <w:ind w:right="120" w:firstLine="428"/>
        <w:spacing w:after="0" w:line="286" w:lineRule="auto"/>
        <w:tabs>
          <w:tab w:leader="none" w:pos="81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57" w:lineRule="exact"/>
        <w:rPr>
          <w:rFonts w:ascii="Arial" w:cs="Arial" w:eastAsia="Arial" w:hAnsi="Arial"/>
          <w:sz w:val="17"/>
          <w:szCs w:val="17"/>
          <w:color w:val="auto"/>
        </w:rPr>
      </w:pPr>
    </w:p>
    <w:p>
      <w:pPr>
        <w:ind w:firstLine="428"/>
        <w:spacing w:after="0" w:line="276" w:lineRule="auto"/>
        <w:tabs>
          <w:tab w:leader="none" w:pos="7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Grant Thornton LLP, which audited the consolidated balance sheets of the Company and subsidiaries as of December 31, 2018 and the consolidated statements of comprehensive income, consolidated statements of shareholders’ equity and consolidated statements of cash flows for the year ended December 31, 2018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4" w:lineRule="exact"/>
        <w:rPr>
          <w:rFonts w:ascii="Arial" w:cs="Arial" w:eastAsia="Arial" w:hAnsi="Arial"/>
          <w:sz w:val="17"/>
          <w:szCs w:val="17"/>
          <w:color w:val="auto"/>
        </w:rPr>
      </w:pPr>
    </w:p>
    <w:p>
      <w:pPr>
        <w:ind w:firstLine="428"/>
        <w:spacing w:after="0" w:line="290" w:lineRule="auto"/>
        <w:tabs>
          <w:tab w:leader="none" w:pos="79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13" w:name="page14"/>
    <w:bookmarkEnd w:id="1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0" w:lineRule="exact"/>
        <w:rPr>
          <w:sz w:val="20"/>
          <w:szCs w:val="20"/>
          <w:color w:val="auto"/>
        </w:rPr>
      </w:pPr>
    </w:p>
    <w:p>
      <w:pPr>
        <w:ind w:right="100" w:firstLine="428"/>
        <w:spacing w:after="0" w:line="342" w:lineRule="auto"/>
        <w:tabs>
          <w:tab w:leader="none" w:pos="7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15" w:lineRule="exact"/>
        <w:rPr>
          <w:rFonts w:ascii="Arial" w:cs="Arial" w:eastAsia="Arial" w:hAnsi="Arial"/>
          <w:sz w:val="16"/>
          <w:szCs w:val="16"/>
          <w:color w:val="auto"/>
        </w:rPr>
      </w:pPr>
    </w:p>
    <w:p>
      <w:pPr>
        <w:ind w:right="40" w:firstLine="428"/>
        <w:spacing w:after="0" w:line="291" w:lineRule="auto"/>
        <w:tabs>
          <w:tab w:leader="none" w:pos="803"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59" w:lineRule="exact"/>
        <w:rPr>
          <w:rFonts w:ascii="Arial" w:cs="Arial" w:eastAsia="Arial" w:hAnsi="Arial"/>
          <w:sz w:val="16"/>
          <w:szCs w:val="16"/>
          <w:color w:val="auto"/>
        </w:rPr>
      </w:pPr>
    </w:p>
    <w:p>
      <w:pPr>
        <w:ind w:right="20" w:firstLine="428"/>
        <w:spacing w:after="0" w:line="257" w:lineRule="auto"/>
        <w:tabs>
          <w:tab w:leader="none" w:pos="8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80" w:lineRule="exact"/>
        <w:rPr>
          <w:rFonts w:ascii="Arial" w:cs="Arial" w:eastAsia="Arial" w:hAnsi="Arial"/>
          <w:sz w:val="18"/>
          <w:szCs w:val="18"/>
          <w:color w:val="auto"/>
        </w:rPr>
      </w:pPr>
    </w:p>
    <w:p>
      <w:pPr>
        <w:jc w:val="both"/>
        <w:ind w:firstLine="428"/>
        <w:spacing w:after="0" w:line="259" w:lineRule="auto"/>
        <w:tabs>
          <w:tab w:leader="none" w:pos="8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4" w:name="page15"/>
    <w:bookmarkEnd w:id="14"/>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57" w:lineRule="exact"/>
        <w:rPr>
          <w:sz w:val="20"/>
          <w:szCs w:val="20"/>
          <w:color w:val="auto"/>
        </w:rPr>
      </w:pPr>
    </w:p>
    <w:p>
      <w:pPr>
        <w:ind w:firstLine="428"/>
        <w:spacing w:after="0" w:line="269" w:lineRule="auto"/>
        <w:tabs>
          <w:tab w:leader="none" w:pos="813"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74" w:lineRule="exact"/>
        <w:rPr>
          <w:rFonts w:ascii="Arial" w:cs="Arial" w:eastAsia="Arial" w:hAnsi="Arial"/>
          <w:sz w:val="17"/>
          <w:szCs w:val="17"/>
          <w:color w:val="auto"/>
        </w:rPr>
      </w:pPr>
    </w:p>
    <w:p>
      <w:pPr>
        <w:ind w:right="60" w:firstLine="428"/>
        <w:spacing w:after="0" w:line="273" w:lineRule="auto"/>
        <w:tabs>
          <w:tab w:leader="none" w:pos="81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0" w:lineRule="exact"/>
        <w:rPr>
          <w:rFonts w:ascii="Arial" w:cs="Arial" w:eastAsia="Arial" w:hAnsi="Arial"/>
          <w:sz w:val="17"/>
          <w:szCs w:val="17"/>
          <w:color w:val="auto"/>
        </w:rPr>
      </w:pPr>
    </w:p>
    <w:p>
      <w:pPr>
        <w:ind w:right="100" w:firstLine="428"/>
        <w:spacing w:after="0" w:line="254" w:lineRule="auto"/>
        <w:tabs>
          <w:tab w:leader="none" w:pos="8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0"/>
          </w:cols>
          <w:pgMar w:left="880" w:top="274" w:right="479" w:bottom="1440" w:gutter="0" w:footer="0" w:header="0"/>
        </w:sectPr>
      </w:pPr>
    </w:p>
    <w:bookmarkStart w:id="15" w:name="page16"/>
    <w:bookmarkEnd w:id="15"/>
    <w:p>
      <w:pPr>
        <w:ind w:left="380" w:right="260" w:firstLine="428"/>
        <w:spacing w:after="0" w:line="264"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8"/>
          <w:szCs w:val="18"/>
          <w:color w:val="auto"/>
        </w:rPr>
      </w:pPr>
    </w:p>
    <w:p>
      <w:pPr>
        <w:ind w:left="380" w:firstLine="428"/>
        <w:spacing w:after="0" w:line="285" w:lineRule="auto"/>
        <w:tabs>
          <w:tab w:leader="none" w:pos="1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To the knowledge of the Company, there has been no security breach or incident, unauthorized access or disclosure, or other compromise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“IT Systems and Data”): (ii) neither the Company nor its subsidiaries have been notified of, and each of them have no knowledge of any event or condition that could result in, any security breach or incident, unauthorized access or disclosure or other compromise to their IT Systems and Data and (iii)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in the case of clauses (i) and (ii) above, as would not, individually or in the aggregate, have a material adverse effect on the condition, financial or otherwise, or on the earnings, business affairs or business prospects of the Company and its subsidiaries, considered as one enterprise, and except, in the case of clause (iii) above, where the failure to do so would not, individually or in the aggregate, have a material adverse effect on the condition, financial or otherwise, or on the earnings, business affairs or business prospects of the Company and its subsidiaries, considered as one enterprise.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where the failure to be so in material compliance would not, individually or in the aggregate, have a material adverse effect on the condition, financial or otherwise, or on the earnings, business affairs or business prospects of the Company and its subsidiaries, considered as one enterprise.</w:t>
      </w:r>
    </w:p>
    <w:p>
      <w:pPr>
        <w:spacing w:after="0" w:line="389" w:lineRule="exact"/>
        <w:rPr>
          <w:sz w:val="20"/>
          <w:szCs w:val="20"/>
          <w:color w:val="auto"/>
        </w:rPr>
      </w:pPr>
    </w:p>
    <w:p>
      <w:pPr>
        <w:ind w:left="-60" w:right="60" w:firstLine="444"/>
        <w:spacing w:after="0" w:line="264" w:lineRule="auto"/>
        <w:tabs>
          <w:tab w:leader="none" w:pos="6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74" w:right="499" w:bottom="1440" w:gutter="0" w:footer="0" w:header="0"/>
        </w:sectPr>
      </w:pPr>
    </w:p>
    <w:bookmarkStart w:id="16" w:name="page17"/>
    <w:bookmarkEnd w:id="16"/>
    <w:p>
      <w:pPr>
        <w:ind w:left="-20" w:right="40" w:firstLine="444"/>
        <w:spacing w:after="0" w:line="291" w:lineRule="auto"/>
        <w:tabs>
          <w:tab w:leader="none" w:pos="732"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67" w:lineRule="exact"/>
        <w:rPr>
          <w:rFonts w:ascii="Arial" w:cs="Arial" w:eastAsia="Arial" w:hAnsi="Arial"/>
          <w:sz w:val="16"/>
          <w:szCs w:val="16"/>
          <w:color w:val="auto"/>
        </w:rPr>
      </w:pPr>
    </w:p>
    <w:p>
      <w:pPr>
        <w:ind w:left="740" w:hanging="316"/>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117" w:lineRule="exact"/>
        <w:rPr>
          <w:rFonts w:ascii="Arial" w:cs="Arial" w:eastAsia="Arial" w:hAnsi="Arial"/>
          <w:sz w:val="18"/>
          <w:szCs w:val="18"/>
          <w:color w:val="auto"/>
        </w:rPr>
      </w:pPr>
    </w:p>
    <w:p>
      <w:pPr>
        <w:ind w:left="420" w:firstLine="428"/>
        <w:spacing w:after="0" w:line="285" w:lineRule="auto"/>
        <w:tabs>
          <w:tab w:leader="none" w:pos="12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60" w:top="274" w:right="439" w:bottom="1440" w:gutter="0" w:footer="0" w:header="0"/>
        </w:sectPr>
      </w:pPr>
    </w:p>
    <w:bookmarkStart w:id="17" w:name="page18"/>
    <w:bookmarkEnd w:id="17"/>
    <w:p>
      <w:pPr>
        <w:ind w:firstLine="428"/>
        <w:spacing w:after="0" w:line="287" w:lineRule="auto"/>
        <w:tabs>
          <w:tab w:leader="none" w:pos="813"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60" w:lineRule="exact"/>
        <w:rPr>
          <w:rFonts w:ascii="Arial" w:cs="Arial" w:eastAsia="Arial" w:hAnsi="Arial"/>
          <w:sz w:val="16"/>
          <w:szCs w:val="16"/>
          <w:color w:val="auto"/>
        </w:rPr>
      </w:pPr>
    </w:p>
    <w:p>
      <w:pPr>
        <w:ind w:right="40" w:firstLine="428"/>
        <w:spacing w:after="0" w:line="288"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18" w:name="page19"/>
    <w:bookmarkEnd w:id="18"/>
    <w:p>
      <w:pPr>
        <w:ind w:right="180" w:firstLine="428"/>
        <w:spacing w:after="0" w:line="276" w:lineRule="auto"/>
        <w:tabs>
          <w:tab w:leader="none" w:pos="810"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promptly from time to time will take such action as the Representatives may reasonably request to qualify such 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64" w:lineRule="exact"/>
        <w:rPr>
          <w:rFonts w:ascii="Arial" w:cs="Arial" w:eastAsia="Arial" w:hAnsi="Arial"/>
          <w:sz w:val="17"/>
          <w:szCs w:val="17"/>
          <w:color w:val="auto"/>
        </w:rPr>
      </w:pPr>
    </w:p>
    <w:p>
      <w:pPr>
        <w:ind w:right="100" w:firstLine="428"/>
        <w:spacing w:after="0" w:line="272"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69" w:lineRule="exact"/>
        <w:rPr>
          <w:rFonts w:ascii="Arial" w:cs="Arial" w:eastAsia="Arial" w:hAnsi="Arial"/>
          <w:sz w:val="17"/>
          <w:szCs w:val="17"/>
          <w:color w:val="auto"/>
        </w:rPr>
      </w:pPr>
    </w:p>
    <w:p>
      <w:pPr>
        <w:ind w:firstLine="428"/>
        <w:spacing w:after="0" w:line="288"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61" w:lineRule="exact"/>
        <w:rPr>
          <w:rFonts w:ascii="Arial" w:cs="Arial" w:eastAsia="Arial" w:hAnsi="Arial"/>
          <w:sz w:val="16"/>
          <w:szCs w:val="16"/>
          <w:color w:val="auto"/>
        </w:rPr>
      </w:pPr>
    </w:p>
    <w:p>
      <w:pPr>
        <w:jc w:val="both"/>
        <w:ind w:right="220" w:firstLine="428"/>
        <w:spacing w:after="0" w:line="276" w:lineRule="auto"/>
        <w:tabs>
          <w:tab w:leader="none" w:pos="81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19" w:name="page20"/>
    <w:bookmarkEnd w:id="1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70" w:lineRule="exact"/>
        <w:rPr>
          <w:sz w:val="20"/>
          <w:szCs w:val="20"/>
          <w:color w:val="auto"/>
        </w:rPr>
      </w:pPr>
    </w:p>
    <w:p>
      <w:pPr>
        <w:ind w:right="100" w:firstLine="428"/>
        <w:spacing w:after="0" w:line="264" w:lineRule="auto"/>
        <w:tabs>
          <w:tab w:leader="none" w:pos="8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73" w:lineRule="exact"/>
        <w:rPr>
          <w:rFonts w:ascii="Arial" w:cs="Arial" w:eastAsia="Arial" w:hAnsi="Arial"/>
          <w:sz w:val="18"/>
          <w:szCs w:val="18"/>
          <w:color w:val="auto"/>
        </w:rPr>
      </w:pPr>
    </w:p>
    <w:p>
      <w:pPr>
        <w:ind w:right="20" w:firstLine="428"/>
        <w:spacing w:after="0" w:line="255" w:lineRule="auto"/>
        <w:tabs>
          <w:tab w:leader="none" w:pos="7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 (ii) 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12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20" w:name="page21"/>
    <w:bookmarkEnd w:id="20"/>
    <w:p>
      <w:pPr>
        <w:ind w:left="440" w:right="700" w:firstLine="428"/>
        <w:spacing w:after="0" w:line="277" w:lineRule="auto"/>
        <w:tabs>
          <w:tab w:leader="none" w:pos="1210"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use the net proceeds received by it from the sale of the Designated Securities in the manner specified in the Prospectus under the caption “Use of Proceeds”;</w:t>
      </w:r>
    </w:p>
    <w:p>
      <w:pPr>
        <w:spacing w:after="0" w:line="62" w:lineRule="exact"/>
        <w:rPr>
          <w:rFonts w:ascii="Arial" w:cs="Arial" w:eastAsia="Arial" w:hAnsi="Arial"/>
          <w:sz w:val="18"/>
          <w:szCs w:val="18"/>
          <w:color w:val="auto"/>
        </w:rPr>
      </w:pPr>
    </w:p>
    <w:p>
      <w:pPr>
        <w:ind w:left="440" w:right="40" w:firstLine="428"/>
        <w:spacing w:after="0" w:line="277" w:lineRule="auto"/>
        <w:tabs>
          <w:tab w:leader="none" w:pos="12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62" w:lineRule="exact"/>
        <w:rPr>
          <w:rFonts w:ascii="Arial" w:cs="Arial" w:eastAsia="Arial" w:hAnsi="Arial"/>
          <w:sz w:val="18"/>
          <w:szCs w:val="18"/>
          <w:color w:val="auto"/>
        </w:rPr>
      </w:pPr>
    </w:p>
    <w:p>
      <w:pPr>
        <w:ind w:left="440" w:firstLine="428"/>
        <w:spacing w:after="0" w:line="269" w:lineRule="auto"/>
        <w:tabs>
          <w:tab w:leader="none" w:pos="121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82" w:lineRule="exact"/>
        <w:rPr>
          <w:rFonts w:ascii="Arial" w:cs="Arial" w:eastAsia="Arial" w:hAnsi="Arial"/>
          <w:sz w:val="17"/>
          <w:szCs w:val="17"/>
          <w:color w:val="auto"/>
        </w:rPr>
      </w:pPr>
    </w:p>
    <w:p>
      <w:pPr>
        <w:ind w:right="80" w:firstLine="444"/>
        <w:spacing w:after="0" w:line="287" w:lineRule="auto"/>
        <w:tabs>
          <w:tab w:leader="none" w:pos="7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1" w:name="page22"/>
    <w:bookmarkEnd w:id="21"/>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73" w:lineRule="exact"/>
        <w:rPr>
          <w:sz w:val="20"/>
          <w:szCs w:val="20"/>
          <w:color w:val="auto"/>
        </w:rPr>
      </w:pPr>
    </w:p>
    <w:p>
      <w:pPr>
        <w:ind w:right="80" w:firstLine="444"/>
        <w:spacing w:after="0" w:line="257" w:lineRule="auto"/>
        <w:tabs>
          <w:tab w:leader="none" w:pos="7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80" w:lineRule="exact"/>
        <w:rPr>
          <w:rFonts w:ascii="Arial" w:cs="Arial" w:eastAsia="Arial" w:hAnsi="Arial"/>
          <w:sz w:val="18"/>
          <w:szCs w:val="18"/>
          <w:color w:val="auto"/>
        </w:rPr>
      </w:pPr>
    </w:p>
    <w:p>
      <w:pPr>
        <w:ind w:left="440" w:right="40" w:firstLine="428"/>
        <w:spacing w:after="0" w:line="270" w:lineRule="auto"/>
        <w:tabs>
          <w:tab w:leader="none" w:pos="12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73" w:lineRule="exact"/>
        <w:rPr>
          <w:rFonts w:ascii="Arial" w:cs="Arial" w:eastAsia="Arial" w:hAnsi="Arial"/>
          <w:sz w:val="17"/>
          <w:szCs w:val="17"/>
          <w:color w:val="auto"/>
        </w:rPr>
      </w:pPr>
    </w:p>
    <w:p>
      <w:pPr>
        <w:ind w:left="440" w:right="40" w:firstLine="428"/>
        <w:spacing w:after="0" w:line="297" w:lineRule="auto"/>
        <w:tabs>
          <w:tab w:leader="none" w:pos="1253"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Sidley Austin </w:t>
      </w:r>
      <w:r>
        <w:rPr>
          <w:rFonts w:ascii="Arial" w:cs="Arial" w:eastAsia="Arial" w:hAnsi="Arial"/>
          <w:sz w:val="13"/>
          <w:szCs w:val="13"/>
          <w:color w:val="auto"/>
        </w:rPr>
        <w:t>LLP</w:t>
      </w:r>
      <w:r>
        <w:rPr>
          <w:rFonts w:ascii="Arial" w:cs="Arial" w:eastAsia="Arial" w:hAnsi="Arial"/>
          <w:sz w:val="16"/>
          <w:szCs w:val="16"/>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3"/>
          <w:szCs w:val="13"/>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2" w:name="page23"/>
    <w:bookmarkEnd w:id="22"/>
    <w:p>
      <w:pPr>
        <w:ind w:right="220" w:firstLine="428"/>
        <w:spacing w:after="0" w:line="259" w:lineRule="auto"/>
        <w:tabs>
          <w:tab w:leader="none" w:pos="803"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78" w:lineRule="exact"/>
        <w:rPr>
          <w:rFonts w:ascii="Arial" w:cs="Arial" w:eastAsia="Arial" w:hAnsi="Arial"/>
          <w:sz w:val="18"/>
          <w:szCs w:val="18"/>
          <w:color w:val="auto"/>
        </w:rPr>
      </w:pPr>
    </w:p>
    <w:p>
      <w:pPr>
        <w:ind w:right="60" w:firstLine="428"/>
        <w:spacing w:after="0" w:line="264" w:lineRule="auto"/>
        <w:tabs>
          <w:tab w:leader="none" w:pos="813"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73" w:lineRule="exact"/>
        <w:rPr>
          <w:rFonts w:ascii="Arial" w:cs="Arial" w:eastAsia="Arial" w:hAnsi="Arial"/>
          <w:sz w:val="18"/>
          <w:szCs w:val="18"/>
          <w:color w:val="auto"/>
        </w:rPr>
      </w:pPr>
    </w:p>
    <w:p>
      <w:pPr>
        <w:ind w:right="180" w:firstLine="428"/>
        <w:spacing w:after="0" w:line="259" w:lineRule="auto"/>
        <w:tabs>
          <w:tab w:leader="none" w:pos="79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At the Time of Delivery for such Designated Securities, the Designated Securities shall be rated at least A3 by Moody’s Investor’s Service Inc. and A-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78" w:lineRule="exact"/>
        <w:rPr>
          <w:rFonts w:ascii="Arial" w:cs="Arial" w:eastAsia="Arial" w:hAnsi="Arial"/>
          <w:sz w:val="18"/>
          <w:szCs w:val="18"/>
          <w:color w:val="auto"/>
        </w:rPr>
      </w:pPr>
    </w:p>
    <w:p>
      <w:pPr>
        <w:jc w:val="both"/>
        <w:ind w:right="60" w:firstLine="428"/>
        <w:spacing w:after="0" w:line="286" w:lineRule="auto"/>
        <w:tabs>
          <w:tab w:leader="none" w:pos="783"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Neither the Company nor any of its subsidiaries, considered as one enterprise, since the date of the last audited financial statements included or incorporated by reference in the Registration Statement, General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w:t>
      </w:r>
    </w:p>
    <w:p>
      <w:pPr>
        <w:spacing w:after="0" w:line="1" w:lineRule="exact"/>
        <w:rPr>
          <w:rFonts w:ascii="Arial" w:cs="Arial" w:eastAsia="Arial" w:hAnsi="Arial"/>
          <w:sz w:val="16"/>
          <w:szCs w:val="16"/>
          <w:color w:val="auto"/>
        </w:rPr>
      </w:pPr>
    </w:p>
    <w:p>
      <w:pPr>
        <w:ind w:firstLine="4"/>
        <w:spacing w:after="0" w:line="267" w:lineRule="auto"/>
        <w:tabs>
          <w:tab w:leader="none" w:pos="2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May 7, 2018 between the Company and Wells Fargo Securities, LLC, (b) the Equity Distribution Agreement dated May 7, 2018 between the Company and BofA Securities, Inc. and (c) the Equity Distribution Agreement dated May 7, 2018 between the Company and Citigroup Global Markets Inc., as the same may be amended from time to time or (vi) any non-material acquisition, merger or purchase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0"/>
          </w:cols>
          <w:pgMar w:left="880" w:top="274" w:right="439" w:bottom="1440" w:gutter="0" w:footer="0" w:header="0"/>
        </w:sectPr>
      </w:pPr>
    </w:p>
    <w:bookmarkStart w:id="23" w:name="page24"/>
    <w:bookmarkEnd w:id="23"/>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70" w:lineRule="exact"/>
        <w:rPr>
          <w:sz w:val="20"/>
          <w:szCs w:val="20"/>
          <w:color w:val="auto"/>
        </w:rPr>
      </w:pPr>
    </w:p>
    <w:p>
      <w:pPr>
        <w:jc w:val="both"/>
        <w:ind w:firstLine="428"/>
        <w:spacing w:after="0" w:line="302" w:lineRule="auto"/>
        <w:tabs>
          <w:tab w:leader="none" w:pos="813" w:val="left"/>
        </w:tabs>
        <w:numPr>
          <w:ilvl w:val="1"/>
          <w:numId w:val="26"/>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46" w:lineRule="exact"/>
        <w:rPr>
          <w:rFonts w:ascii="Arial" w:cs="Arial" w:eastAsia="Arial" w:hAnsi="Arial"/>
          <w:sz w:val="16"/>
          <w:szCs w:val="16"/>
          <w:color w:val="auto"/>
        </w:rPr>
      </w:pPr>
    </w:p>
    <w:p>
      <w:pPr>
        <w:ind w:left="820" w:hanging="392"/>
        <w:spacing w:after="0"/>
        <w:tabs>
          <w:tab w:leader="none" w:pos="8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w:t>
      </w:r>
    </w:p>
    <w:p>
      <w:pPr>
        <w:spacing w:after="0" w:line="46" w:lineRule="exact"/>
        <w:rPr>
          <w:rFonts w:ascii="Arial" w:cs="Arial" w:eastAsia="Arial" w:hAnsi="Arial"/>
          <w:sz w:val="16"/>
          <w:szCs w:val="16"/>
          <w:color w:val="auto"/>
        </w:rPr>
      </w:pPr>
    </w:p>
    <w:p>
      <w:pPr>
        <w:ind w:right="60" w:firstLine="4"/>
        <w:spacing w:after="0" w:line="252"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84" w:lineRule="exact"/>
        <w:rPr>
          <w:rFonts w:ascii="Arial" w:cs="Arial" w:eastAsia="Arial" w:hAnsi="Arial"/>
          <w:sz w:val="18"/>
          <w:szCs w:val="18"/>
          <w:color w:val="auto"/>
        </w:rPr>
      </w:pPr>
    </w:p>
    <w:p>
      <w:pPr>
        <w:ind w:right="20" w:firstLine="428"/>
        <w:spacing w:after="0" w:line="277" w:lineRule="auto"/>
        <w:tabs>
          <w:tab w:leader="none" w:pos="77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 and</w:t>
      </w:r>
    </w:p>
    <w:p>
      <w:pPr>
        <w:spacing w:after="0" w:line="62" w:lineRule="exact"/>
        <w:rPr>
          <w:rFonts w:ascii="Arial" w:cs="Arial" w:eastAsia="Arial" w:hAnsi="Arial"/>
          <w:sz w:val="18"/>
          <w:szCs w:val="18"/>
          <w:color w:val="auto"/>
        </w:rPr>
      </w:pPr>
    </w:p>
    <w:p>
      <w:pPr>
        <w:ind w:right="380" w:firstLine="428"/>
        <w:spacing w:after="0" w:line="286" w:lineRule="auto"/>
        <w:tabs>
          <w:tab w:leader="none" w:pos="77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and (g) of this Section 7 and as to such other matters as the Representatives may reasonably request.</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24" w:name="page25"/>
    <w:bookmarkEnd w:id="24"/>
    <w:p>
      <w:pPr>
        <w:ind w:left="-20" w:right="40" w:firstLine="444"/>
        <w:spacing w:after="0" w:line="286" w:lineRule="auto"/>
        <w:tabs>
          <w:tab w:leader="none" w:pos="736"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72" w:lineRule="exact"/>
        <w:rPr>
          <w:sz w:val="20"/>
          <w:szCs w:val="20"/>
          <w:color w:val="auto"/>
        </w:rPr>
      </w:pPr>
    </w:p>
    <w:p>
      <w:pPr>
        <w:ind w:left="-20" w:firstLine="444"/>
        <w:spacing w:after="0" w:line="269" w:lineRule="auto"/>
        <w:tabs>
          <w:tab w:leader="none" w:pos="811"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25" w:name="page26"/>
    <w:bookmarkEnd w:id="25"/>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81" w:lineRule="exact"/>
        <w:rPr>
          <w:sz w:val="20"/>
          <w:szCs w:val="20"/>
          <w:color w:val="auto"/>
        </w:rPr>
      </w:pPr>
    </w:p>
    <w:p>
      <w:pPr>
        <w:ind w:firstLine="444"/>
        <w:spacing w:after="0" w:line="268" w:lineRule="auto"/>
        <w:tabs>
          <w:tab w:leader="none" w:pos="8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3" w:lineRule="exact"/>
        <w:rPr>
          <w:rFonts w:ascii="Arial" w:cs="Arial" w:eastAsia="Arial" w:hAnsi="Arial"/>
          <w:sz w:val="17"/>
          <w:szCs w:val="17"/>
          <w:color w:val="auto"/>
        </w:rPr>
      </w:pPr>
    </w:p>
    <w:p>
      <w:pPr>
        <w:ind w:left="840" w:hanging="396"/>
        <w:spacing w:after="0"/>
        <w:tabs>
          <w:tab w:leader="none" w:pos="8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w:t>
      </w:r>
    </w:p>
    <w:p>
      <w:pPr>
        <w:spacing w:after="0" w:line="46" w:lineRule="exact"/>
        <w:rPr>
          <w:rFonts w:ascii="Arial" w:cs="Arial" w:eastAsia="Arial" w:hAnsi="Arial"/>
          <w:sz w:val="16"/>
          <w:szCs w:val="16"/>
          <w:color w:val="auto"/>
        </w:rPr>
      </w:pPr>
    </w:p>
    <w:p>
      <w:pPr>
        <w:ind w:firstLine="4"/>
        <w:spacing w:after="0" w:line="287" w:lineRule="auto"/>
        <w:tabs>
          <w:tab w:leader="none" w:pos="2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6" w:name="page27"/>
    <w:bookmarkEnd w:id="2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w:t>
      </w:r>
    </w:p>
    <w:p>
      <w:pPr>
        <w:spacing w:after="0" w:line="3" w:lineRule="exact"/>
        <w:rPr>
          <w:sz w:val="20"/>
          <w:szCs w:val="20"/>
          <w:color w:val="auto"/>
        </w:rPr>
      </w:pPr>
    </w:p>
    <w:p>
      <w:pPr>
        <w:ind w:firstLine="4"/>
        <w:spacing w:after="0" w:line="286" w:lineRule="auto"/>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70" w:lineRule="exact"/>
        <w:rPr>
          <w:rFonts w:ascii="Arial" w:cs="Arial" w:eastAsia="Arial" w:hAnsi="Arial"/>
          <w:sz w:val="16"/>
          <w:szCs w:val="16"/>
          <w:color w:val="auto"/>
        </w:rPr>
      </w:pPr>
    </w:p>
    <w:p>
      <w:pPr>
        <w:ind w:right="100" w:firstLine="444"/>
        <w:spacing w:after="0" w:line="257" w:lineRule="auto"/>
        <w:tabs>
          <w:tab w:leader="none" w:pos="81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to each trustee of the Company and to each person, if any, who controls the Company within the meaning of the Act.</w:t>
      </w:r>
    </w:p>
    <w:p>
      <w:pPr>
        <w:spacing w:after="0" w:line="188" w:lineRule="exact"/>
        <w:rPr>
          <w:sz w:val="20"/>
          <w:szCs w:val="20"/>
          <w:color w:val="auto"/>
        </w:rPr>
      </w:pPr>
    </w:p>
    <w:p>
      <w:pPr>
        <w:ind w:right="60" w:firstLine="444"/>
        <w:spacing w:after="0" w:line="257" w:lineRule="auto"/>
        <w:tabs>
          <w:tab w:leader="none" w:pos="7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7" w:name="page28"/>
    <w:bookmarkEnd w:id="2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66" w:lineRule="exact"/>
        <w:rPr>
          <w:sz w:val="20"/>
          <w:szCs w:val="20"/>
          <w:color w:val="auto"/>
        </w:rPr>
      </w:pPr>
    </w:p>
    <w:p>
      <w:pPr>
        <w:ind w:right="60" w:firstLine="444"/>
        <w:spacing w:after="0" w:line="290" w:lineRule="auto"/>
        <w:tabs>
          <w:tab w:leader="none" w:pos="83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66" w:lineRule="exact"/>
        <w:rPr>
          <w:rFonts w:ascii="Arial" w:cs="Arial" w:eastAsia="Arial" w:hAnsi="Arial"/>
          <w:sz w:val="16"/>
          <w:szCs w:val="16"/>
          <w:color w:val="auto"/>
        </w:rPr>
      </w:pPr>
    </w:p>
    <w:p>
      <w:pPr>
        <w:ind w:firstLine="444"/>
        <w:spacing w:after="0" w:line="290"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66" w:lineRule="exact"/>
        <w:rPr>
          <w:sz w:val="20"/>
          <w:szCs w:val="20"/>
          <w:color w:val="auto"/>
        </w:rPr>
      </w:pPr>
    </w:p>
    <w:p>
      <w:pPr>
        <w:ind w:right="200" w:firstLine="444"/>
        <w:spacing w:after="0" w:line="277" w:lineRule="auto"/>
        <w:tabs>
          <w:tab w:leader="none" w:pos="8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Company and the several Underwriters, as set forth in this Underwriting Agreement or made by or on behalf of them, respectively, pursuant to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81" w:lineRule="exact"/>
        <w:rPr>
          <w:sz w:val="20"/>
          <w:szCs w:val="20"/>
          <w:color w:val="auto"/>
        </w:rPr>
      </w:pPr>
    </w:p>
    <w:p>
      <w:pPr>
        <w:ind w:right="80" w:firstLine="444"/>
        <w:spacing w:after="0" w:line="272" w:lineRule="auto"/>
        <w:tabs>
          <w:tab w:leader="none" w:pos="839"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77" w:lineRule="exact"/>
        <w:rPr>
          <w:rFonts w:ascii="Arial" w:cs="Arial" w:eastAsia="Arial" w:hAnsi="Arial"/>
          <w:sz w:val="17"/>
          <w:szCs w:val="17"/>
          <w:color w:val="auto"/>
        </w:rPr>
      </w:pPr>
    </w:p>
    <w:p>
      <w:pPr>
        <w:ind w:right="100" w:firstLine="444"/>
        <w:spacing w:after="0" w:line="312" w:lineRule="auto"/>
        <w:tabs>
          <w:tab w:leader="none" w:pos="846"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4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67" w:lineRule="exact"/>
        <w:rPr>
          <w:sz w:val="20"/>
          <w:szCs w:val="20"/>
          <w:color w:val="auto"/>
        </w:rPr>
      </w:pPr>
    </w:p>
    <w:p>
      <w:pPr>
        <w:ind w:right="460" w:firstLine="444"/>
        <w:spacing w:after="0" w:line="277" w:lineRule="auto"/>
        <w:tabs>
          <w:tab w:leader="none" w:pos="8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right="260" w:firstLine="444"/>
        <w:spacing w:after="0" w:line="259" w:lineRule="auto"/>
        <w:tabs>
          <w:tab w:leader="none" w:pos="8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virtue of this Underwriting Agreement or any such Pricing Agreement. No purchaser of any of the Securities from any Underwriter shall be deemed a successor or assign by reason merely of such purchase.</w:t>
      </w:r>
    </w:p>
    <w:p>
      <w:pPr>
        <w:spacing w:after="0" w:line="170" w:lineRule="exact"/>
        <w:rPr>
          <w:sz w:val="20"/>
          <w:szCs w:val="20"/>
          <w:color w:val="auto"/>
        </w:rPr>
      </w:pPr>
    </w:p>
    <w:p>
      <w:pPr>
        <w:ind w:right="180" w:firstLine="444"/>
        <w:spacing w:after="0" w:line="277" w:lineRule="auto"/>
        <w:tabs>
          <w:tab w:leader="none" w:pos="84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York.</w:t>
      </w:r>
    </w:p>
    <w:p>
      <w:pPr>
        <w:spacing w:after="0" w:line="210" w:lineRule="exact"/>
        <w:rPr>
          <w:rFonts w:ascii="Arial" w:cs="Arial" w:eastAsia="Arial" w:hAnsi="Arial"/>
          <w:sz w:val="16"/>
          <w:szCs w:val="16"/>
          <w:color w:val="auto"/>
        </w:rPr>
      </w:pPr>
    </w:p>
    <w:p>
      <w:pPr>
        <w:ind w:right="380" w:firstLine="444"/>
        <w:spacing w:after="0" w:line="286" w:lineRule="auto"/>
        <w:tabs>
          <w:tab w:leader="none" w:pos="84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66" w:lineRule="exact"/>
        <w:rPr>
          <w:sz w:val="20"/>
          <w:szCs w:val="20"/>
          <w:color w:val="auto"/>
        </w:rPr>
      </w:pPr>
    </w:p>
    <w:p>
      <w:pPr>
        <w:ind w:right="320" w:firstLine="992"/>
        <w:spacing w:after="0" w:line="312" w:lineRule="auto"/>
        <w:rPr>
          <w:sz w:val="20"/>
          <w:szCs w:val="20"/>
          <w:color w:val="auto"/>
        </w:rPr>
      </w:pPr>
      <w:r>
        <w:rPr>
          <w:rFonts w:ascii="Arial" w:cs="Arial" w:eastAsia="Arial" w:hAnsi="Arial"/>
          <w:sz w:val="16"/>
          <w:szCs w:val="16"/>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47" w:lineRule="exact"/>
        <w:rPr>
          <w:sz w:val="20"/>
          <w:szCs w:val="20"/>
          <w:color w:val="auto"/>
        </w:rPr>
      </w:pPr>
    </w:p>
    <w:p>
      <w:pPr>
        <w:ind w:firstLine="992"/>
        <w:spacing w:after="0" w:line="288" w:lineRule="auto"/>
        <w:rPr>
          <w:sz w:val="20"/>
          <w:szCs w:val="20"/>
          <w:color w:val="auto"/>
        </w:rPr>
      </w:pPr>
      <w:r>
        <w:rPr>
          <w:rFonts w:ascii="Arial" w:cs="Arial" w:eastAsia="Arial" w:hAnsi="Arial"/>
          <w:sz w:val="16"/>
          <w:szCs w:val="16"/>
          <w:color w:val="auto"/>
        </w:rPr>
        <w:t>For purposes of foregoing two paragraphs, “</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w:t>
      </w:r>
    </w:p>
    <w:p>
      <w:pPr>
        <w:ind w:firstLine="4"/>
        <w:spacing w:after="0" w:line="254"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rFonts w:ascii="Arial" w:cs="Arial" w:eastAsia="Arial" w:hAnsi="Arial"/>
          <w:sz w:val="18"/>
          <w:szCs w:val="18"/>
          <w:color w:val="auto"/>
        </w:rPr>
      </w:pPr>
    </w:p>
    <w:p>
      <w:pPr>
        <w:ind w:right="120" w:firstLine="444"/>
        <w:spacing w:after="0" w:line="264" w:lineRule="auto"/>
        <w:tabs>
          <w:tab w:leader="none" w:pos="84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jc w:val="both"/>
        <w:ind w:left="6180"/>
        <w:spacing w:after="0"/>
        <w:tabs>
          <w:tab w:leader="none" w:pos="6740" w:val="left"/>
        </w:tabs>
        <w:rPr>
          <w:sz w:val="20"/>
          <w:szCs w:val="20"/>
          <w:color w:val="auto"/>
        </w:rPr>
      </w:pPr>
      <w:r>
        <w:rPr>
          <w:rFonts w:ascii="Arial" w:cs="Arial" w:eastAsia="Arial" w:hAnsi="Arial"/>
          <w:sz w:val="18"/>
          <w:szCs w:val="18"/>
          <w:color w:val="auto"/>
        </w:rPr>
        <w:t>Title:</w:t>
        <w:tab/>
        <w:t>Executive Vice President-Chief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Treasurer</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300"/>
          </w:cols>
          <w:pgMar w:left="880" w:top="274" w:right="7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rFonts w:ascii="Arial" w:cs="Arial" w:eastAsia="Arial" w:hAnsi="Arial"/>
          <w:sz w:val="15"/>
          <w:szCs w:val="15"/>
          <w:color w:val="auto"/>
        </w:rPr>
        <w:t>OF</w:t>
      </w:r>
      <w:r>
        <w:rPr>
          <w:rFonts w:ascii="Arial" w:cs="Arial" w:eastAsia="Arial" w:hAnsi="Arial"/>
          <w:sz w:val="18"/>
          <w:szCs w:val="18"/>
          <w:color w:val="auto"/>
        </w:rPr>
        <w:t>A S</w:t>
      </w:r>
      <w:r>
        <w:rPr>
          <w:rFonts w:ascii="Arial" w:cs="Arial" w:eastAsia="Arial" w:hAnsi="Arial"/>
          <w:sz w:val="15"/>
          <w:szCs w:val="15"/>
          <w:color w:val="auto"/>
        </w:rPr>
        <w:t>ECURITIES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Hicham Hamdouch</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Hicham Hamdouch</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Managing Director Investment Banking</w:t>
            </w:r>
          </w:p>
        </w:tc>
      </w:tr>
      <w:tr>
        <w:trPr>
          <w:trHeight w:val="459"/>
        </w:trPr>
        <w:tc>
          <w:tcPr>
            <w:tcW w:w="4420" w:type="dxa"/>
            <w:vAlign w:val="bottom"/>
            <w:gridSpan w:val="2"/>
          </w:tcPr>
          <w:p>
            <w:pPr>
              <w:spacing w:after="0"/>
              <w:rPr>
                <w:sz w:val="20"/>
                <w:szCs w:val="20"/>
                <w:color w:val="auto"/>
              </w:rPr>
            </w:pPr>
            <w:r>
              <w:rPr>
                <w:rFonts w:ascii="Arial" w:cs="Arial" w:eastAsia="Arial" w:hAnsi="Arial"/>
                <w:sz w:val="18"/>
                <w:szCs w:val="18"/>
                <w:color w:val="auto"/>
              </w:rPr>
              <w:t>Jefferies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Casey</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Matt Casey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59"/>
        </w:trPr>
        <w:tc>
          <w:tcPr>
            <w:tcW w:w="44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Hurley</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Carolyn Hurley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pacing w:after="0" w:line="181"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019"/>
          </w:cols>
          <w:pgMar w:left="440" w:top="274"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OF</w:t>
      </w:r>
      <w:r>
        <w:rPr>
          <w:rFonts w:ascii="Arial" w:cs="Arial" w:eastAsia="Arial" w:hAnsi="Arial"/>
          <w:sz w:val="18"/>
          <w:szCs w:val="18"/>
          <w:color w:val="auto"/>
        </w:rPr>
        <w:t>A S</w:t>
      </w:r>
      <w:r>
        <w:rPr>
          <w:rFonts w:ascii="Arial" w:cs="Arial" w:eastAsia="Arial" w:hAnsi="Arial"/>
          <w:sz w:val="15"/>
          <w:szCs w:val="15"/>
          <w:color w:val="auto"/>
        </w:rPr>
        <w:t>ECURITIES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c/o</w:t>
        <w:tab/>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August 19, 2019 (the “Underwriting Agreement”), between the Company on the one hand and BofA Securities, Inc., Jefferies LLC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020"/>
          </w:cols>
          <w:pgMar w:left="440" w:top="270" w:right="439" w:bottom="1440" w:gutter="0" w:footer="0" w:header="0"/>
        </w:sectPr>
      </w:pPr>
    </w:p>
    <w:bookmarkStart w:id="33" w:name="page34"/>
    <w:bookmarkEnd w:id="33"/>
    <w:p>
      <w:pPr>
        <w:ind w:right="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jc w:val="both"/>
        <w:ind w:right="180" w:firstLine="441"/>
        <w:spacing w:after="0" w:line="286" w:lineRule="auto"/>
        <w:rPr>
          <w:sz w:val="20"/>
          <w:szCs w:val="20"/>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66"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66"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For purposes of foregoing two paragraphs, “</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 as applicable; and “</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w:t>
      </w:r>
    </w:p>
    <w:p>
      <w:pPr>
        <w:spacing w:after="0" w:line="2" w:lineRule="exact"/>
        <w:rPr>
          <w:sz w:val="20"/>
          <w:szCs w:val="20"/>
          <w:color w:val="auto"/>
        </w:rPr>
      </w:pPr>
    </w:p>
    <w:p>
      <w:pPr>
        <w:ind w:right="120" w:firstLine="4"/>
        <w:spacing w:after="0" w:line="261"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000"/>
          </w:cols>
          <w:pgMar w:left="440" w:top="274" w:right="45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A-3</w:t>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20"/>
          </w:cols>
          <w:pgMar w:left="440" w:top="274"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rFonts w:ascii="Arial" w:cs="Arial" w:eastAsia="Arial" w:hAnsi="Arial"/>
          <w:sz w:val="15"/>
          <w:szCs w:val="15"/>
          <w:color w:val="auto"/>
        </w:rPr>
        <w:t>OF</w:t>
      </w:r>
      <w:r>
        <w:rPr>
          <w:rFonts w:ascii="Arial" w:cs="Arial" w:eastAsia="Arial" w:hAnsi="Arial"/>
          <w:sz w:val="18"/>
          <w:szCs w:val="18"/>
          <w:color w:val="auto"/>
        </w:rPr>
        <w:t>A S</w:t>
      </w:r>
      <w:r>
        <w:rPr>
          <w:rFonts w:ascii="Arial" w:cs="Arial" w:eastAsia="Arial" w:hAnsi="Arial"/>
          <w:sz w:val="15"/>
          <w:szCs w:val="15"/>
          <w:color w:val="auto"/>
        </w:rPr>
        <w:t>ECURITIES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019"/>
          </w:cols>
          <w:pgMar w:left="440" w:top="274" w:right="1440" w:bottom="1440" w:gutter="0" w:footer="0" w:header="0"/>
        </w:sectPr>
      </w:pPr>
    </w:p>
    <w:bookmarkStart w:id="37" w:name="page38"/>
    <w:bookmarkEnd w:id="37"/>
    <w:tbl>
      <w:tblPr>
        <w:tblLayout w:type="fixed"/>
        <w:tblInd w:w="780" w:type="dxa"/>
        <w:tblCellMar>
          <w:top w:w="0" w:type="dxa"/>
          <w:left w:w="0" w:type="dxa"/>
          <w:bottom w:w="0" w:type="dxa"/>
          <w:right w:w="0" w:type="dxa"/>
        </w:tblCellMar>
      </w:tblPr>
      <w:tr>
        <w:trPr>
          <w:trHeight w:val="275"/>
        </w:trPr>
        <w:tc>
          <w:tcPr>
            <w:tcW w:w="7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560" w:type="dxa"/>
            <w:vAlign w:val="bottom"/>
            <w:gridSpan w:val="3"/>
          </w:tcPr>
          <w:p>
            <w:pPr>
              <w:jc w:val="right"/>
              <w:ind w:right="1945"/>
              <w:spacing w:after="0"/>
              <w:rPr>
                <w:sz w:val="20"/>
                <w:szCs w:val="20"/>
                <w:color w:val="auto"/>
              </w:rPr>
            </w:pPr>
            <w:r>
              <w:rPr>
                <w:rFonts w:ascii="Arial" w:cs="Arial" w:eastAsia="Arial" w:hAnsi="Arial"/>
                <w:sz w:val="22"/>
                <w:szCs w:val="22"/>
                <w:color w:val="auto"/>
              </w:rPr>
              <w:t>SCHEDULE I</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040" w:type="dxa"/>
            <w:vAlign w:val="bottom"/>
            <w:vMerge w:val="restart"/>
          </w:tcPr>
          <w:p>
            <w:pPr>
              <w:spacing w:after="0"/>
              <w:rPr>
                <w:sz w:val="24"/>
                <w:szCs w:val="24"/>
                <w:color w:val="auto"/>
              </w:rPr>
            </w:pPr>
          </w:p>
        </w:tc>
        <w:tc>
          <w:tcPr>
            <w:tcW w:w="334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33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22,667,000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22,667,000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SunTrust Robinson Humphrey, Inc.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9019"/>
          </w:cols>
          <w:pgMar w:left="1440" w:top="267"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r>
        <w:rPr>
          <w:rFonts w:ascii="Arial" w:cs="Arial" w:eastAsia="Arial" w:hAnsi="Arial"/>
          <w:sz w:val="15"/>
          <w:szCs w:val="15"/>
          <w:color w:val="auto"/>
        </w:rPr>
        <w:t>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3.20% Notes due 2029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103.813% of the principal amount of the Designated Securities, plus accrued interest of $657,777.78 from, and including, June 7, 2019 to, but excluding, the settlement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103.163% of the principal amount of the Designated Securities, plus accrued interest of $657,777.78 from, and including, June 7, 2019 to, but excluding, the settlement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15, 2029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15 and December 15, beginning on December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ind w:left="440" w:hanging="436"/>
        <w:spacing w:after="0" w:line="259" w:lineRule="auto"/>
        <w:tabs>
          <w:tab w:leader="none" w:pos="440" w:val="left"/>
        </w:tabs>
        <w:numPr>
          <w:ilvl w:val="0"/>
          <w:numId w:val="42"/>
        </w:numPr>
        <w:rPr>
          <w:rFonts w:ascii="Arial" w:cs="Arial" w:eastAsia="Arial" w:hAnsi="Arial"/>
          <w:sz w:val="15"/>
          <w:szCs w:val="15"/>
          <w:color w:val="auto"/>
        </w:rPr>
      </w:pPr>
      <w:r>
        <w:rPr>
          <w:rFonts w:ascii="Arial" w:cs="Arial" w:eastAsia="Arial" w:hAnsi="Arial"/>
          <w:sz w:val="18"/>
          <w:szCs w:val="18"/>
          <w:color w:val="auto"/>
        </w:rPr>
        <w:t>The terms of the 3.20% Notes due 2029, other than their issue date, issue price and, if applicable, first interest payment date and initial interest accrual date will be identical to the terms of and will be part of the same series as the Company’s outstanding 3.20% Notes due 2029 ($300 million of which were originally issued on June 7, 2019). (However, for U.S. federal income tax purposes the Notes offered hereby will be deemed to have the same issue date and issue price as the existing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II to Exhibit A, Page 1</w:t>
      </w:r>
    </w:p>
    <w:p>
      <w:pPr>
        <w:sectPr>
          <w:pgSz w:w="11900" w:h="16838" w:orient="portrait"/>
          <w:cols w:equalWidth="0" w:num="1">
            <w:col w:w="11020"/>
          </w:cols>
          <w:pgMar w:left="440" w:top="274"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2:45 p.m. (Eastern time) on August 19, 2019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August 21,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 Rockefeller Plaza, NY1-050-12-02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High Grade Transaction Management/Legal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855-5958</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619-4437</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(704) 410-0326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Transaction Management</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Sch. II to Exhibit A, Page 2</w:t>
      </w:r>
    </w:p>
    <w:p>
      <w:pPr>
        <w:sectPr>
          <w:pgSz w:w="11900" w:h="16838" w:orient="portrait"/>
          <w:cols w:equalWidth="0" w:num="1">
            <w:col w:w="10220"/>
          </w:cols>
          <w:pgMar w:left="440" w:top="270" w:right="1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121"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Final Term Sheet, attached hereto as Schedule I to this 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B-1</w:t>
      </w:r>
    </w:p>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Exhibit B</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August 19, 2019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333-224701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August 19, 2019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May 7,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Federal Realty Investment Trust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3.20% Notes due 2029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Term Sheet dated August 19, 2019</w:t>
      </w:r>
    </w:p>
    <w:p>
      <w:pPr>
        <w:sectPr>
          <w:pgSz w:w="11900" w:h="16838" w:orient="portrait"/>
          <w:cols w:equalWidth="0" w:num="1">
            <w:col w:w="11020"/>
          </w:cols>
          <w:pgMar w:left="440" w:top="270" w:right="4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140"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3.20% Notes due 2029 (the “Notes”)</w:t>
      </w:r>
    </w:p>
    <w:p>
      <w:pPr>
        <w:spacing w:after="0" w:line="140"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Principal Amount:</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$100,000,000 (the Notes will be part of the same series of notes as the $300,000,000 aggregate principal amount of Federal Realty Investment Trust’s 3.20% Notes due 2029, which were originally issued on June 7, 2019)</w:t>
      </w:r>
    </w:p>
    <w:p>
      <w:pPr>
        <w:spacing w:after="0" w:line="73"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19, 2019</w:t>
      </w:r>
    </w:p>
    <w:p>
      <w:pPr>
        <w:spacing w:after="0" w:line="140"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21, 2019 (T+2)</w:t>
      </w:r>
    </w:p>
    <w:p>
      <w:pPr>
        <w:spacing w:after="0" w:line="140"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June 15, 2029</w:t>
      </w:r>
    </w:p>
    <w:p>
      <w:pPr>
        <w:spacing w:after="0" w:line="140"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June 15 and December 15, beginning on December 15, 2019</w:t>
      </w:r>
    </w:p>
    <w:p>
      <w:pPr>
        <w:spacing w:after="0" w:line="140"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1.625% due August 15, 2029</w:t>
      </w:r>
    </w:p>
    <w:p>
      <w:pPr>
        <w:spacing w:after="0" w:line="140"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Price/Yield: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100-09 / 1.594%</w:t>
      </w:r>
    </w:p>
    <w:p>
      <w:pPr>
        <w:spacing w:after="0" w:line="140" w:lineRule="exact"/>
        <w:rPr>
          <w:sz w:val="20"/>
          <w:szCs w:val="20"/>
          <w:color w:val="auto"/>
        </w:rPr>
      </w:pPr>
    </w:p>
    <w:p>
      <w:pPr>
        <w:sectPr>
          <w:pgSz w:w="11900" w:h="16838" w:orient="portrait"/>
          <w:cols w:equalWidth="0" w:num="2">
            <w:col w:w="2420" w:space="56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+115 basis points</w:t>
      </w:r>
    </w:p>
    <w:p>
      <w:pPr>
        <w:spacing w:after="0" w:line="140" w:lineRule="exact"/>
        <w:rPr>
          <w:sz w:val="20"/>
          <w:szCs w:val="20"/>
          <w:color w:val="auto"/>
        </w:rPr>
      </w:pPr>
    </w:p>
    <w:p>
      <w:pPr>
        <w:sectPr>
          <w:pgSz w:w="11900" w:h="16838" w:orient="portrait"/>
          <w:cols w:equalWidth="0" w:num="2">
            <w:col w:w="2300" w:space="68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color w:val="auto"/>
        </w:rPr>
        <w:t>Re-Offer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2.744%</w:t>
      </w:r>
    </w:p>
    <w:p>
      <w:pPr>
        <w:spacing w:after="0" w:line="140"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3.20% per year (interest on the Notes will accrue from June 7, 2019)</w:t>
      </w:r>
    </w:p>
    <w:p>
      <w:pPr>
        <w:spacing w:after="0" w:line="140"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103.813% of the principal amount, plus accrued interest of $657,777.78 from, and including, June 7, 2019 to, but excluding, the settlement date</w:t>
      </w:r>
    </w:p>
    <w:p>
      <w:pPr>
        <w:spacing w:after="0" w:line="103" w:lineRule="exact"/>
        <w:rPr>
          <w:sz w:val="20"/>
          <w:szCs w:val="20"/>
          <w:color w:val="auto"/>
        </w:rPr>
      </w:pPr>
    </w:p>
    <w:p>
      <w:pPr>
        <w:sectPr>
          <w:pgSz w:w="11900" w:h="16838" w:orient="portrait"/>
          <w:cols w:equalWidth="0" w:num="2">
            <w:col w:w="2260" w:space="720"/>
            <w:col w:w="8040"/>
          </w:cols>
          <w:pgMar w:left="440" w:top="270" w:right="4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Sch. I to Exhibit B, Page 1</w:t>
      </w:r>
    </w:p>
    <w:p>
      <w:pPr>
        <w:sectPr>
          <w:pgSz w:w="11900" w:h="16838" w:orient="portrait"/>
          <w:cols w:equalWidth="0" w:num="1">
            <w:col w:w="11020"/>
          </w:cols>
          <w:pgMar w:left="440" w:top="270" w:right="4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0"/>
          <w:szCs w:val="20"/>
          <w:color w:val="auto"/>
        </w:rPr>
      </w:pPr>
      <w:r>
        <w:rPr>
          <w:sz w:val="20"/>
          <w:szCs w:val="20"/>
          <w:color w:val="auto"/>
        </w:rPr>
        <w:br w:type="column"/>
      </w:r>
    </w:p>
    <w:p>
      <w:pPr>
        <w:jc w:val="both"/>
        <w:ind w:right="100"/>
        <w:spacing w:after="0" w:line="286" w:lineRule="auto"/>
        <w:rPr>
          <w:sz w:val="20"/>
          <w:szCs w:val="20"/>
          <w:color w:val="auto"/>
        </w:rPr>
      </w:pPr>
      <w:r>
        <w:rPr>
          <w:rFonts w:ascii="Arial" w:cs="Arial" w:eastAsia="Arial" w:hAnsi="Arial"/>
          <w:sz w:val="17"/>
          <w:szCs w:val="17"/>
          <w:color w:val="auto"/>
        </w:rPr>
        <w:t>At any time before March 15, 2029, make-whole call based on U.S. Treasury plus 20 basis points (0.20%); if redeemed on or after March 15, 2029, at 100% of the principal amount of the notes being redeemed, in each case plus accrued and unpaid interest thereon to, but excluding,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-596900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2260" w:space="720"/>
            <w:col w:w="7960"/>
          </w:cols>
          <w:pgMar w:left="440" w:top="382" w:right="519" w:bottom="1440" w:gutter="0" w:footer="0" w:header="0"/>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313747 AZ0 / US313747AZ04</w:t>
      </w:r>
    </w:p>
    <w:p>
      <w:pPr>
        <w:spacing w:after="0" w:line="140" w:lineRule="exact"/>
        <w:rPr>
          <w:sz w:val="20"/>
          <w:szCs w:val="20"/>
          <w:color w:val="auto"/>
        </w:rPr>
      </w:pPr>
    </w:p>
    <w:p>
      <w:pPr>
        <w:sectPr>
          <w:pgSz w:w="11900" w:h="16838" w:orient="portrait"/>
          <w:cols w:equalWidth="0" w:num="2">
            <w:col w:w="2260" w:space="720"/>
            <w:col w:w="7960"/>
          </w:cols>
          <w:pgMar w:left="440" w:top="382" w:right="51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Wells Fargo Securities, LLC</w:t>
      </w:r>
    </w:p>
    <w:p>
      <w:pPr>
        <w:spacing w:after="0" w:line="126" w:lineRule="exact"/>
        <w:rPr>
          <w:sz w:val="20"/>
          <w:szCs w:val="20"/>
          <w:color w:val="auto"/>
        </w:rPr>
      </w:pPr>
    </w:p>
    <w:p>
      <w:pPr>
        <w:sectPr>
          <w:pgSz w:w="11900" w:h="16838" w:orient="portrait"/>
          <w:cols w:equalWidth="0" w:num="2">
            <w:col w:w="2280" w:space="700"/>
            <w:col w:w="7960"/>
          </w:cols>
          <w:pgMar w:left="440" w:top="382" w:right="51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228600</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720"/>
            <w:col w:w="7960"/>
          </w:cols>
          <w:pgMar w:left="440" w:top="382" w:right="519" w:bottom="1440" w:gutter="0" w:footer="0" w:header="0"/>
          <w:type w:val="continuous"/>
        </w:sectPr>
      </w:pPr>
    </w:p>
    <w:p>
      <w:pPr>
        <w:spacing w:after="0" w:line="37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7"/>
          <w:szCs w:val="17"/>
          <w:color w:val="auto"/>
        </w:rPr>
        <w:t>A</w:t>
      </w:r>
      <w:r>
        <w:rPr>
          <w:rFonts w:ascii="Arial" w:cs="Arial" w:eastAsia="Arial" w:hAnsi="Arial"/>
          <w:sz w:val="17"/>
          <w:szCs w:val="17"/>
          <w:b w:val="1"/>
          <w:bCs w:val="1"/>
          <w:color w:val="auto"/>
        </w:rPr>
        <w:t>lternatively, the issuer, any underwriter or any dealer participating in the offering will arrange to send you the prospectus supplement and prospectus if you request it from (i) BofA Securities, Inc. toll-free at 1-800-294-1322, (ii) Jefferies LLC toll free at 1-877-877-0696 or (iii) Wells Fargo Securities, LLC toll-free at 1-800-645-3751.</w:t>
      </w:r>
    </w:p>
    <w:p>
      <w:pPr>
        <w:spacing w:after="0" w:line="17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 I to Exhibit B, Page 2</w:t>
      </w:r>
    </w:p>
    <w:p>
      <w:pPr>
        <w:sectPr>
          <w:pgSz w:w="11900" w:h="16838" w:orient="portrait"/>
          <w:cols w:equalWidth="0" w:num="1">
            <w:col w:w="10940"/>
          </w:cols>
          <w:pgMar w:left="440" w:top="382" w:right="51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August 19,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OF</w:t>
      </w:r>
      <w:r>
        <w:rPr>
          <w:rFonts w:ascii="Arial" w:cs="Arial" w:eastAsia="Arial" w:hAnsi="Arial"/>
          <w:sz w:val="18"/>
          <w:szCs w:val="18"/>
          <w:color w:val="auto"/>
        </w:rPr>
        <w:t>A S</w:t>
      </w:r>
      <w:r>
        <w:rPr>
          <w:rFonts w:ascii="Arial" w:cs="Arial" w:eastAsia="Arial" w:hAnsi="Arial"/>
          <w:sz w:val="15"/>
          <w:szCs w:val="15"/>
          <w:color w:val="auto"/>
        </w:rPr>
        <w:t>ECURITIES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c/o</w:t>
        <w:tab/>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August 19, 2019 (the “Underwriting Agreement”), between the Company on the one hand and BofA Securities, Inc., Jefferies LLC and Wells Fargo Securities, LLC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ectPr>
          <w:pgSz w:w="11900" w:h="16838" w:orient="portrait"/>
          <w:cols w:equalWidth="0" w:num="1">
            <w:col w:w="11020"/>
          </w:cols>
          <w:pgMar w:left="440" w:top="121" w:right="439" w:bottom="1440" w:gutter="0" w:footer="0" w:header="0"/>
        </w:sectPr>
      </w:pPr>
    </w:p>
    <w:bookmarkStart w:id="44" w:name="page45"/>
    <w:bookmarkEnd w:id="44"/>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7" w:lineRule="exact"/>
        <w:rPr>
          <w:sz w:val="20"/>
          <w:szCs w:val="20"/>
          <w:color w:val="auto"/>
        </w:rPr>
      </w:pPr>
    </w:p>
    <w:p>
      <w:pPr>
        <w:jc w:val="both"/>
        <w:ind w:right="180" w:firstLine="441"/>
        <w:spacing w:after="0" w:line="286" w:lineRule="auto"/>
        <w:rPr>
          <w:sz w:val="20"/>
          <w:szCs w:val="20"/>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66"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66"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For purposes of foregoing two paragraphs, “</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 as applicable; and “</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w:t>
      </w:r>
    </w:p>
    <w:p>
      <w:pPr>
        <w:spacing w:after="0" w:line="2" w:lineRule="exact"/>
        <w:rPr>
          <w:sz w:val="20"/>
          <w:szCs w:val="20"/>
          <w:color w:val="auto"/>
        </w:rPr>
      </w:pPr>
    </w:p>
    <w:p>
      <w:pPr>
        <w:ind w:right="120" w:firstLine="4"/>
        <w:spacing w:after="0" w:line="261"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obligations of the Underwriters under this Pricing Agreement and the Underwriting Agreement incorporated herein are several and not joint.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ectPr>
          <w:pgSz w:w="11900" w:h="16838" w:orient="portrait"/>
          <w:cols w:equalWidth="0" w:num="1">
            <w:col w:w="11000"/>
          </w:cols>
          <w:pgMar w:left="440" w:top="274" w:right="45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74" w:right="1440" w:bottom="1440" w:gutter="0" w:footer="0" w:header="0"/>
        </w:sectPr>
      </w:pPr>
    </w:p>
    <w:bookmarkStart w:id="46" w:name="page47"/>
    <w:bookmarkEnd w:id="46"/>
    <w:p>
      <w:pPr>
        <w:ind w:left="92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RUST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 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and Treasurer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20"/>
          </w:cols>
          <w:pgMar w:left="440" w:top="274"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OF</w:t>
      </w:r>
      <w:r>
        <w:rPr>
          <w:rFonts w:ascii="Arial" w:cs="Arial" w:eastAsia="Arial" w:hAnsi="Arial"/>
          <w:sz w:val="18"/>
          <w:szCs w:val="18"/>
          <w:color w:val="auto"/>
        </w:rPr>
        <w:t>A S</w:t>
      </w:r>
      <w:r>
        <w:rPr>
          <w:rFonts w:ascii="Arial" w:cs="Arial" w:eastAsia="Arial" w:hAnsi="Arial"/>
          <w:sz w:val="15"/>
          <w:szCs w:val="15"/>
          <w:color w:val="auto"/>
        </w:rPr>
        <w:t>ECURITIES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ELLS</w:t>
      </w:r>
      <w:r>
        <w:rPr>
          <w:rFonts w:ascii="Arial" w:cs="Arial" w:eastAsia="Arial" w:hAnsi="Arial"/>
          <w:sz w:val="18"/>
          <w:szCs w:val="18"/>
          <w:color w:val="auto"/>
        </w:rPr>
        <w:t xml:space="preserve"> F</w:t>
      </w:r>
      <w:r>
        <w:rPr>
          <w:rFonts w:ascii="Arial" w:cs="Arial" w:eastAsia="Arial" w:hAnsi="Arial"/>
          <w:sz w:val="15"/>
          <w:szCs w:val="15"/>
          <w:color w:val="auto"/>
        </w:rPr>
        <w:t>ARGO</w:t>
      </w:r>
      <w:r>
        <w:rPr>
          <w:rFonts w:ascii="Arial" w:cs="Arial" w:eastAsia="Arial" w:hAnsi="Arial"/>
          <w:sz w:val="18"/>
          <w:szCs w:val="18"/>
          <w:color w:val="auto"/>
        </w:rPr>
        <w:t xml:space="preserve"> S</w:t>
      </w:r>
      <w:r>
        <w:rPr>
          <w:rFonts w:ascii="Arial" w:cs="Arial" w:eastAsia="Arial" w:hAnsi="Arial"/>
          <w:sz w:val="15"/>
          <w:szCs w:val="15"/>
          <w:color w:val="auto"/>
        </w:rPr>
        <w:t>ECURITIES</w:t>
      </w:r>
      <w:r>
        <w:rPr>
          <w:rFonts w:ascii="Arial" w:cs="Arial" w:eastAsia="Arial" w:hAnsi="Arial"/>
          <w:sz w:val="18"/>
          <w:szCs w:val="18"/>
          <w:color w:val="auto"/>
        </w:rPr>
        <w: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Hicham Hamdouch</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Hicham Hamdouch</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Managing Director Investment Banking</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Jefferies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Casey</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Matt Casey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Hurley</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Carolyn Hurley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Underwriters named in Schedule I to this Pricing Agreement.</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20"/>
          </w:cols>
          <w:pgMar w:left="440" w:top="274" w:right="439" w:bottom="1440" w:gutter="0" w:footer="0" w:header="0"/>
        </w:sectPr>
      </w:pPr>
    </w:p>
    <w:bookmarkStart w:id="48" w:name="page49"/>
    <w:bookmarkEnd w:id="48"/>
    <w:tbl>
      <w:tblPr>
        <w:tblLayout w:type="fixed"/>
        <w:tblInd w:w="780" w:type="dxa"/>
        <w:tblCellMar>
          <w:top w:w="0" w:type="dxa"/>
          <w:left w:w="0" w:type="dxa"/>
          <w:bottom w:w="0" w:type="dxa"/>
          <w:right w:w="0" w:type="dxa"/>
        </w:tblCellMar>
      </w:tblPr>
      <w:tr>
        <w:trPr>
          <w:trHeight w:val="275"/>
        </w:trPr>
        <w:tc>
          <w:tcPr>
            <w:tcW w:w="7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560" w:type="dxa"/>
            <w:vAlign w:val="bottom"/>
            <w:gridSpan w:val="3"/>
          </w:tcPr>
          <w:p>
            <w:pPr>
              <w:jc w:val="right"/>
              <w:ind w:right="1945"/>
              <w:spacing w:after="0"/>
              <w:rPr>
                <w:sz w:val="20"/>
                <w:szCs w:val="20"/>
                <w:color w:val="auto"/>
              </w:rPr>
            </w:pPr>
            <w:r>
              <w:rPr>
                <w:rFonts w:ascii="Arial" w:cs="Arial" w:eastAsia="Arial" w:hAnsi="Arial"/>
                <w:sz w:val="22"/>
                <w:szCs w:val="22"/>
                <w:color w:val="auto"/>
              </w:rPr>
              <w:t>SCHEDULE I</w:t>
            </w: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040" w:type="dxa"/>
            <w:vAlign w:val="bottom"/>
            <w:vMerge w:val="restart"/>
          </w:tcPr>
          <w:p>
            <w:pPr>
              <w:spacing w:after="0"/>
              <w:rPr>
                <w:sz w:val="24"/>
                <w:szCs w:val="24"/>
                <w:color w:val="auto"/>
              </w:rPr>
            </w:pPr>
          </w:p>
        </w:tc>
        <w:tc>
          <w:tcPr>
            <w:tcW w:w="3340" w:type="dxa"/>
            <w:vAlign w:val="bottom"/>
          </w:tcPr>
          <w:p>
            <w:pPr>
              <w:spacing w:after="0"/>
              <w:rPr>
                <w:sz w:val="24"/>
                <w:szCs w:val="24"/>
                <w:color w:val="auto"/>
              </w:rPr>
            </w:pPr>
          </w:p>
        </w:tc>
        <w:tc>
          <w:tcPr>
            <w:tcW w:w="1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33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22,667,000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22,667,000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SunTrust Robinson Humphrey, Inc.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56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56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6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9" w:name="page50"/>
    <w:bookmarkEnd w:id="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r>
        <w:rPr>
          <w:rFonts w:ascii="Arial" w:cs="Arial" w:eastAsia="Arial" w:hAnsi="Arial"/>
          <w:sz w:val="15"/>
          <w:szCs w:val="15"/>
          <w:color w:val="auto"/>
        </w:rPr>
        <w:t>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3.20% Notes due 2029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103.813% of the principal amount of the Designated Securities, plus accrued interest of $657,777.78 from, and including, June 7, 2019 to, but excluding, the settlement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40" w:right="360"/>
        <w:spacing w:after="0" w:line="277" w:lineRule="auto"/>
        <w:rPr>
          <w:sz w:val="20"/>
          <w:szCs w:val="20"/>
          <w:color w:val="auto"/>
        </w:rPr>
      </w:pPr>
      <w:r>
        <w:rPr>
          <w:rFonts w:ascii="Arial" w:cs="Arial" w:eastAsia="Arial" w:hAnsi="Arial"/>
          <w:sz w:val="18"/>
          <w:szCs w:val="18"/>
          <w:color w:val="auto"/>
        </w:rPr>
        <w:t>103.163% of the principal amount of the Designated Securities, plus accrued interest of $657,777.78 from, and including, June 7, 2019 to, but excluding, the settlement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15, 2029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15 and December 15, beginning on December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ind w:left="440" w:hanging="436"/>
        <w:spacing w:after="0" w:line="259" w:lineRule="auto"/>
        <w:tabs>
          <w:tab w:leader="none" w:pos="440" w:val="left"/>
        </w:tabs>
        <w:numPr>
          <w:ilvl w:val="0"/>
          <w:numId w:val="44"/>
        </w:numPr>
        <w:rPr>
          <w:rFonts w:ascii="Arial" w:cs="Arial" w:eastAsia="Arial" w:hAnsi="Arial"/>
          <w:sz w:val="15"/>
          <w:szCs w:val="15"/>
          <w:color w:val="auto"/>
        </w:rPr>
      </w:pPr>
      <w:r>
        <w:rPr>
          <w:rFonts w:ascii="Arial" w:cs="Arial" w:eastAsia="Arial" w:hAnsi="Arial"/>
          <w:sz w:val="18"/>
          <w:szCs w:val="18"/>
          <w:color w:val="auto"/>
        </w:rPr>
        <w:t>The terms of the 3.20% Notes due 2029, other than their issue date, issue price and, if applicable, first interest payment date and initial interest accrual date will be identical to the terms of and will be part of the same series as the Company’s outstanding 3.20% Notes due 2029 ($300 million of which were originally issued on June 7, 2019). (However, for U.S. federal income tax purposes the Notes offered hereby will be deemed to have the same issue date and issue price as the existing notes).</w:t>
      </w:r>
    </w:p>
    <w:p>
      <w:pPr>
        <w:sectPr>
          <w:pgSz w:w="11900" w:h="16838" w:orient="portrait"/>
          <w:cols w:equalWidth="0" w:num="1">
            <w:col w:w="11020"/>
          </w:cols>
          <w:pgMar w:left="440" w:top="274"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2:45 p.m. (Eastern time) on August 19, 2019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August 21,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5"/>
          <w:szCs w:val="15"/>
          <w:color w:val="auto"/>
        </w:rPr>
        <w:t>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 Rockefeller Plaza, NY1-050-12-02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High Grade Transaction Management/Legal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855-5958</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619-4437</w:t>
      </w:r>
    </w:p>
    <w:p>
      <w:pPr>
        <w:sectPr>
          <w:pgSz w:w="11900" w:h="16838" w:orient="portrait"/>
          <w:cols w:equalWidth="0" w:num="1">
            <w:col w:w="10220"/>
          </w:cols>
          <w:pgMar w:left="440" w:top="270" w:right="1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Transaction Management</w:t>
      </w:r>
    </w:p>
    <w:p>
      <w:pPr>
        <w:sectPr>
          <w:pgSz w:w="11900" w:h="16838" w:orient="portrait"/>
          <w:cols w:equalWidth="0" w:num="1">
            <w:col w:w="9579"/>
          </w:cols>
          <w:pgMar w:left="880" w:top="274"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3.20% Note due 2029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CUSIP No. 313747 AZ0</w:t>
            </w:r>
          </w:p>
        </w:tc>
        <w:tc>
          <w:tcPr>
            <w:tcW w:w="5120" w:type="dxa"/>
            <w:vAlign w:val="bottom"/>
          </w:tcPr>
          <w:p>
            <w:pPr>
              <w:jc w:val="right"/>
              <w:spacing w:after="0"/>
              <w:rPr>
                <w:sz w:val="20"/>
                <w:szCs w:val="20"/>
                <w:color w:val="auto"/>
              </w:rPr>
            </w:pPr>
            <w:r>
              <w:rPr>
                <w:rFonts w:ascii="Arial" w:cs="Arial" w:eastAsia="Arial" w:hAnsi="Arial"/>
                <w:sz w:val="18"/>
                <w:szCs w:val="18"/>
                <w:color w:val="auto"/>
              </w:rPr>
              <w:t>$100,000,000</w:t>
            </w:r>
          </w:p>
        </w:tc>
      </w:tr>
    </w:tbl>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$2,000 AND INTEGRAL MULTIPLES OF $1,000 IN EXCESS THEREOF.</w:t>
      </w:r>
    </w:p>
    <w:p>
      <w:pPr>
        <w:spacing w:after="0" w:line="166"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Million Dollars ($100,000,000) on June 15, 2029 (the “Stated Maturity Date”) or the date fixed for earlier redemption (the “Redemption Date,” and together with the Stated Maturity Date with respect to principal repayable on such date, the “Maturity Date”), and to pay interest on the outstanding principal amount thereof from June 7, 2019 or from the most recent interest payment date to which interest has been paid or duly provided for, semi-annually on June 15 and December 15 in each year (each, an “Interest Payment Date”), commencing December 15, 2019, at the rate of 3.20%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June 1 and December 1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ectPr>
          <w:pgSz w:w="11900" w:h="16838" w:orient="portrait"/>
          <w:cols w:equalWidth="0" w:num="1">
            <w:col w:w="11020"/>
          </w:cols>
          <w:pgMar w:left="440" w:top="121" w:right="439" w:bottom="1440" w:gutter="0" w:footer="0" w:header="0"/>
        </w:sectPr>
      </w:pPr>
    </w:p>
    <w:bookmarkStart w:id="53" w:name="page54"/>
    <w:bookmarkEnd w:id="5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78" w:lineRule="exact"/>
        <w:rPr>
          <w:sz w:val="20"/>
          <w:szCs w:val="20"/>
          <w:color w:val="auto"/>
        </w:rPr>
      </w:pPr>
    </w:p>
    <w:p>
      <w:pPr>
        <w:jc w:val="both"/>
        <w:ind w:firstLine="992"/>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right="60" w:firstLine="992"/>
        <w:spacing w:after="0" w:line="290"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June 7, 2019,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11" w:lineRule="exact"/>
        <w:rPr>
          <w:sz w:val="20"/>
          <w:szCs w:val="20"/>
          <w:color w:val="auto"/>
        </w:rPr>
      </w:pPr>
    </w:p>
    <w:p>
      <w:pPr>
        <w:ind w:right="480" w:firstLine="992"/>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54" w:name="page55"/>
    <w:bookmarkEnd w:id="54"/>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Daniel Guglielmone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Executive Vice President-Chief Financial Officer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2795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21,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840"/>
          </w:cols>
          <w:pgMar w:left="440" w:top="274" w:right="61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3.20% Note due 2029</w:t>
      </w:r>
    </w:p>
    <w:p>
      <w:pPr>
        <w:spacing w:after="0" w:line="225" w:lineRule="exact"/>
        <w:rPr>
          <w:sz w:val="20"/>
          <w:szCs w:val="20"/>
          <w:color w:val="auto"/>
        </w:rPr>
      </w:pPr>
    </w:p>
    <w:p>
      <w:pPr>
        <w:ind w:firstLine="992"/>
        <w:spacing w:after="0" w:line="286" w:lineRule="auto"/>
        <w:rPr>
          <w:sz w:val="20"/>
          <w:szCs w:val="20"/>
          <w:color w:val="auto"/>
        </w:rPr>
      </w:pPr>
      <w:r>
        <w:rPr>
          <w:rFonts w:ascii="Arial" w:cs="Arial" w:eastAsia="Arial" w:hAnsi="Arial"/>
          <w:sz w:val="16"/>
          <w:szCs w:val="16"/>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“3.20% Notes due 2029” (collectively, the “Notes”), and the aggregate principal amount of the Notes to be issued under such series is limited to $400,000,000 as of the date hereof (except for Notes authenticated and delivered upon transfer of, or in exchange for, or in lieu of other Notes). This Note forms a single series with the 3.20% Notes due 2029 first issued by the Company as of June 7, 2019.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75" w:lineRule="exact"/>
        <w:rPr>
          <w:sz w:val="20"/>
          <w:szCs w:val="20"/>
          <w:color w:val="auto"/>
        </w:rPr>
      </w:pPr>
    </w:p>
    <w:p>
      <w:pPr>
        <w:ind w:right="220" w:firstLine="992"/>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right="4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440" w:right="800" w:firstLine="428"/>
        <w:spacing w:after="0" w:line="277" w:lineRule="auto"/>
        <w:tabs>
          <w:tab w:leader="none" w:pos="12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default in the payment of the principal of (or premium, if any, on) the Notes when it becomes due and payable at its Maturity;</w:t>
      </w:r>
    </w:p>
    <w:p>
      <w:pPr>
        <w:spacing w:after="0" w:line="128" w:lineRule="exact"/>
        <w:rPr>
          <w:rFonts w:ascii="Arial" w:cs="Arial" w:eastAsia="Arial" w:hAnsi="Arial"/>
          <w:sz w:val="17"/>
          <w:szCs w:val="17"/>
          <w:color w:val="auto"/>
        </w:rPr>
      </w:pPr>
    </w:p>
    <w:p>
      <w:pPr>
        <w:ind w:left="1260" w:hanging="392"/>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1020"/>
          </w:cols>
          <w:pgMar w:left="440" w:top="274" w:right="439" w:bottom="1440" w:gutter="0" w:footer="0" w:header="0"/>
        </w:sectPr>
      </w:pPr>
    </w:p>
    <w:bookmarkStart w:id="56" w:name="page57"/>
    <w:bookmarkEnd w:id="56"/>
    <w:p>
      <w:pPr>
        <w:ind w:right="60" w:firstLine="428"/>
        <w:spacing w:after="0" w:line="297" w:lineRule="auto"/>
        <w:tabs>
          <w:tab w:leader="none" w:pos="813"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50" w:lineRule="exact"/>
        <w:rPr>
          <w:rFonts w:ascii="Arial" w:cs="Arial" w:eastAsia="Arial" w:hAnsi="Arial"/>
          <w:sz w:val="16"/>
          <w:szCs w:val="16"/>
          <w:color w:val="auto"/>
        </w:rPr>
      </w:pPr>
    </w:p>
    <w:p>
      <w:pPr>
        <w:ind w:firstLine="428"/>
        <w:spacing w:after="0" w:line="270" w:lineRule="auto"/>
        <w:tabs>
          <w:tab w:leader="none" w:pos="813"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default under any bond, debenture, note or other evidence of indebtedness for money borrowed by the Company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one or more properties) in an aggregate principal amount in excess of $50,000,000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73" w:lineRule="exact"/>
        <w:rPr>
          <w:rFonts w:ascii="Arial" w:cs="Arial" w:eastAsia="Arial" w:hAnsi="Arial"/>
          <w:sz w:val="17"/>
          <w:szCs w:val="17"/>
          <w:color w:val="auto"/>
        </w:rPr>
      </w:pPr>
    </w:p>
    <w:p>
      <w:pPr>
        <w:ind w:left="820" w:hanging="39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380" w:hanging="384"/>
        <w:spacing w:after="0"/>
        <w:tabs>
          <w:tab w:leader="none" w:pos="1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380" w:hanging="384"/>
        <w:spacing w:after="0"/>
        <w:tabs>
          <w:tab w:leader="none" w:pos="13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appoints a Custodian of the Company or any Significant Subsidiary or for all or substantially all of either of its property, or</w:t>
      </w:r>
    </w:p>
    <w:p>
      <w:pPr>
        <w:spacing w:after="0" w:line="128" w:lineRule="exact"/>
        <w:rPr>
          <w:rFonts w:ascii="Arial" w:cs="Arial" w:eastAsia="Arial" w:hAnsi="Arial"/>
          <w:sz w:val="17"/>
          <w:szCs w:val="17"/>
          <w:color w:val="auto"/>
        </w:rPr>
      </w:pPr>
    </w:p>
    <w:p>
      <w:pPr>
        <w:ind w:left="1000" w:right="40" w:hanging="4"/>
        <w:spacing w:after="0" w:line="277" w:lineRule="auto"/>
        <w:tabs>
          <w:tab w:leader="none" w:pos="1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820" w:hanging="39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380" w:hanging="384"/>
        <w:spacing w:after="0"/>
        <w:tabs>
          <w:tab w:leader="none" w:pos="1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380" w:hanging="384"/>
        <w:spacing w:after="0"/>
        <w:tabs>
          <w:tab w:leader="none" w:pos="1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380" w:hanging="384"/>
        <w:spacing w:after="0"/>
        <w:tabs>
          <w:tab w:leader="none" w:pos="1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380" w:hanging="384"/>
        <w:spacing w:after="0"/>
        <w:tabs>
          <w:tab w:leader="none" w:pos="1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57" w:name="page58"/>
    <w:bookmarkEnd w:id="57"/>
    <w:p>
      <w:pPr>
        <w:ind w:right="24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right="200" w:firstLine="992"/>
        <w:spacing w:after="0" w:line="291"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(x) if the Notes are redeemed before March 15, 2029 (the “Par Call Date”), the greater of (1) 100% of the principal amount of the Notes being redeemed, or</w:t>
      </w:r>
    </w:p>
    <w:p>
      <w:pPr>
        <w:ind w:firstLine="4"/>
        <w:spacing w:after="0" w:line="268" w:lineRule="auto"/>
        <w:tabs>
          <w:tab w:leader="none" w:pos="2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 determined by the Quotation Agent (as defined below), the sum of the present values of the remaining scheduled payments of principal and interest (not including any portion of such payments of interest accrued as of the Redemption Date) on the Notes to be redeemed, assuming that such Notes matured on, and that interest on such Notes was payable on, the Par Call Date, discounted to the Redemption Date on a semi-annual basis (assuming a 360-day year consisting of twelve 30-day months) at the Adjusted Treasury Rate (as defined below) plus 20 basis points (twenty one-hundredths of one percent) plus, in each case, accrued interest thereon to, but excluding, the Redemption Date or (y) if the Notes are redeemed on or after the Par Call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jc w:val="both"/>
        <w:ind w:left="440" w:right="60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3" w:lineRule="exact"/>
        <w:rPr>
          <w:sz w:val="20"/>
          <w:szCs w:val="20"/>
          <w:color w:val="auto"/>
        </w:rPr>
      </w:pPr>
    </w:p>
    <w:p>
      <w:pPr>
        <w:ind w:left="440" w:right="1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79" w:lineRule="exact"/>
        <w:rPr>
          <w:sz w:val="20"/>
          <w:szCs w:val="20"/>
          <w:color w:val="auto"/>
        </w:rPr>
      </w:pPr>
    </w:p>
    <w:p>
      <w:pPr>
        <w:ind w:left="440" w:firstLine="423"/>
        <w:spacing w:after="0" w:line="264"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58" w:name="page59"/>
    <w:bookmarkEnd w:id="58"/>
    <w:p>
      <w:pPr>
        <w:ind w:left="440" w:right="16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a Primary Treasury Dealer selected by each of (1) BofA Securities, Inc., Jefferies LLC and U.S. Bancorp Investments, Inc. and their respective successors; provided, however, that if any Reference Treasury Dealer ceases to be a primary U.S. Government securities dealer (a “Primary Treasury Dealer”), the Company will substitute therefor another Primary Treasury Dealer; and (2) any two other Primary Treasury Dealers selected by the Company.</w:t>
      </w:r>
    </w:p>
    <w:p>
      <w:pPr>
        <w:spacing w:after="0" w:line="79"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right="200" w:firstLine="992"/>
        <w:spacing w:after="0" w:line="277" w:lineRule="auto"/>
        <w:rPr>
          <w:sz w:val="20"/>
          <w:szCs w:val="20"/>
          <w:color w:val="auto"/>
        </w:rPr>
      </w:pPr>
      <w:r>
        <w:rPr>
          <w:rFonts w:ascii="Arial" w:cs="Arial" w:eastAsia="Arial" w:hAnsi="Arial"/>
          <w:sz w:val="18"/>
          <w:szCs w:val="18"/>
          <w:color w:val="auto"/>
        </w:rPr>
        <w:t>Notice of any redemption of the Notes will be given by mail to Holders of Securities, not less than 15 nor more than 60 days prior to the Redemption Date, all as provided in the Indenture.</w:t>
      </w:r>
    </w:p>
    <w:p>
      <w:pPr>
        <w:spacing w:after="0" w:line="170"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120" w:firstLine="992"/>
        <w:spacing w:after="0" w:line="270"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78" w:lineRule="exact"/>
        <w:rPr>
          <w:sz w:val="20"/>
          <w:szCs w:val="20"/>
          <w:color w:val="auto"/>
        </w:rPr>
      </w:pPr>
    </w:p>
    <w:p>
      <w:pPr>
        <w:jc w:val="both"/>
        <w:ind w:right="100" w:firstLine="992"/>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1" w:lineRule="exact"/>
        <w:rPr>
          <w:sz w:val="20"/>
          <w:szCs w:val="20"/>
          <w:color w:val="auto"/>
        </w:rPr>
      </w:pPr>
    </w:p>
    <w:p>
      <w:pPr>
        <w:ind w:right="140" w:firstLine="992"/>
        <w:spacing w:after="0" w:line="264" w:lineRule="auto"/>
        <w:rPr>
          <w:sz w:val="20"/>
          <w:szCs w:val="20"/>
          <w:color w:val="auto"/>
        </w:rPr>
      </w:pPr>
      <w:r>
        <w:rPr>
          <w:rFonts w:ascii="Arial" w:cs="Arial" w:eastAsia="Arial" w:hAnsi="Arial"/>
          <w:sz w:val="18"/>
          <w:szCs w:val="18"/>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9" w:name="page60"/>
    <w:bookmarkEnd w:id="59"/>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65" w:lineRule="exact"/>
        <w:rPr>
          <w:sz w:val="20"/>
          <w:szCs w:val="20"/>
          <w:color w:val="auto"/>
        </w:rPr>
      </w:pPr>
    </w:p>
    <w:p>
      <w:pPr>
        <w:ind w:right="40" w:firstLine="992"/>
        <w:spacing w:after="0" w:line="287"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from Total Assets.</w:t>
      </w:r>
    </w:p>
    <w:p>
      <w:pPr>
        <w:spacing w:after="0" w:line="169" w:lineRule="exact"/>
        <w:rPr>
          <w:sz w:val="20"/>
          <w:szCs w:val="20"/>
          <w:color w:val="auto"/>
        </w:rPr>
      </w:pPr>
    </w:p>
    <w:p>
      <w:pPr>
        <w:ind w:right="20" w:firstLine="992"/>
        <w:spacing w:after="0" w:line="270" w:lineRule="auto"/>
        <w:rPr>
          <w:sz w:val="20"/>
          <w:szCs w:val="20"/>
          <w:color w:val="auto"/>
        </w:rPr>
      </w:pPr>
      <w:r>
        <w:rPr>
          <w:rFonts w:ascii="Arial" w:cs="Arial" w:eastAsia="Arial" w:hAnsi="Arial"/>
          <w:sz w:val="17"/>
          <w:szCs w:val="17"/>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0" w:name="page61"/>
    <w:bookmarkEnd w:id="60"/>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54" w:lineRule="exact"/>
        <w:rPr>
          <w:sz w:val="20"/>
          <w:szCs w:val="20"/>
          <w:color w:val="auto"/>
        </w:rPr>
      </w:pPr>
    </w:p>
    <w:p>
      <w:pPr>
        <w:ind w:right="440" w:firstLine="992"/>
        <w:spacing w:after="0" w:line="264" w:lineRule="auto"/>
        <w:rPr>
          <w:sz w:val="20"/>
          <w:szCs w:val="20"/>
          <w:color w:val="auto"/>
        </w:rPr>
      </w:pPr>
      <w:r>
        <w:rPr>
          <w:rFonts w:ascii="Arial" w:cs="Arial" w:eastAsia="Arial" w:hAnsi="Arial"/>
          <w:sz w:val="18"/>
          <w:szCs w:val="18"/>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left="44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181"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440" w:right="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170" w:lineRule="exact"/>
        <w:rPr>
          <w:sz w:val="20"/>
          <w:szCs w:val="20"/>
          <w:color w:val="auto"/>
        </w:rPr>
      </w:pPr>
    </w:p>
    <w:p>
      <w:pPr>
        <w:ind w:left="440" w:right="40"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61" w:name="page62"/>
    <w:bookmarkEnd w:id="6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redemption, repayment or other repurchase of any Disqualified Stock or (v) any lease of property by the Company or any Subsidiary as lessee which is reflected on the Company’s consolidated balance sheet as a financing lease liability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178" w:lineRule="exact"/>
        <w:rPr>
          <w:sz w:val="20"/>
          <w:szCs w:val="20"/>
          <w:color w:val="auto"/>
        </w:rPr>
      </w:pPr>
    </w:p>
    <w:p>
      <w:pPr>
        <w:ind w:right="4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ind w:right="20" w:firstLine="4"/>
        <w:spacing w:after="0" w:line="255"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190" w:lineRule="exact"/>
        <w:rPr>
          <w:sz w:val="20"/>
          <w:szCs w:val="20"/>
          <w:color w:val="auto"/>
        </w:rPr>
      </w:pPr>
    </w:p>
    <w:p>
      <w:pPr>
        <w:ind w:right="4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24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24" w:lineRule="exact"/>
        <w:rPr>
          <w:sz w:val="20"/>
          <w:szCs w:val="20"/>
          <w:color w:val="auto"/>
        </w:rPr>
      </w:pPr>
    </w:p>
    <w:p>
      <w:pPr>
        <w:ind w:right="8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and finance lease right of use assets of the Company and its Subsidiaries on such date, before depreciation and amortization determined on a consolidated basis in accordance with generally accepted accounting principles.</w:t>
      </w:r>
    </w:p>
    <w:p>
      <w:pPr>
        <w:spacing w:after="0" w:line="181" w:lineRule="exact"/>
        <w:rPr>
          <w:sz w:val="20"/>
          <w:szCs w:val="20"/>
          <w:color w:val="auto"/>
        </w:rPr>
      </w:pPr>
    </w:p>
    <w:p>
      <w:pPr>
        <w:ind w:right="16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Unencumbered Total Asset Value</w:t>
      </w:r>
      <w:r>
        <w:rPr>
          <w:rFonts w:ascii="Arial" w:cs="Arial" w:eastAsia="Arial" w:hAnsi="Arial"/>
          <w:sz w:val="18"/>
          <w:szCs w:val="18"/>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62" w:name="page63"/>
    <w:bookmarkEnd w:id="62"/>
    <w:p>
      <w:pPr>
        <w:ind w:left="4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73" w:lineRule="exact"/>
        <w:rPr>
          <w:sz w:val="20"/>
          <w:szCs w:val="20"/>
          <w:color w:val="auto"/>
        </w:rPr>
      </w:pPr>
    </w:p>
    <w:p>
      <w:pPr>
        <w:ind w:firstLine="992"/>
        <w:spacing w:after="0" w:line="273" w:lineRule="auto"/>
        <w:rPr>
          <w:sz w:val="20"/>
          <w:szCs w:val="20"/>
          <w:color w:val="auto"/>
        </w:rPr>
      </w:pPr>
      <w:r>
        <w:rPr>
          <w:rFonts w:ascii="Arial" w:cs="Arial" w:eastAsia="Arial" w:hAnsi="Arial"/>
          <w:sz w:val="17"/>
          <w:szCs w:val="17"/>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8" w:lineRule="exact"/>
        <w:rPr>
          <w:sz w:val="20"/>
          <w:szCs w:val="20"/>
          <w:color w:val="auto"/>
        </w:rPr>
      </w:pPr>
    </w:p>
    <w:p>
      <w:pPr>
        <w:ind w:right="80" w:firstLine="992"/>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93" w:lineRule="exact"/>
        <w:rPr>
          <w:sz w:val="20"/>
          <w:szCs w:val="20"/>
          <w:color w:val="auto"/>
        </w:rPr>
      </w:pPr>
    </w:p>
    <w:p>
      <w:pPr>
        <w:ind w:right="60" w:firstLine="992"/>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1"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w:t>
      </w:r>
    </w:p>
    <w:p>
      <w:pPr>
        <w:spacing w:after="0" w:line="170" w:lineRule="exact"/>
        <w:rPr>
          <w:sz w:val="20"/>
          <w:szCs w:val="20"/>
          <w:color w:val="auto"/>
        </w:rPr>
      </w:pPr>
    </w:p>
    <w:p>
      <w:pPr>
        <w:ind w:right="600" w:firstLine="992"/>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220" w:firstLine="992"/>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63" w:name="page64"/>
    <w:bookmarkEnd w:id="63"/>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440" w:top="274" w:right="9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of $100,000,000 aggregate principal amount of 3.20% Notes due 2029 of the Company (the “Notes”), pursuant to the Underwriting Agreement and related Pricing Agreement, each dated August 19, 2019,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certificates dated August 21, 2019 setting forth the terms of the Notes, the “Indenture”).</w:t>
      </w:r>
    </w:p>
    <w:p>
      <w:pPr>
        <w:spacing w:after="0" w:line="16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have reviewed (a) the Agreement, (b) the Indenture, (c) the Registration Statement on Form S-3 (File No. 333-224701) (the “Registration Statement”) filed by the Company to register the offer and sale of the Notes with the Securities and Exchange Commission (the “Commission”) under the Securities Act of 1933 (the “Securities Act”), (d) the Prospectus dated May 7, 2018, as supplemented by the Prospectus Supplement dated August 19, 2019,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 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the law of the States of New York and Maryland, in each case as in effect on the date hereof.</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dated August 22, 2019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ectPr>
          <w:pgSz w:w="11900" w:h="16838" w:orient="portrait"/>
          <w:cols w:equalWidth="0" w:num="1">
            <w:col w:w="11020"/>
          </w:cols>
          <w:pgMar w:left="440" w:top="121"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4" w:right="1440" w:bottom="1440" w:gutter="0" w:footer="0" w:header="0"/>
        </w:sectPr>
      </w:pPr>
    </w:p>
    <w:bookmarkStart w:id="66" w:name="page67"/>
    <w:bookmarkEnd w:id="66"/>
    <w:p>
      <w:pPr>
        <w:ind w:left="10180"/>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1200 Seventeenth Street NW</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Washington, DC 20036-3006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www.pillsburylaw.com</w:t>
      </w:r>
    </w:p>
    <w:p>
      <w:pPr>
        <w:spacing w:after="0" w:line="200" w:lineRule="exact"/>
        <w:rPr>
          <w:sz w:val="20"/>
          <w:szCs w:val="20"/>
          <w:color w:val="auto"/>
        </w:rPr>
      </w:pPr>
    </w:p>
    <w:p>
      <w:pPr>
        <w:sectPr>
          <w:pgSz w:w="11900" w:h="16838" w:orient="portrait"/>
          <w:cols w:equalWidth="0" w:num="2">
            <w:col w:w="8200" w:space="520"/>
            <w:col w:w="2300"/>
          </w:cols>
          <w:pgMar w:left="440" w:top="121" w:right="439" w:bottom="144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August 19, 2019</w:t>
      </w:r>
    </w:p>
    <w:p>
      <w:pPr>
        <w:sectPr>
          <w:pgSz w:w="11900" w:h="16838" w:orient="portrait"/>
          <w:cols w:equalWidth="0" w:num="1">
            <w:col w:w="11020"/>
          </w:cols>
          <w:pgMar w:left="440" w:top="121" w:right="4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August 19, 2019 (the “Prospectus Supplement”) to a prospectus (the “Base Prospectus”) filed as part of a registration statement on Form S-3 (File No. 333-224701,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jc w:val="both"/>
        <w:ind w:right="40" w:firstLine="441"/>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right="140" w:firstLine="4"/>
        <w:spacing w:after="0" w:line="268" w:lineRule="auto"/>
        <w:tabs>
          <w:tab w:leader="none" w:pos="2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4"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020"/>
          </w:cols>
          <w:pgMar w:left="440" w:top="121" w:right="4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19,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3"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2019;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(2019) taxable year and for future taxable years, and (iii) the discussions in (x) the Base Prospectus under the caption “Material Federal Income Tax Considerations,” (y) the Prospectus Supplement under the caption “Additional Material Federal Income Tax Considerations,” and (z) the Company’s Annual Report on Form 10-K for the year ended December 31, 2018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Factors–U.S. federal tax reform legislation now and in the future could affect REITs, both positively and negatively, in ways that are difficult to anticipate,”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88"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020"/>
          </w:cols>
          <w:pgMar w:left="440" w:top="274"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19,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assurance can be given as to whether, for any given taxable year, the actual ownership of the Company’s stock and its actual operating results and distributions satisfy the tests necessary to achieve and maintain its status as a REIT.</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04"/>
    </w:lvl>
  </w:abstractNum>
  <w:abstractNum w:abstractNumId="2">
    <w:nsid w:val="B03E0C6"/>
    <w:multiLevelType w:val="hybridMultilevel"/>
    <w:lvl w:ilvl="0">
      <w:lvlJc w:val="left"/>
      <w:lvlText w:val="%1."/>
      <w:numFmt w:val="decimal"/>
      <w:start w:val="1"/>
    </w:lvl>
    <w:lvl w:ilvl="1">
      <w:lvlJc w:val="left"/>
      <w:lvlText w:val="(%2)"/>
      <w:numFmt w:val="lowerLetter"/>
      <w:start w:val="1"/>
    </w:lvl>
  </w:abstractNum>
  <w:abstractNum w:abstractNumId="3">
    <w:nsid w:val="189A769B"/>
    <w:multiLevelType w:val="hybridMultilevel"/>
    <w:lvl w:ilvl="0">
      <w:lvlJc w:val="left"/>
      <w:lvlText w:val="(%1)"/>
      <w:numFmt w:val="lowerLetter"/>
      <w:start w:val="2"/>
    </w:lvl>
  </w:abstractNum>
  <w:abstractNum w:abstractNumId="4">
    <w:nsid w:val="54E49EB4"/>
    <w:multiLevelType w:val="hybridMultilevel"/>
    <w:lvl w:ilvl="0">
      <w:lvlJc w:val="left"/>
      <w:lvlText w:val="(%1)"/>
      <w:numFmt w:val="lowerLetter"/>
      <w:start w:val="3"/>
    </w:lvl>
  </w:abstractNum>
  <w:abstractNum w:abstractNumId="5">
    <w:nsid w:val="71F32454"/>
    <w:multiLevelType w:val="hybridMultilevel"/>
    <w:lvl w:ilvl="0">
      <w:lvlJc w:val="left"/>
      <w:lvlText w:val="(%1)"/>
      <w:numFmt w:val="upperLetter"/>
      <w:start w:val="1"/>
    </w:lvl>
  </w:abstractNum>
  <w:abstractNum w:abstractNumId="6">
    <w:nsid w:val="2CA88611"/>
    <w:multiLevelType w:val="hybridMultilevel"/>
    <w:lvl w:ilvl="0">
      <w:lvlJc w:val="left"/>
      <w:lvlText w:val="(%1)"/>
      <w:numFmt w:val="lowerLetter"/>
      <w:start w:val="4"/>
    </w:lvl>
  </w:abstractNum>
  <w:abstractNum w:abstractNumId="7">
    <w:nsid w:val="836C40E"/>
    <w:multiLevelType w:val="hybridMultilevel"/>
    <w:lvl w:ilvl="0">
      <w:lvlJc w:val="left"/>
      <w:lvlText w:val="(%1)"/>
      <w:numFmt w:val="lowerLetter"/>
      <w:start w:val="7"/>
    </w:lvl>
  </w:abstractNum>
  <w:abstractNum w:abstractNumId="8">
    <w:nsid w:val="2901D82"/>
    <w:multiLevelType w:val="hybridMultilevel"/>
    <w:lvl w:ilvl="0">
      <w:lvlJc w:val="left"/>
      <w:lvlText w:val="%1"/>
      <w:numFmt w:val="lowerLetter"/>
      <w:start w:val="1"/>
    </w:lvl>
    <w:lvl w:ilvl="1">
      <w:lvlJc w:val="left"/>
      <w:lvlText w:val="(%2)"/>
      <w:numFmt w:val="lowerLetter"/>
      <w:start w:val="9"/>
    </w:lvl>
  </w:abstractNum>
  <w:abstractNum w:abstractNumId="9">
    <w:nsid w:val="3A95F874"/>
    <w:multiLevelType w:val="hybridMultilevel"/>
    <w:lvl w:ilvl="0">
      <w:lvlJc w:val="left"/>
      <w:lvlText w:val="(%1)"/>
      <w:numFmt w:val="lowerLetter"/>
      <w:start w:val="61"/>
    </w:lvl>
    <w:lvl w:ilvl="1">
      <w:lvlJc w:val="left"/>
      <w:lvlText w:val="%2"/>
      <w:numFmt w:val="lowerLetter"/>
      <w:start w:val="1"/>
    </w:lvl>
  </w:abstractNum>
  <w:abstractNum w:abstractNumId="10">
    <w:nsid w:val="8138641"/>
    <w:multiLevelType w:val="hybridMultilevel"/>
    <w:lvl w:ilvl="0">
      <w:lvlJc w:val="left"/>
      <w:lvlText w:val="(%1)"/>
      <w:numFmt w:val="lowerLetter"/>
      <w:start w:val="12"/>
    </w:lvl>
  </w:abstractNum>
  <w:abstractNum w:abstractNumId="11">
    <w:nsid w:val="1E7FF521"/>
    <w:multiLevelType w:val="hybridMultilevel"/>
    <w:lvl w:ilvl="0">
      <w:lvlJc w:val="left"/>
      <w:lvlText w:val="(%1)"/>
      <w:numFmt w:val="lowerLetter"/>
      <w:start w:val="15"/>
    </w:lvl>
  </w:abstractNum>
  <w:abstractNum w:abstractNumId="12">
    <w:nsid w:val="7C3DBD3D"/>
    <w:multiLevelType w:val="hybridMultilevel"/>
    <w:lvl w:ilvl="0">
      <w:lvlJc w:val="left"/>
      <w:lvlText w:val="(%1)"/>
      <w:numFmt w:val="lowerLetter"/>
      <w:start w:val="20"/>
    </w:lvl>
  </w:abstractNum>
  <w:abstractNum w:abstractNumId="13">
    <w:nsid w:val="737B8DDC"/>
    <w:multiLevelType w:val="hybridMultilevel"/>
    <w:lvl w:ilvl="0">
      <w:lvlJc w:val="left"/>
      <w:lvlText w:val="(%1)"/>
      <w:numFmt w:val="lowerLetter"/>
      <w:start w:val="24"/>
    </w:lvl>
  </w:abstractNum>
  <w:abstractNum w:abstractNumId="14">
    <w:nsid w:val="6CEAF087"/>
    <w:multiLevelType w:val="hybridMultilevel"/>
    <w:lvl w:ilvl="0">
      <w:lvlJc w:val="left"/>
      <w:lvlText w:val="(%1)"/>
      <w:numFmt w:val="lowerLetter"/>
      <w:start w:val="27"/>
    </w:lvl>
  </w:abstractNum>
  <w:abstractNum w:abstractNumId="15">
    <w:nsid w:val="22221A70"/>
    <w:multiLevelType w:val="hybridMultilevel"/>
    <w:lvl w:ilvl="0">
      <w:lvlJc w:val="left"/>
      <w:lvlText w:val="%1."/>
      <w:numFmt w:val="decimal"/>
      <w:start w:val="3"/>
    </w:lvl>
  </w:abstractNum>
  <w:abstractNum w:abstractNumId="16">
    <w:nsid w:val="4516DDE9"/>
    <w:multiLevelType w:val="hybridMultilevel"/>
    <w:lvl w:ilvl="0">
      <w:lvlJc w:val="left"/>
      <w:lvlText w:val="%1."/>
      <w:numFmt w:val="decimal"/>
      <w:start w:val="4"/>
    </w:lvl>
    <w:lvl w:ilvl="1">
      <w:lvlJc w:val="left"/>
      <w:lvlText w:val="(%2)"/>
      <w:numFmt w:val="lowerLetter"/>
      <w:start w:val="1"/>
    </w:lvl>
  </w:abstractNum>
  <w:abstractNum w:abstractNumId="17">
    <w:nsid w:val="3006C83E"/>
    <w:multiLevelType w:val="hybridMultilevel"/>
    <w:lvl w:ilvl="0">
      <w:lvlJc w:val="left"/>
      <w:lvlText w:val="(%1)"/>
      <w:numFmt w:val="lowerLetter"/>
      <w:start w:val="2"/>
    </w:lvl>
  </w:abstractNum>
  <w:abstractNum w:abstractNumId="18">
    <w:nsid w:val="614FD4A1"/>
    <w:multiLevelType w:val="hybridMultilevel"/>
    <w:lvl w:ilvl="0">
      <w:lvlJc w:val="left"/>
      <w:lvlText w:val="(%1)"/>
      <w:numFmt w:val="lowerLetter"/>
      <w:start w:val="4"/>
    </w:lvl>
  </w:abstractNum>
  <w:abstractNum w:abstractNumId="19">
    <w:nsid w:val="419AC241"/>
    <w:multiLevelType w:val="hybridMultilevel"/>
    <w:lvl w:ilvl="0">
      <w:lvlJc w:val="left"/>
      <w:lvlText w:val="(%1)"/>
      <w:numFmt w:val="lowerLetter"/>
      <w:start w:val="8"/>
    </w:lvl>
  </w:abstractNum>
  <w:abstractNum w:abstractNumId="20">
    <w:nsid w:val="5577F8E1"/>
    <w:multiLevelType w:val="hybridMultilevel"/>
    <w:lvl w:ilvl="0">
      <w:lvlJc w:val="left"/>
      <w:lvlText w:val="%1"/>
      <w:numFmt w:val="decimal"/>
      <w:start w:val="1"/>
    </w:lvl>
    <w:lvl w:ilvl="1">
      <w:lvlJc w:val="left"/>
      <w:lvlText w:val="(%2)"/>
      <w:numFmt w:val="lowerLetter"/>
      <w:start w:val="10"/>
    </w:lvl>
  </w:abstractNum>
  <w:abstractNum w:abstractNumId="21">
    <w:nsid w:val="440BADFC"/>
    <w:multiLevelType w:val="hybridMultilevel"/>
    <w:lvl w:ilvl="0">
      <w:lvlJc w:val="left"/>
      <w:lvlText w:val="%1."/>
      <w:numFmt w:val="decimal"/>
      <w:start w:val="6"/>
    </w:lvl>
    <w:lvl w:ilvl="1">
      <w:lvlJc w:val="left"/>
      <w:lvlText w:val="%2"/>
      <w:numFmt w:val="lowerLetter"/>
      <w:start w:val="1"/>
    </w:lvl>
  </w:abstractNum>
  <w:abstractNum w:abstractNumId="22">
    <w:nsid w:val="5072367"/>
    <w:multiLevelType w:val="hybridMultilevel"/>
    <w:lvl w:ilvl="0">
      <w:lvlJc w:val="left"/>
      <w:lvlText w:val="%1."/>
      <w:numFmt w:val="decimal"/>
      <w:start w:val="7"/>
    </w:lvl>
    <w:lvl w:ilvl="1">
      <w:lvlJc w:val="left"/>
      <w:lvlText w:val="(%2)"/>
      <w:numFmt w:val="lowerLetter"/>
      <w:start w:val="1"/>
    </w:lvl>
  </w:abstractNum>
  <w:abstractNum w:abstractNumId="23">
    <w:nsid w:val="3804823E"/>
    <w:multiLevelType w:val="hybridMultilevel"/>
    <w:lvl w:ilvl="0">
      <w:lvlJc w:val="left"/>
      <w:lvlText w:val="%1"/>
      <w:numFmt w:val="upperLetter"/>
      <w:start w:val="1"/>
    </w:lvl>
    <w:lvl w:ilvl="1">
      <w:lvlJc w:val="left"/>
      <w:lvlText w:val="(%2)"/>
      <w:numFmt w:val="lowerLetter"/>
      <w:start w:val="3"/>
    </w:lvl>
  </w:abstractNum>
  <w:abstractNum w:abstractNumId="24">
    <w:nsid w:val="77465F01"/>
    <w:multiLevelType w:val="hybridMultilevel"/>
    <w:lvl w:ilvl="0">
      <w:lvlJc w:val="left"/>
      <w:lvlText w:val="(%1)"/>
      <w:numFmt w:val="upperLetter"/>
      <w:start w:val="2"/>
    </w:lvl>
    <w:lvl w:ilvl="1">
      <w:lvlJc w:val="left"/>
      <w:lvlText w:val="%2"/>
      <w:numFmt w:val="lowerLetter"/>
      <w:start w:val="1"/>
    </w:lvl>
  </w:abstractNum>
  <w:abstractNum w:abstractNumId="25">
    <w:nsid w:val="7724C67E"/>
    <w:multiLevelType w:val="hybridMultilevel"/>
    <w:lvl w:ilvl="0">
      <w:lvlJc w:val="left"/>
      <w:lvlText w:val="%1"/>
      <w:numFmt w:val="lowerLetter"/>
      <w:start w:val="1"/>
    </w:lvl>
    <w:lvl w:ilvl="1">
      <w:lvlJc w:val="left"/>
      <w:lvlText w:val="(%2)"/>
      <w:numFmt w:val="lowerLetter"/>
      <w:start w:val="7"/>
    </w:lvl>
  </w:abstractNum>
  <w:abstractNum w:abstractNumId="26">
    <w:nsid w:val="5C482A97"/>
    <w:multiLevelType w:val="hybridMultilevel"/>
    <w:lvl w:ilvl="0">
      <w:lvlJc w:val="left"/>
      <w:lvlText w:val="(%1)"/>
      <w:numFmt w:val="lowerLetter"/>
      <w:start w:val="9"/>
    </w:lvl>
    <w:lvl w:ilvl="1">
      <w:lvlJc w:val="left"/>
      <w:lvlText w:val="(%2)"/>
      <w:numFmt w:val="lowerLetter"/>
      <w:start w:val="9"/>
    </w:lvl>
  </w:abstractNum>
  <w:abstractNum w:abstractNumId="27">
    <w:nsid w:val="2463B9EA"/>
    <w:multiLevelType w:val="hybridMultilevel"/>
    <w:lvl w:ilvl="0">
      <w:lvlJc w:val="left"/>
      <w:lvlText w:val="(%1)"/>
      <w:numFmt w:val="lowerLetter"/>
      <w:start w:val="1"/>
    </w:lvl>
    <w:lvl w:ilvl="1">
      <w:lvlJc w:val="left"/>
      <w:lvlText w:val="%2"/>
      <w:numFmt w:val="lowerLetter"/>
      <w:start w:val="1"/>
    </w:lvl>
  </w:abstractNum>
  <w:abstractNum w:abstractNumId="28">
    <w:nsid w:val="5E884ADC"/>
    <w:multiLevelType w:val="hybridMultilevel"/>
    <w:lvl w:ilvl="0">
      <w:lvlJc w:val="left"/>
      <w:lvlText w:val="%1."/>
      <w:numFmt w:val="decimal"/>
      <w:start w:val="8"/>
    </w:lvl>
  </w:abstractNum>
  <w:abstractNum w:abstractNumId="29">
    <w:nsid w:val="51EAD36B"/>
    <w:multiLevelType w:val="hybridMultilevel"/>
    <w:lvl w:ilvl="0">
      <w:lvlJc w:val="left"/>
      <w:lvlText w:val="(%1)"/>
      <w:numFmt w:val="lowerLetter"/>
      <w:start w:val="2"/>
    </w:lvl>
  </w:abstractNum>
  <w:abstractNum w:abstractNumId="30">
    <w:nsid w:val="2D517796"/>
    <w:multiLevelType w:val="hybridMultilevel"/>
    <w:lvl w:ilvl="0">
      <w:lvlJc w:val="left"/>
      <w:lvlText w:val="%1"/>
      <w:numFmt w:val="lowerLetter"/>
      <w:start w:val="1"/>
    </w:lvl>
    <w:lvl w:ilvl="1">
      <w:lvlJc w:val="left"/>
      <w:lvlText w:val="(%2)"/>
      <w:numFmt w:val="lowerLetter"/>
      <w:start w:val="3"/>
    </w:lvl>
  </w:abstractNum>
  <w:abstractNum w:abstractNumId="31">
    <w:nsid w:val="580BD78F"/>
    <w:multiLevelType w:val="hybridMultilevel"/>
    <w:lvl w:ilvl="0">
      <w:lvlJc w:val="left"/>
      <w:lvlText w:val="(%1)"/>
      <w:numFmt w:val="lowerLetter"/>
      <w:start w:val="1"/>
    </w:lvl>
    <w:lvl w:ilvl="1">
      <w:lvlJc w:val="left"/>
      <w:lvlText w:val="%2"/>
      <w:numFmt w:val="lowerLetter"/>
      <w:start w:val="1"/>
    </w:lvl>
  </w:abstractNum>
  <w:abstractNum w:abstractNumId="32">
    <w:nsid w:val="153EA438"/>
    <w:multiLevelType w:val="hybridMultilevel"/>
    <w:lvl w:ilvl="0">
      <w:lvlJc w:val="left"/>
      <w:lvlText w:val="(%1)"/>
      <w:numFmt w:val="lowerLetter"/>
      <w:start w:val="4"/>
    </w:lvl>
    <w:lvl w:ilvl="1">
      <w:lvlJc w:val="left"/>
      <w:lvlText w:val="(%2)"/>
      <w:numFmt w:val="lowerLetter"/>
      <w:start w:val="5"/>
    </w:lvl>
  </w:abstractNum>
  <w:abstractNum w:abstractNumId="33">
    <w:nsid w:val="3855585C"/>
    <w:multiLevelType w:val="hybridMultilevel"/>
    <w:lvl w:ilvl="0">
      <w:lvlJc w:val="left"/>
      <w:lvlText w:val="%1."/>
      <w:numFmt w:val="decimal"/>
      <w:start w:val="9"/>
    </w:lvl>
  </w:abstractNum>
  <w:abstractNum w:abstractNumId="34">
    <w:nsid w:val="70A64E2A"/>
    <w:multiLevelType w:val="hybridMultilevel"/>
    <w:lvl w:ilvl="0">
      <w:lvlJc w:val="left"/>
      <w:lvlText w:val="(%1)"/>
      <w:numFmt w:val="lowerLetter"/>
      <w:start w:val="2"/>
    </w:lvl>
  </w:abstractNum>
  <w:abstractNum w:abstractNumId="35">
    <w:nsid w:val="6A2342EC"/>
    <w:multiLevelType w:val="hybridMultilevel"/>
    <w:lvl w:ilvl="0">
      <w:lvlJc w:val="left"/>
      <w:lvlText w:val="%1."/>
      <w:numFmt w:val="decimal"/>
      <w:start w:val="10"/>
    </w:lvl>
  </w:abstractNum>
  <w:abstractNum w:abstractNumId="36">
    <w:nsid w:val="2A487CB0"/>
    <w:multiLevelType w:val="hybridMultilevel"/>
    <w:lvl w:ilvl="0">
      <w:lvlJc w:val="left"/>
      <w:lvlText w:val="%1."/>
      <w:numFmt w:val="decimal"/>
      <w:start w:val="11"/>
    </w:lvl>
  </w:abstractNum>
  <w:abstractNum w:abstractNumId="37">
    <w:nsid w:val="1D4ED43B"/>
    <w:multiLevelType w:val="hybridMultilevel"/>
    <w:lvl w:ilvl="0">
      <w:lvlJc w:val="left"/>
      <w:lvlText w:val="%1."/>
      <w:numFmt w:val="decimal"/>
      <w:start w:val="13"/>
    </w:lvl>
  </w:abstractNum>
  <w:abstractNum w:abstractNumId="38">
    <w:nsid w:val="725A06FB"/>
    <w:multiLevelType w:val="hybridMultilevel"/>
    <w:lvl w:ilvl="0">
      <w:lvlJc w:val="left"/>
      <w:lvlText w:val="%1."/>
      <w:numFmt w:val="decimal"/>
      <w:start w:val="15"/>
    </w:lvl>
  </w:abstractNum>
  <w:abstractNum w:abstractNumId="39">
    <w:nsid w:val="2CD89A32"/>
    <w:multiLevelType w:val="hybridMultilevel"/>
    <w:lvl w:ilvl="0">
      <w:lvlJc w:val="left"/>
      <w:lvlText w:val="(%1)"/>
      <w:numFmt w:val="lowerRoman"/>
      <w:start w:val="3"/>
    </w:lvl>
    <w:lvl w:ilvl="1">
      <w:lvlJc w:val="left"/>
      <w:lvlText w:val="%2."/>
      <w:numFmt w:val="decimal"/>
      <w:start w:val="18"/>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bullet"/>
      <w:start w:val="1"/>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4"/>
    </w:lvl>
    <w:lvl w:ilvl="1">
      <w:lvlJc w:val="left"/>
      <w:lvlText w:val="(%2)"/>
      <w:numFmt w:val="lowerLetter"/>
      <w:start w:val="1"/>
    </w:lvl>
  </w:abstractNum>
  <w:abstractNum w:abstractNumId="46">
    <w:nsid w:val="7644A45C"/>
    <w:multiLevelType w:val="hybridMultilevel"/>
    <w:lvl w:ilvl="0">
      <w:lvlJc w:val="left"/>
      <w:lvlText w:val="(%1)"/>
      <w:numFmt w:val="decimal"/>
      <w:start w:val="2"/>
    </w:lvl>
  </w:abstractNum>
  <w:abstractNum w:abstractNumId="47">
    <w:nsid w:val="32FFF902"/>
    <w:multiLevelType w:val="hybridMultilevel"/>
    <w:lvl w:ilvl="0">
      <w:lvlJc w:val="left"/>
      <w:lvlText w:val="(%1)"/>
      <w:numFmt w:val="lowerRoman"/>
      <w:start w:val="1"/>
    </w:lvl>
  </w:abstractNum>
  <w:abstractNum w:abstractNumId="48">
    <w:nsid w:val="684A481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2019-12-28T06:48:45Z</dcterms:created>
  <dcterms:modified xsi:type="dcterms:W3CDTF">2019-12-28T06:48:45Z</dcterms:modified>
</cp:coreProperties>
</file>