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76" w:lineRule="exact"/>
        <w:rPr>
          <w:sz w:val="24"/>
          <w:szCs w:val="24"/>
          <w:color w:val="auto"/>
        </w:rPr>
      </w:pPr>
    </w:p>
    <w:p>
      <w:pPr>
        <w:jc w:val="both"/>
        <w:ind w:right="340"/>
        <w:spacing w:after="0" w:line="335" w:lineRule="auto"/>
        <w:rPr>
          <w:sz w:val="20"/>
          <w:szCs w:val="20"/>
          <w:color w:val="auto"/>
        </w:rPr>
      </w:pPr>
      <w:r>
        <w:rPr>
          <w:rFonts w:ascii="Arial" w:cs="Arial" w:eastAsia="Arial" w:hAnsi="Arial"/>
          <w:sz w:val="14"/>
          <w:szCs w:val="14"/>
          <w:b w:val="1"/>
          <w:bCs w:val="1"/>
          <w:color w:val="FF4338"/>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FF4338"/>
        </w:rPr>
        <w:t>SUBJECT TO COMPLETION, DATED DECEMBER 7, 2017</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MAY 8, 2015)</w:t>
      </w:r>
    </w:p>
    <w:p>
      <w:pPr>
        <w:spacing w:after="0" w:line="60"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74295</wp:posOffset>
            </wp:positionV>
            <wp:extent cx="218694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66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305"/>
        </w:trPr>
        <w:tc>
          <w:tcPr>
            <w:tcW w:w="1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3"/>
                <w:szCs w:val="23"/>
                <w:b w:val="1"/>
                <w:bCs w:val="1"/>
                <w:color w:val="auto"/>
              </w:rPr>
              <w:t>3.25% Notes due 2027</w:t>
            </w:r>
          </w:p>
        </w:tc>
      </w:tr>
      <w:tr>
        <w:trPr>
          <w:trHeight w:val="187"/>
        </w:trPr>
        <w:tc>
          <w:tcPr>
            <w:tcW w:w="1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4480" w:type="dxa"/>
            <w:vAlign w:val="bottom"/>
          </w:tcPr>
          <w:p>
            <w:pPr>
              <w:spacing w:after="0"/>
              <w:rPr>
                <w:sz w:val="16"/>
                <w:szCs w:val="16"/>
                <w:color w:val="auto"/>
              </w:rPr>
            </w:pPr>
          </w:p>
        </w:tc>
      </w:tr>
      <w:tr>
        <w:trPr>
          <w:trHeight w:val="258"/>
        </w:trPr>
        <w:tc>
          <w:tcPr>
            <w:tcW w:w="1480" w:type="dxa"/>
            <w:vAlign w:val="bottom"/>
          </w:tcPr>
          <w:p>
            <w:pPr>
              <w:spacing w:after="0"/>
              <w:rPr>
                <w:sz w:val="20"/>
                <w:szCs w:val="20"/>
                <w:color w:val="auto"/>
              </w:rPr>
            </w:pPr>
            <w:r>
              <w:rPr>
                <w:rFonts w:ascii="Arial" w:cs="Arial" w:eastAsia="Arial" w:hAnsi="Arial"/>
                <w:sz w:val="16"/>
                <w:szCs w:val="16"/>
                <w:color w:val="auto"/>
              </w:rPr>
              <w:t>We are offering $</w:t>
            </w:r>
          </w:p>
        </w:tc>
        <w:tc>
          <w:tcPr>
            <w:tcW w:w="9900" w:type="dxa"/>
            <w:vAlign w:val="bottom"/>
            <w:gridSpan w:val="3"/>
          </w:tcPr>
          <w:p>
            <w:pPr>
              <w:ind w:left="340"/>
              <w:spacing w:after="0"/>
              <w:rPr>
                <w:sz w:val="20"/>
                <w:szCs w:val="20"/>
                <w:color w:val="auto"/>
              </w:rPr>
            </w:pPr>
            <w:r>
              <w:rPr>
                <w:rFonts w:ascii="Arial" w:cs="Arial" w:eastAsia="Arial" w:hAnsi="Arial"/>
                <w:sz w:val="16"/>
                <w:szCs w:val="16"/>
                <w:color w:val="auto"/>
                <w:w w:val="91"/>
              </w:rPr>
              <w:t>aggregate principal amount of our 3.25% Notes due 2027. The notes offered hereby consist of an additional issuance of our 3.25% Notes due 2027,</w:t>
            </w:r>
          </w:p>
        </w:tc>
      </w:tr>
    </w:tbl>
    <w:p>
      <w:pPr>
        <w:ind w:right="80"/>
        <w:spacing w:after="0" w:line="288" w:lineRule="auto"/>
        <w:rPr>
          <w:sz w:val="20"/>
          <w:szCs w:val="20"/>
          <w:color w:val="auto"/>
        </w:rPr>
      </w:pPr>
      <w:r>
        <w:rPr>
          <w:rFonts w:ascii="Arial" w:cs="Arial" w:eastAsia="Arial" w:hAnsi="Arial"/>
          <w:sz w:val="16"/>
          <w:szCs w:val="16"/>
          <w:color w:val="auto"/>
        </w:rPr>
        <w:t>$300 million aggregate principal amount of which were previously issued and are outstanding. The notes offered hereby will become part of the same series as the outstanding 3.25% Notes due 2027 for all purposes and are referred to herein, together with such outstanding notes, as the notes.</w:t>
      </w:r>
    </w:p>
    <w:p>
      <w:pPr>
        <w:spacing w:after="0" w:line="41" w:lineRule="exact"/>
        <w:rPr>
          <w:sz w:val="24"/>
          <w:szCs w:val="24"/>
          <w:color w:val="auto"/>
        </w:rPr>
      </w:pPr>
    </w:p>
    <w:p>
      <w:pPr>
        <w:ind w:right="320"/>
        <w:spacing w:after="0" w:line="278" w:lineRule="auto"/>
        <w:rPr>
          <w:sz w:val="20"/>
          <w:szCs w:val="20"/>
          <w:color w:val="auto"/>
        </w:rPr>
      </w:pPr>
      <w:r>
        <w:rPr>
          <w:rFonts w:ascii="Arial" w:cs="Arial" w:eastAsia="Arial" w:hAnsi="Arial"/>
          <w:sz w:val="16"/>
          <w:szCs w:val="16"/>
          <w:color w:val="auto"/>
        </w:rPr>
        <w:t>The notes bear interest at the rate of 3.25% per year. Interest on the notes is payable on January 15 and July 15 of each year, beginning on January 15, 2018. The notes will mature on July 15, 2027 (unless redeemed prior to such date in accordance with their terms) . We may redeem some or all of the notes at any time before maturity at the applicable redemption price discussed under the caption “Description of Notes — Optional Redemption.”</w:t>
      </w:r>
    </w:p>
    <w:p>
      <w:pPr>
        <w:spacing w:after="0" w:line="36" w:lineRule="exact"/>
        <w:rPr>
          <w:sz w:val="24"/>
          <w:szCs w:val="24"/>
          <w:color w:val="auto"/>
        </w:rPr>
      </w:pPr>
    </w:p>
    <w:p>
      <w:pPr>
        <w:ind w:right="80"/>
        <w:spacing w:after="0" w:line="352" w:lineRule="auto"/>
        <w:rPr>
          <w:sz w:val="20"/>
          <w:szCs w:val="20"/>
          <w:color w:val="auto"/>
        </w:rPr>
      </w:pPr>
      <w:r>
        <w:rPr>
          <w:rFonts w:ascii="Arial" w:cs="Arial" w:eastAsia="Arial" w:hAnsi="Arial"/>
          <w:sz w:val="14"/>
          <w:szCs w:val="14"/>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rPr>
          <w:sz w:val="20"/>
          <w:szCs w:val="20"/>
          <w:color w:val="auto"/>
        </w:rPr>
      </w:pPr>
      <w:r>
        <w:rPr>
          <w:rFonts w:ascii="Arial" w:cs="Arial" w:eastAsia="Arial" w:hAnsi="Arial"/>
          <w:sz w:val="16"/>
          <w:szCs w:val="16"/>
          <w:color w:val="auto"/>
        </w:rPr>
        <w:t>We do not intend to apply to list the notes on any securities exchange. An active trading market for the notes may not be maintained.</w:t>
      </w:r>
    </w:p>
    <w:p>
      <w:pPr>
        <w:spacing w:after="0" w:line="87" w:lineRule="exact"/>
        <w:rPr>
          <w:sz w:val="24"/>
          <w:szCs w:val="24"/>
          <w:color w:val="auto"/>
        </w:rPr>
      </w:pPr>
    </w:p>
    <w:p>
      <w:pPr>
        <w:ind w:right="4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notes involves risks. See “</w:t>
      </w:r>
      <w:hyperlink w:anchor="page9">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u w:val="single" w:color="auto"/>
            <w:color w:val="auto"/>
          </w:rPr>
          <w:t xml:space="preserve"> </w:t>
        </w:r>
      </w:hyperlink>
      <w:r>
        <w:rPr>
          <w:rFonts w:ascii="Arial" w:cs="Arial" w:eastAsia="Arial" w:hAnsi="Arial"/>
          <w:sz w:val="20"/>
          <w:szCs w:val="20"/>
          <w:b w:val="1"/>
          <w:bCs w:val="1"/>
          <w:color w:val="auto"/>
        </w:rPr>
        <w:t>” beginning on page S-5 of this prospectus supplement, on page 5 of the accompanying prospectus and in our Annual Report on Form 10-K for the year ended December 31, 2016, filed with the Securities and Exchange Commission, or the SEC, on February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Note</w:t>
            </w:r>
          </w:p>
        </w:tc>
        <w:tc>
          <w:tcPr>
            <w:tcW w:w="960" w:type="dxa"/>
            <w:vAlign w:val="bottom"/>
            <w:gridSpan w:val="3"/>
          </w:tcPr>
          <w:p>
            <w:pPr>
              <w:ind w:left="580"/>
              <w:spacing w:after="0"/>
              <w:rPr>
                <w:sz w:val="20"/>
                <w:szCs w:val="20"/>
                <w:color w:val="auto"/>
              </w:rPr>
            </w:pPr>
            <w:r>
              <w:rPr>
                <w:rFonts w:ascii="Arial" w:cs="Arial" w:eastAsia="Arial" w:hAnsi="Arial"/>
                <w:sz w:val="14"/>
                <w:szCs w:val="14"/>
                <w:b w:val="1"/>
                <w:bCs w:val="1"/>
                <w:color w:val="auto"/>
              </w:rPr>
              <w:t>Total</w:t>
            </w:r>
          </w:p>
        </w:tc>
      </w:tr>
      <w:tr>
        <w:trPr>
          <w:trHeight w:val="196"/>
        </w:trPr>
        <w:tc>
          <w:tcPr>
            <w:tcW w:w="472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22"/>
                <w:szCs w:val="22"/>
                <w:color w:val="auto"/>
                <w:vertAlign w:val="superscript"/>
              </w:rPr>
              <w:t>(1)</w:t>
            </w:r>
          </w:p>
        </w:tc>
        <w:tc>
          <w:tcPr>
            <w:tcW w:w="2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Underwriting discount</w:t>
            </w:r>
          </w:p>
        </w:tc>
        <w:tc>
          <w:tcPr>
            <w:tcW w:w="3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23"/>
                <w:szCs w:val="23"/>
                <w:color w:val="auto"/>
                <w:vertAlign w:val="superscript"/>
              </w:rPr>
              <w:t>(1)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5"/>
          <w:szCs w:val="15"/>
          <w:color w:val="auto"/>
        </w:rPr>
        <w:t>Plus accrued interest from and including June 23, 2017 (the date of issuance of the $300 million aggregate principal amount of notes currently outstanding) to, but not</w:t>
      </w:r>
    </w:p>
    <w:p>
      <w:pPr>
        <w:spacing w:after="0" w:line="10" w:lineRule="exact"/>
        <w:rPr>
          <w:sz w:val="24"/>
          <w:szCs w:val="24"/>
          <w:color w:val="auto"/>
        </w:rPr>
      </w:pPr>
    </w:p>
    <w:p>
      <w:pPr>
        <w:ind w:left="340"/>
        <w:spacing w:after="0"/>
        <w:tabs>
          <w:tab w:leader="none" w:pos="5800" w:val="left"/>
        </w:tabs>
        <w:rPr>
          <w:sz w:val="20"/>
          <w:szCs w:val="20"/>
          <w:color w:val="auto"/>
        </w:rPr>
      </w:pPr>
      <w:r>
        <w:rPr>
          <w:rFonts w:ascii="Arial" w:cs="Arial" w:eastAsia="Arial" w:hAnsi="Arial"/>
          <w:sz w:val="16"/>
          <w:szCs w:val="16"/>
          <w:color w:val="auto"/>
        </w:rPr>
        <w:t>including, the issuance date of the notes offered hereby, in the amount of $</w:t>
      </w:r>
      <w:r>
        <w:rPr>
          <w:sz w:val="20"/>
          <w:szCs w:val="20"/>
          <w:color w:val="auto"/>
        </w:rPr>
        <w:tab/>
      </w:r>
      <w:r>
        <w:rPr>
          <w:rFonts w:ascii="Arial" w:cs="Arial" w:eastAsia="Arial" w:hAnsi="Arial"/>
          <w:sz w:val="14"/>
          <w:szCs w:val="14"/>
          <w:color w:val="auto"/>
        </w:rPr>
        <w:t>. This accrued interest must be paid by purchasers of the notes.</w:t>
      </w:r>
    </w:p>
    <w:p>
      <w:pPr>
        <w:spacing w:after="0" w:line="86" w:lineRule="exact"/>
        <w:rPr>
          <w:sz w:val="24"/>
          <w:szCs w:val="24"/>
          <w:color w:val="auto"/>
        </w:rPr>
      </w:pPr>
    </w:p>
    <w:p>
      <w:pPr>
        <w:spacing w:after="0"/>
        <w:rPr>
          <w:sz w:val="20"/>
          <w:szCs w:val="20"/>
          <w:color w:val="auto"/>
        </w:rPr>
      </w:pPr>
      <w:r>
        <w:rPr>
          <w:rFonts w:ascii="Arial" w:cs="Arial" w:eastAsia="Arial" w:hAnsi="Arial"/>
          <w:sz w:val="15"/>
          <w:szCs w:val="15"/>
          <w:color w:val="auto"/>
        </w:rPr>
        <w:t>The underwriters expect to deliver the notes offered hereby to purchasers in book-entry only form through the facilities of The Depository Trust Company on or about</w:t>
      </w:r>
    </w:p>
    <w:p>
      <w:pPr>
        <w:spacing w:after="0" w:line="34" w:lineRule="exact"/>
        <w:rPr>
          <w:sz w:val="24"/>
          <w:szCs w:val="24"/>
          <w:color w:val="auto"/>
        </w:rPr>
      </w:pPr>
    </w:p>
    <w:p>
      <w:pPr>
        <w:spacing w:after="0"/>
        <w:tabs>
          <w:tab w:leader="none" w:pos="1180" w:val="left"/>
        </w:tabs>
        <w:rPr>
          <w:sz w:val="20"/>
          <w:szCs w:val="20"/>
          <w:color w:val="auto"/>
        </w:rPr>
      </w:pPr>
      <w:r>
        <w:rPr>
          <w:rFonts w:ascii="Arial" w:cs="Arial" w:eastAsia="Arial" w:hAnsi="Arial"/>
          <w:sz w:val="16"/>
          <w:szCs w:val="16"/>
          <w:color w:val="auto"/>
        </w:rPr>
        <w:t>December</w:t>
      </w:r>
      <w:r>
        <w:rPr>
          <w:sz w:val="20"/>
          <w:szCs w:val="20"/>
          <w:color w:val="auto"/>
        </w:rPr>
        <w:tab/>
      </w:r>
      <w:r>
        <w:rPr>
          <w:rFonts w:ascii="Arial" w:cs="Arial" w:eastAsia="Arial" w:hAnsi="Arial"/>
          <w:sz w:val="16"/>
          <w:szCs w:val="16"/>
          <w:color w:val="auto"/>
        </w:rPr>
        <w:t>, 2017.</w:t>
      </w:r>
    </w:p>
    <w:p>
      <w:pPr>
        <w:spacing w:after="0" w:line="78" w:lineRule="exact"/>
        <w:rPr>
          <w:sz w:val="24"/>
          <w:szCs w:val="24"/>
          <w:color w:val="auto"/>
        </w:rPr>
      </w:pPr>
    </w:p>
    <w:p>
      <w:pPr>
        <w:ind w:right="960"/>
        <w:spacing w:after="0" w:line="298"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Joint Book-Running Managers</w:t>
      </w:r>
    </w:p>
    <w:p>
      <w:pPr>
        <w:spacing w:after="0" w:line="86" w:lineRule="exact"/>
        <w:rPr>
          <w:sz w:val="24"/>
          <w:szCs w:val="24"/>
          <w:color w:val="auto"/>
        </w:rPr>
      </w:pPr>
    </w:p>
    <w:p>
      <w:pPr>
        <w:ind w:left="420"/>
        <w:spacing w:after="0"/>
        <w:tabs>
          <w:tab w:leader="none" w:pos="3000" w:val="left"/>
          <w:tab w:leader="none" w:pos="5860" w:val="left"/>
          <w:tab w:leader="none" w:pos="900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346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Arial" w:cs="Arial" w:eastAsia="Arial" w:hAnsi="Arial"/>
                <w:sz w:val="16"/>
                <w:szCs w:val="16"/>
                <w:b w:val="1"/>
                <w:bCs w:val="1"/>
                <w:color w:val="auto"/>
                <w:w w:val="94"/>
              </w:rPr>
              <w:t>The date of this prospectus supplement is December</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 2017.</w:t>
            </w: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28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Underwriting (Conflicts of Interest)</w:t>
              </w:r>
            </w:hyperlink>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2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6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Forward-Looking Statements</w:t>
              </w:r>
            </w:hyperlink>
          </w:p>
        </w:tc>
        <w:tc>
          <w:tcPr>
            <w:tcW w:w="71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59"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27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2016,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5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2017, we owned or had a majority interest in community and neighborhood shopping centers and mixed-use properties which are operated as 104 predominantly retail real estate projects comprising approximately 24.1 million square feet. In total, the real estate projects were 94.9% leased and 93.8% occupied at September 30, 2017. We have paid quarterly dividends to our shareholders continuously since our founding in 1962 and have increased our dividends per common share for 50 consecutive years.</w:t>
      </w:r>
    </w:p>
    <w:p>
      <w:pPr>
        <w:spacing w:after="0" w:line="18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44"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For the Nine Months</w:t>
      </w:r>
    </w:p>
    <w:p>
      <w:pPr>
        <w:jc w:val="center"/>
        <w:ind w:left="422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7380"/>
        <w:spacing w:after="0"/>
        <w:tabs>
          <w:tab w:leader="none" w:pos="88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For the Years Ended December 31,</w:t>
      </w:r>
    </w:p>
    <w:p>
      <w:pPr>
        <w:ind w:left="7680"/>
        <w:spacing w:after="0"/>
        <w:tabs>
          <w:tab w:leader="none" w:pos="8640" w:val="left"/>
          <w:tab w:leader="none" w:pos="9200" w:val="left"/>
          <w:tab w:leader="none" w:pos="9760" w:val="left"/>
          <w:tab w:leader="none" w:pos="10320" w:val="left"/>
          <w:tab w:leader="none" w:pos="108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2012</w:t>
      </w:r>
    </w:p>
    <w:tbl>
      <w:tblPr>
        <w:tblLayout w:type="fixed"/>
        <w:tblInd w:w="200" w:type="dxa"/>
        <w:tblCellMar>
          <w:top w:w="0" w:type="dxa"/>
          <w:left w:w="0" w:type="dxa"/>
          <w:bottom w:w="0" w:type="dxa"/>
          <w:right w:w="0" w:type="dxa"/>
        </w:tblCellMar>
      </w:tblP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2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ratios of earnings to fixed charges are computed by dividing earnings by fixed charges. In computing the ratios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1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5131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Issuer</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6620" w:type="dxa"/>
            <w:vAlign w:val="bottom"/>
          </w:tcPr>
          <w:p>
            <w:pPr>
              <w:ind w:left="200"/>
              <w:spacing w:after="0"/>
              <w:rPr>
                <w:sz w:val="20"/>
                <w:szCs w:val="20"/>
                <w:color w:val="auto"/>
              </w:rPr>
            </w:pPr>
            <w:r>
              <w:rPr>
                <w:rFonts w:ascii="Arial" w:cs="Arial" w:eastAsia="Arial" w:hAnsi="Arial"/>
                <w:sz w:val="18"/>
                <w:szCs w:val="18"/>
                <w:color w:val="auto"/>
              </w:rPr>
              <w:t>million aggregate principal amount of 3.25% Notes due 2027.</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Maturity</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6"/>
              </w:rPr>
              <w:t>Unless redeemed prior to maturity as described below, the notes will mature on July 15, 2027.</w:t>
            </w:r>
          </w:p>
        </w:tc>
      </w:tr>
      <w:tr>
        <w:trPr>
          <w:trHeight w:val="310"/>
        </w:trPr>
        <w:tc>
          <w:tcPr>
            <w:tcW w:w="30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3"/>
              </w:rPr>
              <w:t>Interest on the notes is payable semi-annually in arrears on January 15 and July 15 of each year,</w:t>
            </w:r>
          </w:p>
        </w:tc>
      </w:tr>
      <w:tr>
        <w:trPr>
          <w:trHeight w:val="230"/>
        </w:trPr>
        <w:tc>
          <w:tcPr>
            <w:tcW w:w="3080" w:type="dxa"/>
            <w:vAlign w:val="bottom"/>
          </w:tcPr>
          <w:p>
            <w:pPr>
              <w:spacing w:after="0"/>
              <w:rPr>
                <w:sz w:val="20"/>
                <w:szCs w:val="20"/>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rPr>
              <w:t>beginning on January 15, 2018, and at maturity (or any earlier redemption date).</w:t>
            </w:r>
          </w:p>
        </w:tc>
      </w:tr>
      <w:tr>
        <w:trPr>
          <w:trHeight w:val="310"/>
        </w:trPr>
        <w:tc>
          <w:tcPr>
            <w:tcW w:w="3080" w:type="dxa"/>
            <w:vAlign w:val="bottom"/>
          </w:tcPr>
          <w:p>
            <w:pPr>
              <w:spacing w:after="0"/>
              <w:rPr>
                <w:sz w:val="20"/>
                <w:szCs w:val="20"/>
                <w:color w:val="auto"/>
              </w:rPr>
            </w:pPr>
            <w:r>
              <w:rPr>
                <w:rFonts w:ascii="Arial" w:cs="Arial" w:eastAsia="Arial" w:hAnsi="Arial"/>
                <w:sz w:val="18"/>
                <w:szCs w:val="18"/>
                <w:color w:val="auto"/>
              </w:rPr>
              <w:t>Ranking</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4"/>
              </w:rPr>
              <w:t xml:space="preserve">The notes will be our senior unsecured obligations and will rank </w:t>
            </w:r>
            <w:r>
              <w:rPr>
                <w:rFonts w:ascii="Arial" w:cs="Arial" w:eastAsia="Arial" w:hAnsi="Arial"/>
                <w:sz w:val="18"/>
                <w:szCs w:val="18"/>
                <w:i w:val="1"/>
                <w:iCs w:val="1"/>
                <w:color w:val="auto"/>
                <w:w w:val="94"/>
              </w:rPr>
              <w:t>pari passu</w:t>
            </w:r>
            <w:r>
              <w:rPr>
                <w:rFonts w:ascii="Arial" w:cs="Arial" w:eastAsia="Arial" w:hAnsi="Arial"/>
                <w:sz w:val="18"/>
                <w:szCs w:val="18"/>
                <w:color w:val="auto"/>
                <w:w w:val="94"/>
              </w:rPr>
              <w:t>, or equally, with all of</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0"/>
              </w:rPr>
              <w:t>our other unsecured and unsubordinated indebtedness. The notes will be effectively subordinated to</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1"/>
              </w:rPr>
              <w:t>the prior claims of each secured mortgage lender to any specific property that secures such lender’s</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2"/>
              </w:rPr>
              <w:t>mortgage and to all of the unsecured indebtedness of our subsidiaries. At September 30, 2017, we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1"/>
              </w:rPr>
              <w:t>had outstanding approximately $493 million (excluding net unamortized premium and debt issuance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2"/>
              </w:rPr>
              <w:t>costs) of secured indebtedness, which was issued by our subsidiaries and is collateralized by all or</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1"/>
              </w:rPr>
              <w:t>parts of 13 properties, and which will rank senior to the notes to the extent of the securing collateral</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rPr>
              <w:t>and will also be structurally senior to the notes, approximately $5 million (excluding net</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1"/>
              </w:rPr>
              <w:t>unamortized debt issuance costs) of unsecured indebtedness issued by our subsidiaries, which will</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5"/>
              </w:rPr>
              <w:t>be structurally senior to the notes, and approximately $2,711 million of unsecured indebtedness</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6"/>
              </w:rPr>
              <w:t>(excluding net unamortized discount and debt issuance costs), which will rank equally with the</w:t>
            </w:r>
          </w:p>
        </w:tc>
      </w:tr>
      <w:tr>
        <w:trPr>
          <w:trHeight w:val="230"/>
        </w:trPr>
        <w:tc>
          <w:tcPr>
            <w:tcW w:w="3080" w:type="dxa"/>
            <w:vAlign w:val="bottom"/>
          </w:tcPr>
          <w:p>
            <w:pPr>
              <w:spacing w:after="0"/>
              <w:rPr>
                <w:sz w:val="20"/>
                <w:szCs w:val="20"/>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notes.</w:t>
            </w:r>
          </w:p>
        </w:tc>
        <w:tc>
          <w:tcPr>
            <w:tcW w:w="6620" w:type="dxa"/>
            <w:vAlign w:val="bottom"/>
          </w:tcPr>
          <w:p>
            <w:pPr>
              <w:spacing w:after="0"/>
              <w:rPr>
                <w:sz w:val="20"/>
                <w:szCs w:val="20"/>
                <w:color w:val="auto"/>
              </w:rPr>
            </w:pPr>
          </w:p>
        </w:tc>
      </w:tr>
      <w:tr>
        <w:trPr>
          <w:trHeight w:val="310"/>
        </w:trPr>
        <w:tc>
          <w:tcPr>
            <w:tcW w:w="3080" w:type="dxa"/>
            <w:vAlign w:val="bottom"/>
          </w:tcPr>
          <w:p>
            <w:pPr>
              <w:spacing w:after="0"/>
              <w:rPr>
                <w:sz w:val="20"/>
                <w:szCs w:val="20"/>
                <w:color w:val="auto"/>
              </w:rPr>
            </w:pPr>
            <w:r>
              <w:rPr>
                <w:rFonts w:ascii="Arial" w:cs="Arial" w:eastAsia="Arial" w:hAnsi="Arial"/>
                <w:sz w:val="18"/>
                <w:szCs w:val="18"/>
                <w:color w:val="auto"/>
              </w:rPr>
              <w:t>Use of proceeds</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2"/>
              </w:rPr>
              <w:t>We intend to use the net proceeds from this offering to redeem all of our outstanding 5.90% Notes</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5"/>
              </w:rPr>
              <w:t>due 2020 and for general corporate purposes or may use the net proceeds to temporarily repay</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0"/>
              </w:rPr>
              <w:t>amounts outstanding under our revolving credit facility. See “Use of Proceeds” on page S-7 for more</w:t>
            </w:r>
          </w:p>
        </w:tc>
      </w:tr>
      <w:tr>
        <w:trPr>
          <w:trHeight w:val="230"/>
        </w:trPr>
        <w:tc>
          <w:tcPr>
            <w:tcW w:w="3080" w:type="dxa"/>
            <w:vAlign w:val="bottom"/>
          </w:tcPr>
          <w:p>
            <w:pPr>
              <w:spacing w:after="0"/>
              <w:rPr>
                <w:sz w:val="20"/>
                <w:szCs w:val="20"/>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rPr>
              <w:t>information.</w:t>
            </w: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10"/>
        </w:trPr>
        <w:tc>
          <w:tcPr>
            <w:tcW w:w="3080" w:type="dxa"/>
            <w:vAlign w:val="bottom"/>
          </w:tcPr>
          <w:p>
            <w:pPr>
              <w:spacing w:after="0"/>
              <w:rPr>
                <w:sz w:val="24"/>
                <w:szCs w:val="24"/>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7"/>
              </w:rPr>
              <w:t>(1) we will not, and will not permit any subsidiary to, incur any Debt if, immediately after giving</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5"/>
              </w:rPr>
              <w:t>effect to the incurrence of such Debt and the application of the proceeds thereof, the aggregate</w:t>
            </w:r>
          </w:p>
        </w:tc>
      </w:tr>
      <w:tr>
        <w:trPr>
          <w:trHeight w:val="230"/>
        </w:trPr>
        <w:tc>
          <w:tcPr>
            <w:tcW w:w="3080" w:type="dxa"/>
            <w:vAlign w:val="bottom"/>
          </w:tcPr>
          <w:p>
            <w:pPr>
              <w:spacing w:after="0"/>
              <w:rPr>
                <w:sz w:val="20"/>
                <w:szCs w:val="20"/>
                <w:color w:val="auto"/>
              </w:rPr>
            </w:pPr>
          </w:p>
        </w:tc>
        <w:tc>
          <w:tcPr>
            <w:tcW w:w="7940" w:type="dxa"/>
            <w:vAlign w:val="bottom"/>
            <w:gridSpan w:val="2"/>
          </w:tcPr>
          <w:p>
            <w:pPr>
              <w:ind w:left="680"/>
              <w:spacing w:after="0"/>
              <w:rPr>
                <w:sz w:val="20"/>
                <w:szCs w:val="20"/>
                <w:color w:val="auto"/>
              </w:rPr>
            </w:pPr>
            <w:r>
              <w:rPr>
                <w:rFonts w:ascii="Arial" w:cs="Arial" w:eastAsia="Arial" w:hAnsi="Arial"/>
                <w:sz w:val="18"/>
                <w:szCs w:val="18"/>
                <w:color w:val="auto"/>
                <w:w w:val="99"/>
              </w:rPr>
              <w:t>principal amount of all of our and our subsidiaries’ outstanding Debt on a consolidated basis</w:t>
            </w:r>
          </w:p>
        </w:tc>
      </w:tr>
    </w:tbl>
    <w:p>
      <w:pPr>
        <w:ind w:left="3960"/>
        <w:spacing w:after="0" w:line="268" w:lineRule="auto"/>
        <w:rPr>
          <w:sz w:val="20"/>
          <w:szCs w:val="20"/>
          <w:color w:val="auto"/>
        </w:rPr>
      </w:pPr>
      <w:r>
        <w:rPr>
          <w:rFonts w:ascii="Arial" w:cs="Arial" w:eastAsia="Arial" w:hAnsi="Arial"/>
          <w:sz w:val="17"/>
          <w:szCs w:val="17"/>
          <w:color w:val="auto"/>
        </w:rPr>
        <w:t>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47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960" w:hanging="9"/>
        <w:spacing w:after="0" w:line="285" w:lineRule="auto"/>
        <w:tabs>
          <w:tab w:leader="none" w:pos="4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69" w:lineRule="exact"/>
        <w:rPr>
          <w:rFonts w:ascii="Arial" w:cs="Arial" w:eastAsia="Arial" w:hAnsi="Arial"/>
          <w:sz w:val="16"/>
          <w:szCs w:val="16"/>
          <w:color w:val="auto"/>
        </w:rPr>
      </w:pPr>
    </w:p>
    <w:p>
      <w:pPr>
        <w:ind w:left="3960" w:hanging="9"/>
        <w:spacing w:after="0" w:line="267" w:lineRule="auto"/>
        <w:tabs>
          <w:tab w:leader="none" w:pos="4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80" w:lineRule="exact"/>
        <w:rPr>
          <w:rFonts w:ascii="Arial" w:cs="Arial" w:eastAsia="Arial" w:hAnsi="Arial"/>
          <w:sz w:val="17"/>
          <w:szCs w:val="17"/>
          <w:color w:val="auto"/>
        </w:rPr>
      </w:pPr>
    </w:p>
    <w:p>
      <w:pPr>
        <w:jc w:val="both"/>
        <w:ind w:left="3960" w:right="460" w:hanging="9"/>
        <w:spacing w:after="0" w:line="264" w:lineRule="auto"/>
        <w:tabs>
          <w:tab w:leader="none" w:pos="4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02"/>
        </w:trPr>
        <w:tc>
          <w:tcPr>
            <w:tcW w:w="36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8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5"/>
              </w:rPr>
              <w:t>The notes are redeemable at any time at our option, in whole or in part. If the notes are redeemed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before April 15, 2027 (three months prior to the stated maturity date), the redemption price will be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equal to the greater of (1) 100% of the principal amount of the notes being redeemed, or (2) the sum</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of the present values of the remaining scheduled payments of principal and interest thereon,</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0"/>
              </w:rPr>
              <w:t>discounted to the redemption date on a semi-annual basis at the Adjusted Treasury Rate plus 20 basis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points (0.20%), plus, in each case, accrued and unpaid interest thereon to, but excluding,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redemption date. If the notes are redeemed on or after April 15, 2027 (three months prior to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maturity date), the redemption price will be equal to 100% of the principal amount of the notes being</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redeemed plus accrued and unpaid interest thereon to, but excluding, the redemption date.</w:t>
            </w:r>
          </w:p>
        </w:tc>
      </w:tr>
      <w:tr>
        <w:trPr>
          <w:trHeight w:val="324"/>
        </w:trPr>
        <w:tc>
          <w:tcPr>
            <w:tcW w:w="36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310"/>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For a description of the material U.S. federal income tax considerations of an investment in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notes, please review the disclosure in this prospectus supplement under “Additional Material Federal</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Income Tax Considerations” and in the accompanying prospectus under “Material Federal Income</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Tax Considerations.”</w:t>
            </w:r>
          </w:p>
        </w:tc>
      </w:tr>
      <w:tr>
        <w:trPr>
          <w:trHeight w:val="310"/>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Investing in the notes involves risks. Please review the risk factors discussed beginning on page S-5</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of this prospectus supplement, on page 3 of the accompanying prospectus and in our Annual Report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on Form 10-K for the year ended December 31, 2016, filed with the SEC on February 13, 2017, and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the other information contained or incorporated by reference in this prospectus supplement and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accompanying prospectus for a discussion of factors you should consider before deciding to invest in</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the notes. You may obtain a copy of our Annual Report on Form 10-K and the other documents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incorporated by reference in this prospectus supplement and the accompanying prospectus by</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following the procedures described under “Where You Can Find More Information” on page 47 of</w:t>
            </w:r>
          </w:p>
        </w:tc>
      </w:tr>
      <w:tr>
        <w:trPr>
          <w:trHeight w:val="230"/>
        </w:trPr>
        <w:tc>
          <w:tcPr>
            <w:tcW w:w="36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the accompanying prospectus.</w:t>
            </w:r>
          </w:p>
        </w:tc>
      </w:tr>
      <w:tr>
        <w:trPr>
          <w:trHeight w:val="402"/>
        </w:trPr>
        <w:tc>
          <w:tcPr>
            <w:tcW w:w="3620" w:type="dxa"/>
            <w:vAlign w:val="bottom"/>
            <w:tcBorders>
              <w:left w:val="single" w:sz="8" w:color="auto"/>
              <w:bottom w:val="single" w:sz="8" w:color="auto"/>
            </w:tcBorders>
          </w:tcPr>
          <w:p>
            <w:pPr>
              <w:spacing w:after="0"/>
              <w:rPr>
                <w:sz w:val="24"/>
                <w:szCs w:val="24"/>
                <w:color w:val="auto"/>
              </w:rPr>
            </w:pPr>
          </w:p>
        </w:tc>
        <w:tc>
          <w:tcPr>
            <w:tcW w:w="7800" w:type="dxa"/>
            <w:vAlign w:val="bottom"/>
            <w:tcBorders>
              <w:bottom w:val="single" w:sz="8" w:color="auto"/>
              <w:right w:val="single" w:sz="8" w:color="auto"/>
            </w:tcBorders>
          </w:tcPr>
          <w:p>
            <w:pPr>
              <w:spacing w:after="0"/>
              <w:rPr>
                <w:sz w:val="24"/>
                <w:szCs w:val="24"/>
                <w:color w:val="auto"/>
              </w:rPr>
            </w:pPr>
          </w:p>
        </w:tc>
      </w:tr>
      <w:tr>
        <w:trPr>
          <w:trHeight w:val="604"/>
        </w:trPr>
        <w:tc>
          <w:tcPr>
            <w:tcW w:w="36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2016 filed with the SEC on February 13, 2017 before you decide to purchase the notes. The risks and uncertainties described below and in the incorporated Form 10-K for the year ended December 31, 2016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2017, our subsidiaries had approximately $498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2017, we had approximately $493 million (excluding net unamortized premium and debt issuance costs) of secured debt outstanding, all of which was effectively senior to the notes to the extent of the value of the securing collateral.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be maintained.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do not intend to apply for listing of the notes on any securities exchange or on any automated dealer quotation system, a trading market currently exists for the $300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the notes are traded after their initial issuance, they may trade at a discount from their initial offering price, depending upon prevailing interest rates and other factors, including those listed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Enactment of a Tax Reform Bill could have a negative effect on holders of the notes or us.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16, 2017, the U.S. House of Representatives passed the Tax Cuts and Jobs Act (H.R. 1), and on December 2, 2017, the U.S. Senate passed a revised version of the Tax Cuts and Jobs Act (together with any amended versions, the “Tax Reform Bills”). Either of the Tax Reform Bills, or any likely compromise version of the Tax Reform Bills, would make significant changes to the United States income tax rules applicable to both individuals and entities, including corporations. There is significant uncertainty as to the likelihood, timing, or details of any Tax Reform Bill being enacted and the impact of any such Tax Reform Bill on us or an investment in the notes. You should consult with your tax advisor with respect to the status of the Tax Reform Bills and any other regulatory or administrative developments and proposals and their potential effect on your investment in the notes.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2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88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900" w:type="dxa"/>
            <w:vAlign w:val="bottom"/>
          </w:tcPr>
          <w:p>
            <w:pPr>
              <w:spacing w:after="0"/>
              <w:rPr>
                <w:sz w:val="24"/>
                <w:szCs w:val="24"/>
                <w:color w:val="auto"/>
              </w:rPr>
            </w:pP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w w:val="92"/>
              </w:rPr>
              <w:t>The net proceeds to us from the issuance and sale of the notes offered by this prospectus supplement are estimated to be approximately $</w:t>
            </w:r>
          </w:p>
        </w:tc>
        <w:tc>
          <w:tcPr>
            <w:tcW w:w="900" w:type="dxa"/>
            <w:vAlign w:val="bottom"/>
          </w:tcPr>
          <w:p>
            <w:pPr>
              <w:ind w:left="380"/>
              <w:spacing w:after="0"/>
              <w:rPr>
                <w:sz w:val="20"/>
                <w:szCs w:val="20"/>
                <w:color w:val="auto"/>
              </w:rPr>
            </w:pPr>
            <w:r>
              <w:rPr>
                <w:rFonts w:ascii="Arial" w:cs="Arial" w:eastAsia="Arial" w:hAnsi="Arial"/>
                <w:sz w:val="18"/>
                <w:szCs w:val="18"/>
                <w:color w:val="auto"/>
                <w:w w:val="97"/>
              </w:rPr>
              <w:t>million</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deducting the underwriting discount and other estimated expenses of this offering payable by us (but excluding accrued interest paid by purchasers of the</w:t>
      </w:r>
    </w:p>
    <w:p>
      <w:pPr>
        <w:spacing w:after="0" w:line="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notes of approximately $ million). We intend to use these net proceeds to redeem all of our outstanding 5.90% Notes due 2020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19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of September 30, 2017, 5.90% Notes due 2020 with an aggregate principal amount of $150 million were outstanding. In addition to the payment of outstanding principal amount and accrued but unpaid interest, redemption of the 5.90% Notes due 2020 will be subject to a make-whole premium in the aggregate amount of approximately $12 million. The 5.90% Notes due 2020 are scheduled to mature on April 1, 2020.</w:t>
      </w:r>
    </w:p>
    <w:p>
      <w:pPr>
        <w:spacing w:after="0" w:line="16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September 30, 2017, we had $41.5 million outstanding under our revolving credit facility ($56.0 million as of December 6, 2017).</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Affiliates of certain of the underwriters may be beneficial owners of some of our 5.90% Notes due 2020. Any such affiliates will receive pro rata portions of the net proceeds from this offering used to redeem our 5.90% Notes due 2020. 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46"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6"/>
          <w:szCs w:val="16"/>
          <w:color w:val="auto"/>
        </w:rPr>
        <w:t>aggregate principal amount of notes. The 2027 Notes will mature on July 15, 2027 (unless redeemed prior to such date in</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accordance with their terms). The notes offered hereby will be an additional issuance of our outstanding 3.25% Notes due 2027, $300,000,000 aggregate principal amount of which were originally issued on June 23, 2017. The terms of the notes offered hereby, other than their issue date, initial interest accrual date, initial interest payment date and issue price, will be identical to the terms of and will be part of the same series as the $300,000,000 aggregate principal amount of these outstanding 3.25% Notes due 2027. However, for U.S. federal income tax purposes the notes offered hereby will be deemed to have the same issue date and issue price as the existing notes. The notes offered hereby will have the same CUSIP number as the currently outstanding notes and will trade interchangeably with such notes immediately upon settlement. Upon consummation of this offering, the aggregate principal amount outstanding of our notes</w:t>
      </w:r>
    </w:p>
    <w:p>
      <w:pPr>
        <w:spacing w:after="0" w:line="4"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of this series, including the notes offered hereby, will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will pay interest on the notes semi-annually in arrears at an annual rate of 3.25% on January 15 and July 15 of each year, beginning on January 15, 2018, to the registered holders of the notes on the preceding January 1 and July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notes offered hereby will be issued only in registered form in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defeasance and covenant defeasance provisions of the indenture apply to the notes. The notes are not entitled to the benefit of any sinking fund.</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We may from time to time without the consent of existing holders create and issue further notes having the same terms and conditions as the notes, except for the issue date, the issue price and, if applicable, the initial interest payment date and the initial interest accrual date. Additional notes issued in this manner will be consolidated and form a single series with, the previously outstanding notes. We also may issue from time to time other series of debt securities under the indenture consisting of notes or other unsecured evidences of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notes are our senior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September 30, 2017, we had outstanding approximately $493 million (excluding net unamortized premium and debt issuance costs) of secured indebtedness, which was issued by our subsidiaries and is collateralized by all or parts of 13 properties, and which ranks senior to the notes to the extent of the securing collateral and is also structurally senior to the notes, approximately $5 million (excluding net unamortized debt issuance costs) of unsecured indebtedness issued by our subsidiaries, which is structurally senior to the notes, and approximately $2,711 million of unsecured indebtedness (excluding net unamortized discount and debt issuance costs), which ranks equally with the notes.</w:t>
      </w:r>
    </w:p>
    <w:p>
      <w:pPr>
        <w:sectPr>
          <w:pgSz w:w="11900" w:h="16838" w:orient="portrait"/>
          <w:cols w:equalWidth="0" w:num="1">
            <w:col w:w="11420"/>
          </w:cols>
          <w:pgMar w:left="240" w:top="459"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April 15, 2027 (three months prior to the stated maturity date) (the “Par Call Date”), the redemption price will be equal to the greater of (1) 100% of the principal amount of the notes being redeemed, or</w:t>
      </w:r>
    </w:p>
    <w:p>
      <w:pPr>
        <w:ind w:firstLine="8"/>
        <w:spacing w:after="0" w:line="290"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 defined below) plus 20 basis points (0.20%),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Citigroup Global Markets Inc., Deutsche Bank Securities Inc., J.P. Morgan Securities LLC and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three other Primary Treasury Dealers selected by us.</w:t>
      </w:r>
    </w:p>
    <w:p>
      <w:pPr>
        <w:spacing w:after="0" w:line="18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40" w:firstLine="8"/>
        <w:spacing w:after="0" w:line="271"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 Unencumbered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are subject to the following events of default:</w:t>
      </w:r>
    </w:p>
    <w:p>
      <w:pPr>
        <w:spacing w:after="0" w:line="117" w:lineRule="exact"/>
        <w:rPr>
          <w:sz w:val="20"/>
          <w:szCs w:val="20"/>
          <w:color w:val="auto"/>
        </w:rPr>
      </w:pPr>
    </w:p>
    <w:p>
      <w:pPr>
        <w:ind w:right="5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firstLine="8"/>
        <w:spacing w:after="0" w:line="271"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70"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7"/>
          <w:szCs w:val="17"/>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sz w:val="20"/>
          <w:szCs w:val="20"/>
          <w:color w:val="auto"/>
        </w:rPr>
      </w:pPr>
    </w:p>
    <w:p>
      <w:pPr>
        <w:ind w:right="28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2" w:lineRule="exact"/>
        <w:rPr>
          <w:sz w:val="20"/>
          <w:szCs w:val="20"/>
          <w:color w:val="auto"/>
        </w:rPr>
      </w:pPr>
    </w:p>
    <w:p>
      <w:pPr>
        <w:ind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Proposed and Enacted Legislation and Regulations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public offering price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these discussions are limited to beneficial owners of notes that are U.S. Holders.</w:t>
      </w:r>
    </w:p>
    <w:p>
      <w:pPr>
        <w:spacing w:after="0" w:line="2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Proposed and Enacted Legislation and Regulations Affecting Taxation of Our Company</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discussion supplements and updates the discussion contained in the prospectus under the heading “Material Federal Income Tax Considerations,” and supersedes such discussion to the extent inconsistent with such discussion.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U.S. Tax Reform Legislation</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16, 2017, the U.S. House of Representatives passed its version of a Tax Reform Bill, the Tax Cuts and Jobs Act (H.R. 1), and on December 2, 2017, the U.S. Senate passed a revised version of the Tax Reform Bill. Either of the Tax Reform Bills, or any likely compromise version of the Tax Reform Bills, would make significant changes to the United States income tax rules applicable to both individuals and entities, including corporations. Whether a Tax Reform Bill as currently written or as subsequently amended will be enacted and its impact on the tax treatment described herein is uncertain. Holders should consult with their tax advisors with respect to the status of the Tax Reform Bills and any other regulatory or administrative developments and proposals and their potential effect on an investment in the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should consult their tax advisors regarding the implications of the PATH Act.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auto"/>
        </w:rPr>
        <w:t xml:space="preserve">Reduction in Built-in Gains Period. </w:t>
      </w:r>
      <w:r>
        <w:rPr>
          <w:rFonts w:ascii="Arial" w:cs="Arial" w:eastAsia="Arial" w:hAnsi="Arial"/>
          <w:sz w:val="18"/>
          <w:szCs w:val="18"/>
          <w:color w:val="auto"/>
        </w:rPr>
        <w:t>For taxable years beginning in 2015 and later, the “built-in gains” period (i.e., the period during which gains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or disposition of property acquired by a REIT from a C corporation in a tax-free merger or other carryover basis transaction is subject to C corporation tax) is reduced from ten years to five years. Subsequent to the enactment of the PATH Act the IRS issued temporary Treasury regulations that extended the “built-in gains” period with respect to REITs from five years back to ten years, applicable to acquisitions of assets in which a REIT’s basis in an asset is determined by reference to the basis of the assets in the hands of the transferor C corporation that occur on or after August 8, 2016 and on or before February 17, 2017. Pursuant to recently finalized Treasury regulations, the five-year recognition period applies to transactions that occur after February 17, 2017, and taxpayers may also apply the five-year recognition period to transactions that occurred on or after August 8, 2016 and on or before February 17, 2017.</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the percentage of our total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represented by securities of one or more taxable REIT subsidiaries is reduced from 25% to 20%.</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Prohibited Transaction Safe Harbors</w:t>
      </w:r>
      <w:r>
        <w:rPr>
          <w:rFonts w:ascii="Arial" w:cs="Arial" w:eastAsia="Arial" w:hAnsi="Arial"/>
          <w:sz w:val="16"/>
          <w:szCs w:val="16"/>
          <w:color w:val="auto"/>
        </w:rPr>
        <w:t>. We are subject to a 100% tax on net income from “prohibited transactions,” i.e., sales of dealer property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w:t>
      </w:r>
    </w:p>
    <w:p>
      <w:pPr>
        <w:spacing w:after="0" w:line="2" w:lineRule="exact"/>
        <w:rPr>
          <w:sz w:val="20"/>
          <w:szCs w:val="20"/>
          <w:color w:val="auto"/>
        </w:rPr>
      </w:pPr>
    </w:p>
    <w:p>
      <w:pPr>
        <w:jc w:val="both"/>
        <w:ind w:right="260" w:firstLine="8"/>
        <w:spacing w:after="0" w:line="30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60" w:lineRule="exact"/>
        <w:rPr>
          <w:rFonts w:ascii="Arial" w:cs="Arial" w:eastAsia="Arial" w:hAnsi="Arial"/>
          <w:sz w:val="16"/>
          <w:szCs w:val="16"/>
          <w:color w:val="auto"/>
        </w:rPr>
      </w:pPr>
    </w:p>
    <w:p>
      <w:pPr>
        <w:ind w:left="900" w:right="380" w:hanging="325"/>
        <w:spacing w:after="0" w:line="31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52" w:lineRule="exact"/>
        <w:rPr>
          <w:rFonts w:ascii="Arial" w:cs="Arial" w:eastAsia="Arial" w:hAnsi="Arial"/>
          <w:sz w:val="16"/>
          <w:szCs w:val="16"/>
          <w:color w:val="auto"/>
        </w:rPr>
      </w:pPr>
    </w:p>
    <w:p>
      <w:pPr>
        <w:ind w:left="900" w:right="100" w:hanging="325"/>
        <w:spacing w:after="0" w:line="308"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taxable years beginning after 2015, if we rely on clauses (II) or (III), marketing and development expenditures made through a taxable REIT subsidiary, as well as those made through an independent contractor, are included in the “substantially all” test described above.</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that is required to file annual and periodic reports with the Securities and Exchange Commission under the Securities Exchange Act of 1934. We are a publicly offered REIT.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Limitations on Designation of Dividends by REITs. </w:t>
      </w:r>
      <w:r>
        <w:rPr>
          <w:rFonts w:ascii="Arial" w:cs="Arial" w:eastAsia="Arial" w:hAnsi="Arial"/>
          <w:sz w:val="16"/>
          <w:szCs w:val="16"/>
          <w:color w:val="auto"/>
        </w:rPr>
        <w:t>The aggregate amount of dividends that we may designate as qualified dividend income or as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Debt Instruments of Publicly Offered REITs and Mortgages Treated as Real Estate Assets. </w:t>
      </w:r>
      <w:r>
        <w:rPr>
          <w:rFonts w:ascii="Arial" w:cs="Arial" w:eastAsia="Arial" w:hAnsi="Arial"/>
          <w:sz w:val="16"/>
          <w:szCs w:val="16"/>
          <w:color w:val="auto"/>
        </w:rPr>
        <w:t>The PATH Act provides that debt instruments issued by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Asset and Income Test Clarification Regarding Ancillary Personal Property. </w:t>
      </w:r>
      <w:r>
        <w:rPr>
          <w:rFonts w:ascii="Arial" w:cs="Arial" w:eastAsia="Arial" w:hAnsi="Arial"/>
          <w:sz w:val="16"/>
          <w:szCs w:val="16"/>
          <w:color w:val="auto"/>
        </w:rPr>
        <w:t>Rent attributable to personal property which is leased under, or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Income from hedging transactions that hedge certain REIT liabilities and currency risks is disregarded in applying the gross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14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us that exceed our earnings and profits.</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Treatment of Certain Services Provided by Taxable REIT Subsidiaries. </w:t>
      </w:r>
      <w:r>
        <w:rPr>
          <w:rFonts w:ascii="Arial" w:cs="Arial" w:eastAsia="Arial" w:hAnsi="Arial"/>
          <w:sz w:val="17"/>
          <w:szCs w:val="17"/>
          <w:color w:val="auto"/>
        </w:rPr>
        <w:t>For taxable years beginning after 2015, a 100% excise tax is imposed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a 100% excise tax).</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that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we are domestically controlled for purposes of the exception to FIRPTA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rule generally does not apply to audits of taxable years beginning before January 1, 2018. The Treasury has recently issued proposed regulations providing details of the new audit provisions. However, the timing and content of final regulations remains uncertain.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Procedure Issued Concerning Elective Cash/Share Dividends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IRS recently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We have no current intention to make such an elective cash/shares distribution, but in the event of such a distribution we expect to structure it so as to comply with the revenue procedure.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Reopening of 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U.S. federal income tax purposes, we currently intend to treat the notes offered hereby as being issued in a “qualified reopening” of the currently outstanding 3.25% Notes due 2027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$990.83 per $1,000 face amount and the issue date of the existing notes was June 23, 2017. The remainder of this discussion assumes the correctness of the treatment described in this paragraph.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Pre-Acquisition Accrued Interest on the Notes. </w:t>
      </w:r>
      <w:r>
        <w:rPr>
          <w:rFonts w:ascii="Arial" w:cs="Arial" w:eastAsia="Arial" w:hAnsi="Arial"/>
          <w:sz w:val="16"/>
          <w:szCs w:val="16"/>
          <w:color w:val="auto"/>
        </w:rPr>
        <w:t>A portion of the price paid for the notes is attributable to the amount of interest accrued from June 23,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You should consult your own tax advisors regarding the tax treatment of pre-acquisition accrued interest.</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(other than pre-acquisition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existing notes was the first price at which a substantial amount of the existing notes were sold to the public (excluding bond houses, brokers, or similar persons or organizations acting in the capacity of underwriters, placement agents, or wholesalers).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stated redemption price of the existing notes at maturity did not exceed their issue price by more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Accordingly, the existing notes do not have OID. As discussed above, under the qualified reopening rules the issue price of the notes offered hereby will be deemed to be the same as the issue price of the existing notes. As a result, the notes will also not have OID.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Market Discount</w:t>
      </w:r>
      <w:r>
        <w:rPr>
          <w:rFonts w:ascii="Arial" w:cs="Arial" w:eastAsia="Arial" w:hAnsi="Arial"/>
          <w:sz w:val="16"/>
          <w:szCs w:val="16"/>
          <w:color w:val="auto"/>
        </w:rPr>
        <w:t xml:space="preserve">. If a note is purchased at a price (excluding any amounts that are treated as pre-acquisition accrued interest as described above under “Pre-Acquisition Accrued Interest on the Notes”) that is less than its principal amount, the U.S. Holder will be treated as having acquired the note at a “market discount” unless the amount of this market discount is less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(generally 0.25% of the principal amount of the note multiplied by the number of remaining whole years to maturity of the note). Under the market discount rules, the U.S. Holder will be required to treat any gain on the sale, exchange, redemption, retirement, or other taxable disposition of a note, or any appreciation in a note in the case of certain nontaxable dispositions, such as a gift, as ordinary income to the extent of the market discount which has not previously been included in income and which is treated as having accrued on the note at the time of the disposition. In addition, the U.S. Holder may be required to defer, until the maturity of the note or earlier taxable disposition, the deduction of all or a portion of the interest expense on any indebtedness incurred or continued to purchase or carry the note. Any market discount will be considered to accrue ratably during the period from the date of acquisition to the maturity date of the note, unless the U.S. Holder elects to accrue the market discount on a constant yield method. In addition, the U.S. Holder may elect to include market discount in income currently as it accrues, on either a ratable or constant yield method, in which case the rule described above regarding deferral of interest deductions will not apply. This election to include market discount in income currently, once made, applies to all market discount obligations acquired by the U.S. Holder during or after the first taxable year to which the election applies and may not be revoked without the consent of the IRS. You should consult with your tax advisor regarding these elections.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Amortizable Bond Premium. </w:t>
      </w:r>
      <w:r>
        <w:rPr>
          <w:rFonts w:ascii="Arial" w:cs="Arial" w:eastAsia="Arial" w:hAnsi="Arial"/>
          <w:sz w:val="18"/>
          <w:szCs w:val="18"/>
          <w:color w:val="auto"/>
        </w:rPr>
        <w:t>If a note is purchased at a price in excess of such note’s stated principal amount (excluding any amounts that are treated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pre-acquisition accrued interest as described above under “Pre-Acquisition Accrued Interest on the Notes”), a U.S. Holder will have bond premium with respect to that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 However, because we may call the notes under certain circumstances at a price in excess of their stated principal amount, such amortization may be reduced and/or deferred.</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should consult your own tax advisors with respect to the rules relating to amortizable bond premium and the application to your particular circumstances.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 redemption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increased by any market discount included in income in respect of the note, and reduced by the amount of any payments previously received by the U.S. Holder (other than qualified stated interest) and any amortized bond premium. Except to the extent of any accrued market discount not previously included in income,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 intermediaries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refer to ‘‘—Non-U.S. Holders—FATCA Regime’’ below.</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8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that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6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interests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 30%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withholding tax will be imposed in certain circumstances on payments of (i) interest on the notes and (ii) gross proceeds from a sale or other disposition of the notes (which includes redemption and retirement of the notes) occurring after December 31, 2018.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should consult with their own tax advisors regarding the possible implications of FATCA on their investment in the notes.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intend to offer the notes offered hereby through the underwriters named below, for whom Deutsche Bank Securities, Inc., Goldman Sachs &amp; Co. LLC, Merrill Lynch, Pierce, Fenner &amp; Smith Incorporated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840" w:type="dxa"/>
            <w:vAlign w:val="bottom"/>
            <w:gridSpan w:val="3"/>
          </w:tcPr>
          <w:p>
            <w:pPr>
              <w:ind w:left="2120"/>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Deutsche</w:t>
            </w: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Securities, Inc.</w:t>
            </w:r>
          </w:p>
        </w:tc>
        <w:tc>
          <w:tcPr>
            <w:tcW w:w="2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2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$400,000.</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Reopening</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notes will be a further issuance of, are fungible with and are consolidated and form a single series with, our outstanding 3.25% Notes due 2027, $300 million aggregate principal amount of which were originally issued on June 23, 2017. The 2027 Notes will be a new issue of securities with no established trading market.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notes sold by the underwriters to the public will initially be offered at the public offering prices set forth on the cover of this prospectus supplement and may be offered to certain dealers at these prices less a concession not in excess of % of the aggregate principal amount of notes. The underwriters may allow, and those dealers may reallow, a discount not in excess of % of the aggregate principal amount of the notes to certain other dealers. After the initial offering, the public offering price and other selling terms may be changed.</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620" w:type="dxa"/>
            <w:vAlign w:val="bottom"/>
            <w:gridSpan w:val="2"/>
          </w:tcPr>
          <w:p>
            <w:pPr>
              <w:ind w:left="4780"/>
              <w:spacing w:after="0"/>
              <w:rPr>
                <w:sz w:val="20"/>
                <w:szCs w:val="20"/>
                <w:color w:val="auto"/>
              </w:rPr>
            </w:pPr>
            <w:r>
              <w:rPr>
                <w:rFonts w:ascii="Arial" w:cs="Arial" w:eastAsia="Arial" w:hAnsi="Arial"/>
                <w:sz w:val="18"/>
                <w:szCs w:val="18"/>
                <w:b w:val="1"/>
                <w:bCs w:val="1"/>
                <w:color w:val="auto"/>
                <w:w w:val="89"/>
              </w:rPr>
              <w:t>Paid by Us</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4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365"/>
        </w:trPr>
        <w:tc>
          <w:tcPr>
            <w:tcW w:w="2140" w:type="dxa"/>
            <w:vAlign w:val="bottom"/>
          </w:tcPr>
          <w:p>
            <w:pPr>
              <w:spacing w:after="0"/>
              <w:rPr>
                <w:sz w:val="24"/>
                <w:szCs w:val="24"/>
                <w:color w:val="auto"/>
              </w:rPr>
            </w:pPr>
          </w:p>
        </w:tc>
        <w:tc>
          <w:tcPr>
            <w:tcW w:w="5620" w:type="dxa"/>
            <w:vAlign w:val="bottom"/>
            <w:gridSpan w:val="2"/>
          </w:tcPr>
          <w:p>
            <w:pPr>
              <w:ind w:left="1560"/>
              <w:spacing w:after="0"/>
              <w:rPr>
                <w:sz w:val="20"/>
                <w:szCs w:val="20"/>
                <w:color w:val="auto"/>
              </w:rPr>
            </w:pPr>
            <w:r>
              <w:rPr>
                <w:rFonts w:ascii="Arial" w:cs="Arial" w:eastAsia="Arial" w:hAnsi="Arial"/>
                <w:sz w:val="18"/>
                <w:szCs w:val="18"/>
                <w:color w:val="auto"/>
              </w:rPr>
              <w:t>S-24</w:t>
            </w: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Extended Settlement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to deliver the notes against payment for the notes on or about the settlement date specified on the cover page of this prospectus supplement, which will be the tenth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the notes before the second business day prior to the settlement date specified on the cover page of this prospectus supplement will be required to specify alternative settlement arrangements to prevent a failed settlement.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Affiliates of certain of the underwriters may be beneficial owners of some of our 5.90% Notes due 2020. Any such affiliates will receive pro rata portions of the net proceeds from this offering used to redeem our 5.90% Notes due 2020.</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communication of this prospectus supplement,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This prospectus supplement and the accompanying prospectus are only being distributed to, and are only directed at, (1) persons who are outside the United Kingdom or (2) investment professionals falling within</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Article 19(5) of the Financial Services and Markets Act 2000 (Financial Promotion) Order 2005, as amended (the “Order”) or (3) high net worth companies and other entities falling within Article 49(2)(a) to (d) of the Order or (4) any other persons to whom it may otherwise lawfully be communicated under the Order (each such person being referred to as a “relevant person”). The notes are only available to, and any investment or investment activity to which this prospectus supplement and the accompanying prospectus relate will be engaged in only with, relevant persons. Any person who is not a relevant person should not act or rely on this prospectus supplement or the accompanying prospectus or any of their contents.</w:t>
      </w:r>
    </w:p>
    <w:p>
      <w:pPr>
        <w:spacing w:after="0" w:line="17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document is not a prospectus for the purposes of the Prospectus Directive. In relation to each Member State of the European Economic Area which has implemented the Prospectus Directive (each, a “Relevant Member State”), with effect from and including the date on which the Prospectus Directive is implemented in that Relevant Member State, no offer of the notes which are the subject of the offering contemplated by this prospectus supplement and the accompanying prospectus to the public may be made in that Relevant Member State other than:</w:t>
      </w:r>
    </w:p>
    <w:p>
      <w:pPr>
        <w:spacing w:after="0" w:line="6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provided that no such offer of notes shall require Federal Realty Investment Trust or any underwriter to publish a prospectus pursuant to Article 3 of the Prospectus Directive.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supplement and accompanying prospectus have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and the accompanying prospectus may only do so in circumstances in which no obligation arises for Federal Realty Investment Trust or any of the underwriters to publish a prospectus pursuant to Article 3 of the Prospectus Directive in relation to such offer. Neither Federal Realty Investment Trust nor the underwriters have authorized, nor do they authorize, the making of any offer of notes in circumstances in which an obligation arises for Federal Realty Investment Trust or the underwriters to publish a prospectus for such offer. The expression “Prospectus Directive” means Directive 2003/71/EC (as amended, including by Directive 2010/73/EU), and includes any relevant implementing measure in the Relevant Member State.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notes must be made in accordance with an exemption from, or</w:t>
      </w:r>
      <w:r>
        <w:rPr>
          <w:rFonts w:ascii="Arial" w:cs="Arial" w:eastAsia="Arial" w:hAnsi="Arial"/>
          <w:sz w:val="18"/>
          <w:szCs w:val="18"/>
          <w:i w:val="1"/>
          <w:iCs w:val="1"/>
          <w:color w:val="auto"/>
        </w:rPr>
        <w:t xml:space="preserve"> </w:t>
      </w:r>
      <w:r>
        <w:rPr>
          <w:rFonts w:ascii="Arial" w:cs="Arial" w:eastAsia="Arial" w:hAnsi="Arial"/>
          <w:sz w:val="18"/>
          <w:szCs w:val="18"/>
          <w:color w:val="auto"/>
        </w:rPr>
        <w:t>in a transaction not subject to, the prospectus requirements of applicable securities laws.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(i) currency, currencies or currency units in which those debt securities are then specified as payable at maturity, (ii) government obligations (as defined in the applicable indenture) or (iii) any combination thereof, as will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92"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22860</wp:posOffset>
            </wp:positionV>
            <wp:extent cx="2195195" cy="8661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9519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3.25%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7"/>
          <w:szCs w:val="27"/>
          <w:b w:val="1"/>
          <w:bCs w:val="1"/>
          <w:color w:val="auto"/>
        </w:rPr>
        <w:t>Deutsche Bank Securities</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Goldman Sachs &amp; Co. LLC</w:t>
      </w:r>
    </w:p>
    <w:p>
      <w:pPr>
        <w:spacing w:after="0" w:line="3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202"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December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decimal"/>
      <w:start w:val="2"/>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2"/>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lowerLetter"/>
      <w:start w:val="1"/>
    </w:lvl>
  </w:abstractNum>
  <w:abstractNum w:abstractNumId="10">
    <w:nsid w:val="374A3FE6"/>
    <w:multiLevelType w:val="hybridMultilevel"/>
    <w:lvl w:ilvl="0">
      <w:lvlJc w:val="left"/>
      <w:lvlText w:val="%1."/>
      <w:numFmt w:val="decimal"/>
      <w:start w:val="5"/>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2"/>
    </w:lvl>
  </w:abstractNum>
  <w:abstractNum w:abstractNumId="14">
    <w:nsid w:val="275AC794"/>
    <w:multiLevelType w:val="hybridMultilevel"/>
    <w:lvl w:ilvl="0">
      <w:lvlJc w:val="left"/>
      <w:lvlText w:val="(%1)"/>
      <w:numFmt w:val="decimal"/>
      <w:start w:val="2"/>
    </w:lvl>
  </w:abstractNum>
  <w:abstractNum w:abstractNumId="15">
    <w:nsid w:val="39386575"/>
    <w:multiLevelType w:val="hybridMultilevel"/>
    <w:lvl w:ilvl="0">
      <w:lvlJc w:val="left"/>
      <w:lvlText w:val="(%1)"/>
      <w:numFmt w:val="upperLetter"/>
      <w:start w:val="61"/>
    </w:lvl>
    <w:lvl w:ilvl="1">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lvl w:ilvl="1">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
      <w:numFmt w:val="bullet"/>
      <w:start w:val="1"/>
    </w:lvl>
  </w:abstractNum>
  <w:abstractNum w:abstractNumId="38">
    <w:nsid w:val="5DB70AE5"/>
    <w:multiLevelType w:val="hybridMultilevel"/>
    <w:lvl w:ilvl="0">
      <w:lvlJc w:val="left"/>
      <w:lvlText w:val="•"/>
      <w:numFmt w:val="bullet"/>
      <w:start w:val="1"/>
    </w:lvl>
    <w:lvl w:ilvl="1">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decimal"/>
      <w:start w:val="5"/>
    </w:lvl>
  </w:abstractNum>
  <w:abstractNum w:abstractNumId="46">
    <w:nsid w:val="42C296BD"/>
    <w:multiLevelType w:val="hybridMultilevel"/>
    <w:lvl w:ilvl="0">
      <w:lvlJc w:val="left"/>
      <w:lvlText w:val="%1."/>
      <w:numFmt w:val="decimal"/>
      <w:start w:val="6"/>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lvl w:ilvl="1">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lvl w:ilvl="1">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lvl w:ilvl="1">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lvl w:ilvl="1">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emdash "/>
      <w:numFmt w:val="bullet"/>
      <w:start w:val="1"/>
    </w:lvl>
  </w:abstractNum>
  <w:abstractNum w:abstractNumId="86">
    <w:nsid w:val="39EE015C"/>
    <w:multiLevelType w:val="hybridMultilevel"/>
    <w:lvl w:ilvl="0">
      <w:lvlJc w:val="left"/>
      <w:lvlText w:val="•"/>
      <w:numFmt w:val="bullet"/>
      <w:start w:val="1"/>
    </w:lvl>
    <w:lvl w:ilvl="1">
      <w:lvlJc w:val="left"/>
      <w:lvlText w:val="•"/>
      <w:numFmt w:val="bullet"/>
      <w:start w:val="1"/>
    </w:lvl>
  </w:abstractNum>
  <w:abstractNum w:abstractNumId="87">
    <w:nsid w:val="57FC4FBB"/>
    <w:multiLevelType w:val="hybridMultilevel"/>
    <w:lvl w:ilvl="0">
      <w:lvlJc w:val="left"/>
      <w:lvlText w:val="(%1)"/>
      <w:numFmt w:val="lowerRoman"/>
      <w:start w:val="2"/>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4"/>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2019-12-05T03:09:07Z</dcterms:created>
  <dcterms:modified xsi:type="dcterms:W3CDTF">2019-12-05T03:09:07Z</dcterms:modified>
</cp:coreProperties>
</file>