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Date of Report (Date of earliest event reported) May 05, 2021</w:t>
      </w:r>
    </w:p>
    <w:p>
      <w:pPr>
        <w:spacing w:after="0" w:line="15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4560" w:type="dxa"/>
            <w:vAlign w:val="bottom"/>
            <w:gridSpan w:val="3"/>
          </w:tcPr>
          <w:p>
            <w:pPr>
              <w:jc w:val="center"/>
              <w:ind w:right="1164"/>
              <w:spacing w:after="0"/>
              <w:rPr>
                <w:sz w:val="20"/>
                <w:szCs w:val="20"/>
                <w:color w:val="auto"/>
              </w:rPr>
            </w:pPr>
            <w:r>
              <w:rPr>
                <w:rFonts w:ascii="Arial" w:cs="Arial" w:eastAsia="Arial" w:hAnsi="Arial"/>
                <w:sz w:val="18"/>
                <w:szCs w:val="18"/>
                <w:b w:val="1"/>
                <w:bCs w:val="1"/>
                <w:color w:val="auto"/>
                <w:w w:val="96"/>
              </w:rPr>
              <w:t>Maryland</w:t>
            </w:r>
          </w:p>
        </w:tc>
        <w:tc>
          <w:tcPr>
            <w:tcW w:w="1440" w:type="dxa"/>
            <w:vAlign w:val="bottom"/>
            <w:gridSpan w:val="2"/>
          </w:tcPr>
          <w:p>
            <w:pPr>
              <w:jc w:val="center"/>
              <w:ind w:left="193"/>
              <w:spacing w:after="0"/>
              <w:rPr>
                <w:sz w:val="20"/>
                <w:szCs w:val="20"/>
                <w:color w:val="auto"/>
              </w:rPr>
            </w:pPr>
            <w:r>
              <w:rPr>
                <w:rFonts w:ascii="Arial" w:cs="Arial" w:eastAsia="Arial" w:hAnsi="Arial"/>
                <w:sz w:val="18"/>
                <w:szCs w:val="18"/>
                <w:b w:val="1"/>
                <w:bCs w:val="1"/>
                <w:color w:val="auto"/>
                <w:w w:val="90"/>
              </w:rPr>
              <w:t>1-07533</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40" w:type="dxa"/>
            <w:vAlign w:val="bottom"/>
          </w:tcPr>
          <w:p>
            <w:pPr>
              <w:jc w:val="center"/>
              <w:ind w:left="524"/>
              <w:spacing w:after="0"/>
              <w:rPr>
                <w:sz w:val="20"/>
                <w:szCs w:val="20"/>
                <w:color w:val="auto"/>
              </w:rPr>
            </w:pPr>
            <w:r>
              <w:rPr>
                <w:rFonts w:ascii="Arial" w:cs="Arial" w:eastAsia="Arial" w:hAnsi="Arial"/>
                <w:sz w:val="18"/>
                <w:szCs w:val="18"/>
                <w:b w:val="1"/>
                <w:bCs w:val="1"/>
                <w:color w:val="auto"/>
                <w:w w:val="91"/>
              </w:rPr>
              <w:t>52-0782497</w:t>
            </w:r>
          </w:p>
        </w:tc>
      </w:tr>
      <w:tr>
        <w:trPr>
          <w:trHeight w:val="126"/>
        </w:trPr>
        <w:tc>
          <w:tcPr>
            <w:tcW w:w="4560" w:type="dxa"/>
            <w:vAlign w:val="bottom"/>
            <w:gridSpan w:val="3"/>
          </w:tcPr>
          <w:p>
            <w:pPr>
              <w:jc w:val="center"/>
              <w:ind w:right="1164"/>
              <w:spacing w:after="0" w:line="126" w:lineRule="exact"/>
              <w:rPr>
                <w:sz w:val="20"/>
                <w:szCs w:val="20"/>
                <w:color w:val="auto"/>
              </w:rPr>
            </w:pPr>
            <w:r>
              <w:rPr>
                <w:rFonts w:ascii="Arial" w:cs="Arial" w:eastAsia="Arial" w:hAnsi="Arial"/>
                <w:sz w:val="13"/>
                <w:szCs w:val="13"/>
                <w:b w:val="1"/>
                <w:bCs w:val="1"/>
                <w:color w:val="auto"/>
                <w:w w:val="88"/>
              </w:rPr>
              <w:t>(State or other jurisdiction</w:t>
            </w:r>
          </w:p>
        </w:tc>
        <w:tc>
          <w:tcPr>
            <w:tcW w:w="320" w:type="dxa"/>
            <w:vAlign w:val="bottom"/>
          </w:tcPr>
          <w:p>
            <w:pPr>
              <w:spacing w:after="0"/>
              <w:rPr>
                <w:sz w:val="10"/>
                <w:szCs w:val="10"/>
                <w:color w:val="auto"/>
              </w:rPr>
            </w:pPr>
          </w:p>
        </w:tc>
        <w:tc>
          <w:tcPr>
            <w:tcW w:w="11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4"/>
              </w:rPr>
              <w:t>(Commission</w:t>
            </w: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40" w:type="dxa"/>
            <w:vAlign w:val="bottom"/>
          </w:tcPr>
          <w:p>
            <w:pPr>
              <w:jc w:val="center"/>
              <w:ind w:left="544"/>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4560" w:type="dxa"/>
            <w:vAlign w:val="bottom"/>
            <w:gridSpan w:val="3"/>
          </w:tcPr>
          <w:p>
            <w:pPr>
              <w:jc w:val="center"/>
              <w:ind w:right="1164"/>
              <w:spacing w:after="0"/>
              <w:rPr>
                <w:sz w:val="20"/>
                <w:szCs w:val="20"/>
                <w:color w:val="auto"/>
              </w:rPr>
            </w:pPr>
            <w:r>
              <w:rPr>
                <w:rFonts w:ascii="Arial" w:cs="Arial" w:eastAsia="Arial" w:hAnsi="Arial"/>
                <w:sz w:val="13"/>
                <w:szCs w:val="13"/>
                <w:b w:val="1"/>
                <w:bCs w:val="1"/>
                <w:color w:val="auto"/>
                <w:w w:val="88"/>
              </w:rPr>
              <w:t>of incorporation)</w:t>
            </w:r>
          </w:p>
        </w:tc>
        <w:tc>
          <w:tcPr>
            <w:tcW w:w="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jc w:val="center"/>
              <w:ind w:left="544"/>
              <w:spacing w:after="0"/>
              <w:rPr>
                <w:sz w:val="20"/>
                <w:szCs w:val="20"/>
                <w:color w:val="auto"/>
              </w:rPr>
            </w:pPr>
            <w:r>
              <w:rPr>
                <w:rFonts w:ascii="Arial" w:cs="Arial" w:eastAsia="Arial" w:hAnsi="Arial"/>
                <w:sz w:val="13"/>
                <w:szCs w:val="13"/>
                <w:b w:val="1"/>
                <w:bCs w:val="1"/>
                <w:color w:val="auto"/>
                <w:w w:val="89"/>
              </w:rPr>
              <w:t>Identification No.)</w:t>
            </w:r>
          </w:p>
        </w:tc>
      </w:tr>
      <w:tr>
        <w:trPr>
          <w:trHeight w:val="628"/>
        </w:trPr>
        <w:tc>
          <w:tcPr>
            <w:tcW w:w="1500" w:type="dxa"/>
            <w:vAlign w:val="bottom"/>
          </w:tcPr>
          <w:p>
            <w:pPr>
              <w:spacing w:after="0"/>
              <w:rPr>
                <w:sz w:val="24"/>
                <w:szCs w:val="24"/>
                <w:color w:val="auto"/>
              </w:rPr>
            </w:pPr>
          </w:p>
        </w:tc>
        <w:tc>
          <w:tcPr>
            <w:tcW w:w="306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909 Rose Avenue, Suite 200</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w w:val="90"/>
              </w:rPr>
              <w:t>North Bethesda,</w:t>
            </w:r>
          </w:p>
        </w:tc>
        <w:tc>
          <w:tcPr>
            <w:tcW w:w="1500" w:type="dxa"/>
            <w:vAlign w:val="bottom"/>
            <w:gridSpan w:val="2"/>
          </w:tcPr>
          <w:p>
            <w:pPr>
              <w:ind w:left="360"/>
              <w:spacing w:after="0"/>
              <w:rPr>
                <w:sz w:val="20"/>
                <w:szCs w:val="20"/>
                <w:color w:val="auto"/>
              </w:rPr>
            </w:pPr>
            <w:r>
              <w:rPr>
                <w:rFonts w:ascii="Arial" w:cs="Arial" w:eastAsia="Arial" w:hAnsi="Arial"/>
                <w:sz w:val="18"/>
                <w:szCs w:val="18"/>
                <w:b w:val="1"/>
                <w:bCs w:val="1"/>
                <w:color w:val="auto"/>
              </w:rPr>
              <w:t>Maryland</w:t>
            </w:r>
          </w:p>
        </w:tc>
        <w:tc>
          <w:tcPr>
            <w:tcW w:w="2840" w:type="dxa"/>
            <w:vAlign w:val="bottom"/>
          </w:tcPr>
          <w:p>
            <w:pPr>
              <w:jc w:val="right"/>
              <w:ind w:right="1584"/>
              <w:spacing w:after="0"/>
              <w:rPr>
                <w:sz w:val="20"/>
                <w:szCs w:val="20"/>
                <w:color w:val="auto"/>
              </w:rPr>
            </w:pPr>
            <w:r>
              <w:rPr>
                <w:rFonts w:ascii="Arial" w:cs="Arial" w:eastAsia="Arial" w:hAnsi="Arial"/>
                <w:sz w:val="18"/>
                <w:szCs w:val="18"/>
                <w:b w:val="1"/>
                <w:bCs w:val="1"/>
                <w:color w:val="auto"/>
              </w:rPr>
              <w:t>20852</w:t>
            </w:r>
          </w:p>
        </w:tc>
      </w:tr>
      <w:tr>
        <w:trPr>
          <w:trHeight w:val="164"/>
        </w:trPr>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0" w:type="dxa"/>
            <w:vAlign w:val="bottom"/>
            <w:gridSpan w:val="3"/>
          </w:tcPr>
          <w:p>
            <w:pPr>
              <w:ind w:left="880"/>
              <w:spacing w:after="0"/>
              <w:rPr>
                <w:sz w:val="20"/>
                <w:szCs w:val="20"/>
                <w:color w:val="auto"/>
              </w:rPr>
            </w:pPr>
            <w:r>
              <w:rPr>
                <w:rFonts w:ascii="Arial" w:cs="Arial" w:eastAsia="Arial" w:hAnsi="Arial"/>
                <w:sz w:val="13"/>
                <w:szCs w:val="13"/>
                <w:b w:val="1"/>
                <w:bCs w:val="1"/>
                <w:color w:val="auto"/>
                <w:w w:val="94"/>
              </w:rPr>
              <w:t>(Address of principal executive offices)</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jc w:val="center"/>
              <w:ind w:right="864"/>
              <w:spacing w:after="0"/>
              <w:rPr>
                <w:sz w:val="20"/>
                <w:szCs w:val="20"/>
                <w:color w:val="auto"/>
              </w:rPr>
            </w:pPr>
            <w:r>
              <w:rPr>
                <w:rFonts w:ascii="Arial" w:cs="Arial" w:eastAsia="Arial" w:hAnsi="Arial"/>
                <w:sz w:val="13"/>
                <w:szCs w:val="13"/>
                <w:b w:val="1"/>
                <w:bCs w:val="1"/>
                <w:color w:val="auto"/>
                <w:w w:val="90"/>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40" w:type="dxa"/>
            <w:vAlign w:val="bottom"/>
            <w:gridSpan w:val="6"/>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378"/>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760" w:type="dxa"/>
            <w:vAlign w:val="bottom"/>
          </w:tcPr>
          <w:p>
            <w:pPr>
              <w:spacing w:after="0"/>
              <w:rPr>
                <w:sz w:val="24"/>
                <w:szCs w:val="24"/>
                <w:color w:val="auto"/>
              </w:rPr>
            </w:pPr>
          </w:p>
        </w:tc>
        <w:tc>
          <w:tcPr>
            <w:tcW w:w="1440" w:type="dxa"/>
            <w:vAlign w:val="bottom"/>
            <w:gridSpan w:val="2"/>
          </w:tcPr>
          <w:p>
            <w:pPr>
              <w:jc w:val="center"/>
              <w:ind w:left="233"/>
              <w:spacing w:after="0"/>
              <w:rPr>
                <w:sz w:val="20"/>
                <w:szCs w:val="20"/>
                <w:color w:val="auto"/>
              </w:rPr>
            </w:pPr>
            <w:r>
              <w:rPr>
                <w:rFonts w:ascii="Arial" w:cs="Arial" w:eastAsia="Arial" w:hAnsi="Arial"/>
                <w:sz w:val="16"/>
                <w:szCs w:val="16"/>
                <w:b w:val="1"/>
                <w:bCs w:val="1"/>
                <w:color w:val="auto"/>
                <w:w w:val="92"/>
              </w:rPr>
              <w:t>Trading Symbol</w:t>
            </w:r>
          </w:p>
        </w:tc>
        <w:tc>
          <w:tcPr>
            <w:tcW w:w="1120" w:type="dxa"/>
            <w:vAlign w:val="bottom"/>
          </w:tcPr>
          <w:p>
            <w:pPr>
              <w:spacing w:after="0"/>
              <w:rPr>
                <w:sz w:val="24"/>
                <w:szCs w:val="24"/>
                <w:color w:val="auto"/>
              </w:rPr>
            </w:pPr>
          </w:p>
        </w:tc>
        <w:tc>
          <w:tcPr>
            <w:tcW w:w="3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250"/>
        </w:trPr>
        <w:tc>
          <w:tcPr>
            <w:tcW w:w="4560" w:type="dxa"/>
            <w:vAlign w:val="bottom"/>
            <w:gridSpan w:val="3"/>
          </w:tcPr>
          <w:p>
            <w:pPr>
              <w:jc w:val="center"/>
              <w:ind w:right="184"/>
              <w:spacing w:after="0"/>
              <w:rPr>
                <w:sz w:val="20"/>
                <w:szCs w:val="20"/>
                <w:color w:val="auto"/>
              </w:rPr>
            </w:pPr>
            <w:r>
              <w:rPr>
                <w:rFonts w:ascii="Arial" w:cs="Arial" w:eastAsia="Arial" w:hAnsi="Arial"/>
                <w:sz w:val="16"/>
                <w:szCs w:val="16"/>
                <w:color w:val="auto"/>
                <w:w w:val="92"/>
              </w:rPr>
              <w:t>Common Shares of Beneficial Interest</w:t>
            </w:r>
          </w:p>
        </w:tc>
        <w:tc>
          <w:tcPr>
            <w:tcW w:w="3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FRT</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40" w:type="dxa"/>
            <w:vAlign w:val="bottom"/>
          </w:tcPr>
          <w:p>
            <w:pPr>
              <w:jc w:val="center"/>
              <w:ind w:right="304"/>
              <w:spacing w:after="0"/>
              <w:rPr>
                <w:sz w:val="20"/>
                <w:szCs w:val="20"/>
                <w:color w:val="auto"/>
              </w:rPr>
            </w:pPr>
            <w:r>
              <w:rPr>
                <w:rFonts w:ascii="Arial" w:cs="Arial" w:eastAsia="Arial" w:hAnsi="Arial"/>
                <w:sz w:val="16"/>
                <w:szCs w:val="16"/>
                <w:color w:val="auto"/>
                <w:w w:val="91"/>
              </w:rPr>
              <w:t>New York Stock Exchange</w:t>
            </w:r>
          </w:p>
        </w:tc>
      </w:tr>
      <w:tr>
        <w:trPr>
          <w:trHeight w:val="166"/>
        </w:trPr>
        <w:tc>
          <w:tcPr>
            <w:tcW w:w="4560" w:type="dxa"/>
            <w:vAlign w:val="bottom"/>
            <w:gridSpan w:val="3"/>
          </w:tcPr>
          <w:p>
            <w:pPr>
              <w:jc w:val="center"/>
              <w:ind w:right="184"/>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206"/>
        </w:trPr>
        <w:tc>
          <w:tcPr>
            <w:tcW w:w="1500" w:type="dxa"/>
            <w:vAlign w:val="bottom"/>
          </w:tcPr>
          <w:p>
            <w:pPr>
              <w:spacing w:after="0"/>
              <w:rPr>
                <w:sz w:val="17"/>
                <w:szCs w:val="17"/>
                <w:color w:val="auto"/>
              </w:rPr>
            </w:pPr>
          </w:p>
        </w:tc>
        <w:tc>
          <w:tcPr>
            <w:tcW w:w="3060" w:type="dxa"/>
            <w:vAlign w:val="bottom"/>
            <w:gridSpan w:val="2"/>
          </w:tcPr>
          <w:p>
            <w:pPr>
              <w:jc w:val="center"/>
              <w:ind w:right="1684"/>
              <w:spacing w:after="0"/>
              <w:rPr>
                <w:sz w:val="20"/>
                <w:szCs w:val="20"/>
                <w:color w:val="auto"/>
              </w:rPr>
            </w:pPr>
            <w:r>
              <w:rPr>
                <w:rFonts w:ascii="Arial" w:cs="Arial" w:eastAsia="Arial" w:hAnsi="Arial"/>
                <w:sz w:val="16"/>
                <w:szCs w:val="16"/>
                <w:color w:val="auto"/>
                <w:w w:val="92"/>
              </w:rPr>
              <w:t>Rights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44"/>
        </w:trPr>
        <w:tc>
          <w:tcPr>
            <w:tcW w:w="4560" w:type="dxa"/>
            <w:vAlign w:val="bottom"/>
            <w:gridSpan w:val="3"/>
          </w:tcPr>
          <w:p>
            <w:pPr>
              <w:jc w:val="center"/>
              <w:ind w:right="184"/>
              <w:spacing w:after="0"/>
              <w:rPr>
                <w:sz w:val="20"/>
                <w:szCs w:val="20"/>
                <w:color w:val="auto"/>
              </w:rPr>
            </w:pPr>
            <w:r>
              <w:rPr>
                <w:rFonts w:ascii="Arial" w:cs="Arial" w:eastAsia="Arial" w:hAnsi="Arial"/>
                <w:sz w:val="16"/>
                <w:szCs w:val="16"/>
                <w:color w:val="auto"/>
                <w:w w:val="90"/>
              </w:rPr>
              <w:t>Depositary Shares, each representing 1/1000 of a share</w:t>
            </w:r>
          </w:p>
        </w:tc>
        <w:tc>
          <w:tcPr>
            <w:tcW w:w="3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FRT-C</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tcPr>
          <w:p>
            <w:pPr>
              <w:jc w:val="center"/>
              <w:ind w:right="304"/>
              <w:spacing w:after="0"/>
              <w:rPr>
                <w:sz w:val="20"/>
                <w:szCs w:val="20"/>
                <w:color w:val="auto"/>
              </w:rPr>
            </w:pPr>
            <w:r>
              <w:rPr>
                <w:rFonts w:ascii="Arial" w:cs="Arial" w:eastAsia="Arial" w:hAnsi="Arial"/>
                <w:sz w:val="16"/>
                <w:szCs w:val="16"/>
                <w:color w:val="auto"/>
                <w:w w:val="91"/>
              </w:rPr>
              <w:t>New York Stock Exchange</w:t>
            </w:r>
          </w:p>
        </w:tc>
      </w:tr>
    </w:tbl>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46"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30" w:lineRule="exact"/>
        <w:rPr>
          <w:rFonts w:ascii="MS PGothic" w:cs="MS PGothic" w:eastAsia="MS PGothic" w:hAnsi="MS PGothic"/>
          <w:sz w:val="18"/>
          <w:szCs w:val="18"/>
          <w:color w:val="auto"/>
        </w:rPr>
      </w:pPr>
    </w:p>
    <w:p>
      <w:pPr>
        <w:ind w:left="460" w:hanging="414"/>
        <w:spacing w:after="0" w:line="23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9" w:right="6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5.07</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Submission of Matters to a Vote of Security Holders.</w:t>
      </w:r>
    </w:p>
    <w:p>
      <w:pPr>
        <w:spacing w:after="0" w:line="25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annual meeting of shareholders of the Trust was held by remote means on May 5, 2021. The following table sets forth the matters presented for a vote by the shareholders and the voting results with respect to such matters: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Matter</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Votes For</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Votes Against</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Abstentions</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Broker Non-Votes</w:t>
            </w:r>
          </w:p>
        </w:tc>
        <w:tc>
          <w:tcPr>
            <w:tcW w:w="0" w:type="dxa"/>
            <w:vAlign w:val="bottom"/>
          </w:tcPr>
          <w:p>
            <w:pPr>
              <w:spacing w:after="0"/>
              <w:rPr>
                <w:sz w:val="1"/>
                <w:szCs w:val="1"/>
                <w:color w:val="auto"/>
              </w:rPr>
            </w:pPr>
          </w:p>
        </w:tc>
      </w:tr>
      <w:tr>
        <w:trPr>
          <w:trHeight w:val="358"/>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Proposal 1: Election of Trustees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David W. Faeder</w:t>
            </w:r>
          </w:p>
        </w:tc>
        <w:tc>
          <w:tcPr>
            <w:tcW w:w="1860" w:type="dxa"/>
            <w:vAlign w:val="bottom"/>
          </w:tcPr>
          <w:p>
            <w:pPr>
              <w:jc w:val="right"/>
              <w:spacing w:after="0"/>
              <w:rPr>
                <w:sz w:val="20"/>
                <w:szCs w:val="20"/>
                <w:color w:val="auto"/>
              </w:rPr>
            </w:pPr>
            <w:r>
              <w:rPr>
                <w:rFonts w:ascii="Arial" w:cs="Arial" w:eastAsia="Arial" w:hAnsi="Arial"/>
                <w:sz w:val="18"/>
                <w:szCs w:val="18"/>
                <w:color w:val="auto"/>
              </w:rPr>
              <w:t>58,049,430</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9,517,374</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27,535</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4,276,826</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Elizabeth I. Holland</w:t>
            </w:r>
          </w:p>
        </w:tc>
        <w:tc>
          <w:tcPr>
            <w:tcW w:w="1860" w:type="dxa"/>
            <w:vAlign w:val="bottom"/>
          </w:tcPr>
          <w:p>
            <w:pPr>
              <w:jc w:val="right"/>
              <w:spacing w:after="0"/>
              <w:rPr>
                <w:sz w:val="20"/>
                <w:szCs w:val="20"/>
                <w:color w:val="auto"/>
              </w:rPr>
            </w:pPr>
            <w:r>
              <w:rPr>
                <w:rFonts w:ascii="Arial" w:cs="Arial" w:eastAsia="Arial" w:hAnsi="Arial"/>
                <w:sz w:val="18"/>
                <w:szCs w:val="18"/>
                <w:color w:val="auto"/>
              </w:rPr>
              <w:t>66,583,871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985,995</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24,473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4,276,826</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Nicole Y. Lamb-Hale</w:t>
            </w:r>
          </w:p>
        </w:tc>
        <w:tc>
          <w:tcPr>
            <w:tcW w:w="1860" w:type="dxa"/>
            <w:vAlign w:val="bottom"/>
          </w:tcPr>
          <w:p>
            <w:pPr>
              <w:jc w:val="right"/>
              <w:spacing w:after="0"/>
              <w:rPr>
                <w:sz w:val="20"/>
                <w:szCs w:val="20"/>
                <w:color w:val="auto"/>
              </w:rPr>
            </w:pPr>
            <w:r>
              <w:rPr>
                <w:rFonts w:ascii="Arial" w:cs="Arial" w:eastAsia="Arial" w:hAnsi="Arial"/>
                <w:sz w:val="18"/>
                <w:szCs w:val="18"/>
                <w:color w:val="auto"/>
              </w:rPr>
              <w:t>67,060,298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508,159</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25,882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4,276,826</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Anthony P. Nader, III</w:t>
            </w:r>
          </w:p>
        </w:tc>
        <w:tc>
          <w:tcPr>
            <w:tcW w:w="1860" w:type="dxa"/>
            <w:vAlign w:val="bottom"/>
          </w:tcPr>
          <w:p>
            <w:pPr>
              <w:jc w:val="right"/>
              <w:spacing w:after="0"/>
              <w:rPr>
                <w:sz w:val="20"/>
                <w:szCs w:val="20"/>
                <w:color w:val="auto"/>
              </w:rPr>
            </w:pPr>
            <w:r>
              <w:rPr>
                <w:rFonts w:ascii="Arial" w:cs="Arial" w:eastAsia="Arial" w:hAnsi="Arial"/>
                <w:sz w:val="18"/>
                <w:szCs w:val="18"/>
                <w:color w:val="auto"/>
              </w:rPr>
              <w:t>67,206,840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360,658</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26,841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4,276,826</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Mark S. Ordan</w:t>
            </w:r>
          </w:p>
        </w:tc>
        <w:tc>
          <w:tcPr>
            <w:tcW w:w="1860" w:type="dxa"/>
            <w:vAlign w:val="bottom"/>
          </w:tcPr>
          <w:p>
            <w:pPr>
              <w:jc w:val="right"/>
              <w:spacing w:after="0"/>
              <w:rPr>
                <w:sz w:val="20"/>
                <w:szCs w:val="20"/>
                <w:color w:val="auto"/>
              </w:rPr>
            </w:pPr>
            <w:r>
              <w:rPr>
                <w:rFonts w:ascii="Arial" w:cs="Arial" w:eastAsia="Arial" w:hAnsi="Arial"/>
                <w:sz w:val="18"/>
                <w:szCs w:val="18"/>
                <w:color w:val="auto"/>
              </w:rPr>
              <w:t>66,433,376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1,131,777</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29,187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4,276,826</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Gail P. Steinel</w:t>
            </w:r>
          </w:p>
        </w:tc>
        <w:tc>
          <w:tcPr>
            <w:tcW w:w="1860" w:type="dxa"/>
            <w:vAlign w:val="bottom"/>
          </w:tcPr>
          <w:p>
            <w:pPr>
              <w:jc w:val="right"/>
              <w:spacing w:after="0"/>
              <w:rPr>
                <w:sz w:val="20"/>
                <w:szCs w:val="20"/>
                <w:color w:val="auto"/>
              </w:rPr>
            </w:pPr>
            <w:r>
              <w:rPr>
                <w:rFonts w:ascii="Arial" w:cs="Arial" w:eastAsia="Arial" w:hAnsi="Arial"/>
                <w:sz w:val="18"/>
                <w:szCs w:val="18"/>
                <w:color w:val="auto"/>
              </w:rPr>
              <w:t>62,879,148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4,689,034</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26,157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4,276,826</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0"/>
              <w:spacing w:after="0"/>
              <w:rPr>
                <w:sz w:val="20"/>
                <w:szCs w:val="20"/>
                <w:color w:val="auto"/>
              </w:rPr>
            </w:pPr>
            <w:r>
              <w:rPr>
                <w:rFonts w:ascii="Arial" w:cs="Arial" w:eastAsia="Arial" w:hAnsi="Arial"/>
                <w:sz w:val="18"/>
                <w:szCs w:val="18"/>
                <w:color w:val="auto"/>
              </w:rPr>
              <w:t>Donald C. Wood</w:t>
            </w:r>
          </w:p>
        </w:tc>
        <w:tc>
          <w:tcPr>
            <w:tcW w:w="1860" w:type="dxa"/>
            <w:vAlign w:val="bottom"/>
          </w:tcPr>
          <w:p>
            <w:pPr>
              <w:jc w:val="right"/>
              <w:spacing w:after="0"/>
              <w:rPr>
                <w:sz w:val="20"/>
                <w:szCs w:val="20"/>
                <w:color w:val="auto"/>
              </w:rPr>
            </w:pPr>
            <w:r>
              <w:rPr>
                <w:rFonts w:ascii="Arial" w:cs="Arial" w:eastAsia="Arial" w:hAnsi="Arial"/>
                <w:sz w:val="18"/>
                <w:szCs w:val="18"/>
                <w:color w:val="auto"/>
              </w:rPr>
              <w:t>66,687,630</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879,014</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27,695</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4,276,826</w:t>
            </w:r>
          </w:p>
        </w:tc>
        <w:tc>
          <w:tcPr>
            <w:tcW w:w="0" w:type="dxa"/>
            <w:vAlign w:val="bottom"/>
          </w:tcPr>
          <w:p>
            <w:pPr>
              <w:spacing w:after="0"/>
              <w:rPr>
                <w:sz w:val="1"/>
                <w:szCs w:val="1"/>
                <w:color w:val="auto"/>
              </w:rPr>
            </w:pPr>
          </w:p>
        </w:tc>
      </w:tr>
      <w:tr>
        <w:trPr>
          <w:trHeight w:val="445"/>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Proposal 2: Advisory vote on the</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compensation of our named executive</w:t>
            </w: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60,756,298</w:t>
            </w:r>
          </w:p>
        </w:tc>
        <w:tc>
          <w:tcPr>
            <w:tcW w:w="10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6,669,497</w:t>
            </w:r>
          </w:p>
        </w:tc>
        <w:tc>
          <w:tcPr>
            <w:tcW w:w="1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168,544</w:t>
            </w:r>
          </w:p>
        </w:tc>
        <w:tc>
          <w:tcPr>
            <w:tcW w:w="10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4,276,826</w:t>
            </w:r>
          </w:p>
        </w:tc>
        <w:tc>
          <w:tcPr>
            <w:tcW w:w="0" w:type="dxa"/>
            <w:vAlign w:val="bottom"/>
          </w:tcPr>
          <w:p>
            <w:pPr>
              <w:spacing w:after="0"/>
              <w:rPr>
                <w:sz w:val="1"/>
                <w:szCs w:val="1"/>
                <w:color w:val="auto"/>
              </w:rPr>
            </w:pPr>
          </w:p>
        </w:tc>
      </w:tr>
      <w:tr>
        <w:trPr>
          <w:trHeight w:val="234"/>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officers</w:t>
            </w:r>
          </w:p>
        </w:tc>
        <w:tc>
          <w:tcPr>
            <w:tcW w:w="1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Proposal 3: Ratification of the</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appointment of Grant Thornton LLP as</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6"/>
              </w:rPr>
              <w:t>the Trust’s independent registered public</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accounting firm for the year ending</w:t>
            </w: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71,111,088</w:t>
            </w:r>
          </w:p>
        </w:tc>
        <w:tc>
          <w:tcPr>
            <w:tcW w:w="10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696,853</w:t>
            </w:r>
          </w:p>
        </w:tc>
        <w:tc>
          <w:tcPr>
            <w:tcW w:w="1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63,223</w:t>
            </w:r>
          </w:p>
        </w:tc>
        <w:tc>
          <w:tcPr>
            <w:tcW w:w="10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1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6"/>
        </w:trPr>
        <w:tc>
          <w:tcPr>
            <w:tcW w:w="3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87" w:lineRule="exact"/>
        <w:rPr>
          <w:sz w:val="20"/>
          <w:szCs w:val="20"/>
          <w:color w:val="auto"/>
        </w:rPr>
      </w:pPr>
    </w:p>
    <w:p>
      <w:pPr>
        <w:ind w:firstLine="18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FEDERAL REALTY INVESTMENT TRUST</w:t>
      </w:r>
    </w:p>
    <w:p>
      <w:pPr>
        <w:spacing w:after="0" w:line="293" w:lineRule="exact"/>
        <w:rPr>
          <w:sz w:val="20"/>
          <w:szCs w:val="20"/>
          <w:color w:val="auto"/>
        </w:rPr>
      </w:pPr>
    </w:p>
    <w:p>
      <w:pPr>
        <w:ind w:left="40"/>
        <w:spacing w:after="0"/>
        <w:tabs>
          <w:tab w:leader="none" w:pos="840" w:val="left"/>
          <w:tab w:leader="none" w:pos="4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May 6, 2021</w:t>
      </w:r>
      <w:r>
        <w:rPr>
          <w:sz w:val="20"/>
          <w:szCs w:val="20"/>
          <w:color w:val="auto"/>
        </w:rPr>
        <w:tab/>
      </w:r>
      <w:r>
        <w:rPr>
          <w:rFonts w:ascii="Arial" w:cs="Arial" w:eastAsia="Arial" w:hAnsi="Arial"/>
          <w:sz w:val="19"/>
          <w:szCs w:val="19"/>
          <w:u w:val="single" w:color="auto"/>
          <w:color w:val="auto"/>
        </w:rPr>
        <w:t>/s/ Dawn M. Becker</w:t>
      </w:r>
    </w:p>
    <w:p>
      <w:pPr>
        <w:spacing w:after="0" w:line="28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Dawn M. Becker</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Executive Vice President-</w:t>
      </w:r>
    </w:p>
    <w:p>
      <w:pPr>
        <w:spacing w:after="0" w:line="1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81" w:right="379" w:bottom="1440" w:gutter="0" w:footer="0" w:header="0"/>
        </w:sectPr>
      </w:pPr>
    </w:p>
    <w:bookmarkStart w:id="3" w:name="page4"/>
    <w:bookmarkEnd w:id="3"/>
    <w:p>
      <w:pPr>
        <w:ind w:left="4780"/>
        <w:spacing w:after="0"/>
        <w:rPr>
          <w:sz w:val="20"/>
          <w:szCs w:val="20"/>
          <w:color w:val="auto"/>
        </w:rPr>
      </w:pPr>
      <w:r>
        <w:rPr>
          <w:rFonts w:ascii="Arial" w:cs="Arial" w:eastAsia="Arial" w:hAnsi="Arial"/>
          <w:sz w:val="22"/>
          <w:szCs w:val="22"/>
          <w:color w:val="auto"/>
        </w:rPr>
        <w:t>EXHIBIT INDEX</w:t>
      </w:r>
    </w:p>
    <w:p>
      <w:pPr>
        <w:sectPr>
          <w:pgSz w:w="11900" w:h="16838" w:orient="portrait"/>
          <w:cols w:equalWidth="0" w:num="1">
            <w:col w:w="10380"/>
          </w:cols>
          <w:pgMar w:left="360" w:top="901" w:right="1159" w:bottom="1440" w:gutter="0" w:footer="0" w:header="0"/>
        </w:sect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112" w:lineRule="exact"/>
        <w:rPr>
          <w:sz w:val="20"/>
          <w:szCs w:val="20"/>
          <w:color w:val="auto"/>
        </w:rPr>
      </w:pPr>
    </w:p>
    <w:p>
      <w:pPr>
        <w:sectPr>
          <w:pgSz w:w="11900" w:h="16838" w:orient="portrait"/>
          <w:cols w:equalWidth="0" w:num="2">
            <w:col w:w="1260" w:space="560"/>
            <w:col w:w="8560"/>
          </w:cols>
          <w:pgMar w:left="360" w:top="901" w:right="1159" w:bottom="1440" w:gutter="0" w:footer="0" w:header="0"/>
          <w:type w:val="continuous"/>
        </w:sect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229" w:lineRule="auto"/>
        <w:rPr>
          <w:sz w:val="20"/>
          <w:szCs w:val="20"/>
          <w:color w:val="auto"/>
        </w:rPr>
      </w:pPr>
      <w:r>
        <w:rPr>
          <w:rFonts w:ascii="Arial" w:cs="Arial" w:eastAsia="Arial" w:hAnsi="Arial"/>
          <w:sz w:val="20"/>
          <w:szCs w:val="20"/>
          <w:color w:val="auto"/>
        </w:rPr>
        <w:t>Cover Page Interactive Data File (the Cover Page Interactive Data File is embedded within the Inline XBRL document)</w:t>
      </w:r>
    </w:p>
    <w:sectPr>
      <w:pgSz w:w="11900" w:h="16838" w:orient="portrait"/>
      <w:cols w:equalWidth="0" w:num="2">
        <w:col w:w="1100" w:space="720"/>
        <w:col w:w="8560"/>
      </w:cols>
      <w:pgMar w:left="360" w:top="901" w:right="1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2021-05-06T08:05:10Z</dcterms:created>
  <dcterms:modified xsi:type="dcterms:W3CDTF">2021-05-06T08:05:10Z</dcterms:modified>
</cp:coreProperties>
</file>