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(To Prospectus Dated November 7, 1995)</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1,600,000 Shares</w:t>
      </w:r>
    </w:p>
    <w:p>
      <w:pPr>
        <w:spacing w:after="0" w:line="200" w:lineRule="exact"/>
        <w:rPr>
          <w:sz w:val="24"/>
          <w:szCs w:val="24"/>
          <w:color w:val="auto"/>
        </w:rPr>
      </w:pPr>
    </w:p>
    <w:p>
      <w:pPr>
        <w:spacing w:after="0" w:line="20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Founded in 1962, Federal Realty Investment Trust (the "Trust") is an owner, operator and redeveloper of community and neighborhood shopping centers. At December 10, 1996, the Trust owned 76 retail properties, principally community and neighborhood shopping centers. The Trust is offering 1,600,000 common shares of beneficial interest, no par or stated value (the "Shares"). The Trust's Shares are listed on the New York Stock Exchange under the symbol "FRT." The last reported sale price for the Shares on December 9, 1996 was $27.875.</w:t>
      </w: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PROSPECTUS TO WHICH IT RELATES. ANY REPRESENTATION TO THE CONTRARY IS A CRIMINAL OFFENSE.</w:t>
      </w:r>
    </w:p>
    <w:p>
      <w:pPr>
        <w:spacing w:after="0" w:line="20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UNDERWRITING</w:t>
      </w:r>
    </w:p>
    <w:p>
      <w:pPr>
        <w:ind w:left="3380"/>
        <w:spacing w:after="0"/>
        <w:tabs>
          <w:tab w:leader="none" w:pos="4620" w:val="left"/>
          <w:tab w:leader="none" w:pos="6720" w:val="left"/>
        </w:tabs>
        <w:rPr>
          <w:sz w:val="20"/>
          <w:szCs w:val="20"/>
          <w:color w:val="auto"/>
        </w:rPr>
      </w:pPr>
      <w:r>
        <w:rPr>
          <w:rFonts w:ascii="Courier New" w:cs="Courier New" w:eastAsia="Courier New" w:hAnsi="Courier New"/>
          <w:sz w:val="18"/>
          <w:szCs w:val="18"/>
          <w:color w:val="auto"/>
        </w:rPr>
        <w:t>PRICE TO</w:t>
      </w:r>
      <w:r>
        <w:rPr>
          <w:sz w:val="20"/>
          <w:szCs w:val="20"/>
          <w:color w:val="auto"/>
        </w:rPr>
        <w:tab/>
      </w:r>
      <w:r>
        <w:rPr>
          <w:rFonts w:ascii="Courier New" w:cs="Courier New" w:eastAsia="Courier New" w:hAnsi="Courier New"/>
          <w:sz w:val="18"/>
          <w:szCs w:val="18"/>
          <w:color w:val="auto"/>
        </w:rPr>
        <w:t>DISCOUNTS AND</w:t>
      </w:r>
      <w:r>
        <w:rPr>
          <w:sz w:val="20"/>
          <w:szCs w:val="20"/>
          <w:color w:val="auto"/>
        </w:rPr>
        <w:tab/>
      </w:r>
      <w:r>
        <w:rPr>
          <w:rFonts w:ascii="Courier New" w:cs="Courier New" w:eastAsia="Courier New" w:hAnsi="Courier New"/>
          <w:sz w:val="16"/>
          <w:szCs w:val="16"/>
          <w:color w:val="auto"/>
        </w:rPr>
        <w:t>PROCEEDS TO</w:t>
      </w:r>
    </w:p>
    <w:p>
      <w:pPr>
        <w:spacing w:after="0" w:line="5" w:lineRule="exact"/>
        <w:rPr>
          <w:sz w:val="24"/>
          <w:szCs w:val="24"/>
          <w:color w:val="auto"/>
        </w:rPr>
      </w:pPr>
    </w:p>
    <w:p>
      <w:pPr>
        <w:ind w:left="3480"/>
        <w:spacing w:after="0"/>
        <w:tabs>
          <w:tab w:leader="none" w:pos="4520" w:val="left"/>
          <w:tab w:leader="none" w:pos="6840" w:val="left"/>
        </w:tabs>
        <w:rPr>
          <w:sz w:val="20"/>
          <w:szCs w:val="20"/>
          <w:color w:val="auto"/>
        </w:rPr>
      </w:pPr>
      <w:r>
        <w:rPr>
          <w:rFonts w:ascii="Courier New" w:cs="Courier New" w:eastAsia="Courier New" w:hAnsi="Courier New"/>
          <w:sz w:val="18"/>
          <w:szCs w:val="18"/>
          <w:color w:val="auto"/>
        </w:rPr>
        <w:t>PUBLIC</w:t>
      </w:r>
      <w:r>
        <w:rPr>
          <w:sz w:val="20"/>
          <w:szCs w:val="20"/>
          <w:color w:val="auto"/>
        </w:rPr>
        <w:tab/>
      </w:r>
      <w:r>
        <w:rPr>
          <w:rFonts w:ascii="Courier New" w:cs="Courier New" w:eastAsia="Courier New" w:hAnsi="Courier New"/>
          <w:sz w:val="18"/>
          <w:szCs w:val="18"/>
          <w:color w:val="auto"/>
        </w:rPr>
        <w:t>COMMISSIONS (1)</w:t>
      </w:r>
      <w:r>
        <w:rPr>
          <w:sz w:val="20"/>
          <w:szCs w:val="20"/>
          <w:color w:val="auto"/>
        </w:rPr>
        <w:tab/>
      </w:r>
      <w:r>
        <w:rPr>
          <w:rFonts w:ascii="Courier New" w:cs="Courier New" w:eastAsia="Courier New" w:hAnsi="Courier New"/>
          <w:sz w:val="16"/>
          <w:szCs w:val="16"/>
          <w:color w:val="auto"/>
        </w:rPr>
        <w:t>TRUST (2)</w:t>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3460" w:val="left"/>
          <w:tab w:leader="none" w:pos="4620" w:val="left"/>
          <w:tab w:leader="none" w:pos="6520" w:val="left"/>
        </w:tabs>
        <w:rPr>
          <w:sz w:val="20"/>
          <w:szCs w:val="20"/>
          <w:color w:val="auto"/>
        </w:rPr>
      </w:pP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8"/>
          <w:szCs w:val="18"/>
          <w:color w:val="auto"/>
        </w:rPr>
        <w:t>$27.875</w:t>
      </w:r>
      <w:r>
        <w:rPr>
          <w:sz w:val="20"/>
          <w:szCs w:val="20"/>
          <w:color w:val="auto"/>
        </w:rPr>
        <w:tab/>
      </w:r>
      <w:r>
        <w:rPr>
          <w:rFonts w:ascii="Courier New" w:cs="Courier New" w:eastAsia="Courier New" w:hAnsi="Courier New"/>
          <w:sz w:val="18"/>
          <w:szCs w:val="18"/>
          <w:color w:val="auto"/>
        </w:rPr>
        <w:t>$.558/$1.394 (3)</w:t>
      </w:r>
      <w:r>
        <w:rPr>
          <w:sz w:val="20"/>
          <w:szCs w:val="20"/>
          <w:color w:val="auto"/>
        </w:rPr>
        <w:tab/>
      </w:r>
      <w:r>
        <w:rPr>
          <w:rFonts w:ascii="Courier New" w:cs="Courier New" w:eastAsia="Courier New" w:hAnsi="Courier New"/>
          <w:sz w:val="16"/>
          <w:szCs w:val="16"/>
          <w:color w:val="auto"/>
        </w:rPr>
        <w:t>$27.317/$26.481 (3)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260" w:val="left"/>
          <w:tab w:leader="none" w:pos="4720" w:val="left"/>
          <w:tab w:leader="none" w:pos="6720" w:val="left"/>
        </w:tabs>
        <w:rPr>
          <w:sz w:val="20"/>
          <w:szCs w:val="20"/>
          <w:color w:val="auto"/>
        </w:rPr>
      </w:pPr>
      <w:r>
        <w:rPr>
          <w:rFonts w:ascii="Courier New" w:cs="Courier New" w:eastAsia="Courier New" w:hAnsi="Courier New"/>
          <w:sz w:val="18"/>
          <w:szCs w:val="18"/>
          <w:color w:val="auto"/>
        </w:rPr>
        <w:t>Total(4).....................</w:t>
        <w:tab/>
        <w:t>$44,600,000</w:t>
        <w:tab/>
        <w:t>$1,561,600</w:t>
      </w:r>
      <w:r>
        <w:rPr>
          <w:sz w:val="20"/>
          <w:szCs w:val="20"/>
          <w:color w:val="auto"/>
        </w:rPr>
        <w:tab/>
      </w:r>
      <w:r>
        <w:rPr>
          <w:rFonts w:ascii="Courier New" w:cs="Courier New" w:eastAsia="Courier New" w:hAnsi="Courier New"/>
          <w:sz w:val="16"/>
          <w:szCs w:val="16"/>
          <w:color w:val="auto"/>
        </w:rPr>
        <w:t>$43,038,400</w:t>
      </w:r>
    </w:p>
    <w:p>
      <w:pPr>
        <w:spacing w:after="0" w:line="20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420" w:right="2319" w:hanging="412"/>
        <w:spacing w:after="0" w:line="23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has agreed to indemnify the Underwriter against certain liabilities, including liabilities under the Securities Act of 1933, as amended. See "Underwriting."</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deducting expenses payable by the Trust estimated at $100,000.</w:t>
      </w:r>
    </w:p>
    <w:p>
      <w:pPr>
        <w:spacing w:after="0" w:line="206" w:lineRule="exact"/>
        <w:rPr>
          <w:rFonts w:ascii="Courier New" w:cs="Courier New" w:eastAsia="Courier New" w:hAnsi="Courier New"/>
          <w:sz w:val="18"/>
          <w:szCs w:val="18"/>
          <w:color w:val="auto"/>
        </w:rPr>
      </w:pPr>
    </w:p>
    <w:p>
      <w:pPr>
        <w:ind w:left="420" w:right="2199" w:hanging="412"/>
        <w:spacing w:after="0" w:line="275"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Underwriting Discounts and Commissions are $.558 per Share with respect to 800,000 Shares and $1.394 per Share with respect to 800,000 Shares, resulting in Proceeds to Trust of $27.317 per Share with respect to 800,000 Shares and $26.481 per Share with respect to 800,000 Shares.</w:t>
      </w:r>
    </w:p>
    <w:p>
      <w:pPr>
        <w:spacing w:after="0" w:line="182" w:lineRule="exact"/>
        <w:rPr>
          <w:rFonts w:ascii="Courier New" w:cs="Courier New" w:eastAsia="Courier New" w:hAnsi="Courier New"/>
          <w:sz w:val="16"/>
          <w:szCs w:val="16"/>
          <w:color w:val="auto"/>
        </w:rPr>
      </w:pPr>
    </w:p>
    <w:p>
      <w:pPr>
        <w:ind w:left="420" w:right="2099"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has granted the Underwriter a 30-day option to purchase up to 240,000 additional Shares solely to cover over-allotments, if any. To the extent the option is exercised, the Underwriter will offer the additional Shares at the Price to Public shown above. If the option is exercised in full, the total Price to Public, Underwriting Discounts and Commissions, and Proceeds to Trust will be $51,290,000, $1,896,160 and $49,393,840, respectively, assuming Underwriting Discounts and Commissions of $1.394 per Share for the over-allotment Shares.</w:t>
      </w: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Shares are offered by the Underwriter, subject to prior sale, when, as and if delivered to and accepted by them, and subject to the right of the Underwriter to reject any order in whole or in part. It is expected that delivery of the Shares will be made in New York, New York on or about December 13, 1996.</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Alex. Brown &amp; Sons</w:t>
      </w:r>
    </w:p>
    <w:p>
      <w:pPr>
        <w:ind w:left="358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DATE OF THIS PROSPECTUS SUPPLEMENT IS DECEMBER 10, 1996.</w:t>
      </w:r>
    </w:p>
    <w:p>
      <w:pPr>
        <w:sectPr>
          <w:pgSz w:w="11900" w:h="16855" w:orient="portrait"/>
          <w:cols w:equalWidth="0" w:num="1">
            <w:col w:w="10219"/>
          </w:cols>
          <w:pgMar w:left="240" w:top="649" w:right="1440" w:bottom="0" w:gutter="0" w:footer="0" w:header="0"/>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IN CONNECTION WITH THIS OFFERING, THE UNDERWRITER MAY OVER-ALLOT OR EFFECT TRANSACTIONS WHICH STABILIZE OR MAINTAIN THE MARKET PRICE OF THE SHARES OF THE TRUST AT A LEVEL ABOVE THAT WHICH MIGHT OTHERWISE PREVAIL IN THE OPEN MARKET. SUCH TRANSACTIONS MAY BE EFFECTED ON THE NEW YORK STOCK EXCHANGE, IN THE OVER-THE-COUNTER MARKET, OR OTHERWISE. SUCH STABILIZING, IF COMMENCED, MAY BE DISCONTINUED AT ANY TIME.</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retail properties, principally community and neighborhood shopping centers. Founded in 1962, the Trust is a self-administered real estate investment trust that manages, leases and supervises renovation of its properties. At December 10, 1996, the Trust owned 76 retail properties. At September 30, 1996, the occupancy rate of the core retail portfolio (which excludes properties acquired in the previous twelve months and centers under redevelopment) was 94%. Including all retail properties owned at September 30, 1996, the occupancy rate was 93%.</w:t>
      </w:r>
    </w:p>
    <w:p>
      <w:pPr>
        <w:spacing w:after="0" w:line="200" w:lineRule="exact"/>
        <w:rPr>
          <w:sz w:val="20"/>
          <w:szCs w:val="20"/>
          <w:color w:val="auto"/>
        </w:rPr>
      </w:pPr>
    </w:p>
    <w:p>
      <w:pPr>
        <w:spacing w:after="0" w:line="21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 intends to continue its acquisition of retail properties, both shopping center and main street retail buildings, and redevelopment activities in its core major metropolitan markets of New York/New Jersey, Philadelphia, Baltimore/Washington, D.C., Chicago, Illinois, and Boston, Massachusetts. The Trust is also actively seeking to acquire retail properties on the West Coast. In addition, the Trust is also pursuing site acquisitions in its core markets to permit the Trust to develop new shopping centers.</w:t>
      </w:r>
    </w:p>
    <w:p>
      <w:pPr>
        <w:spacing w:after="0" w:line="391" w:lineRule="exact"/>
        <w:rPr>
          <w:sz w:val="20"/>
          <w:szCs w:val="20"/>
          <w:color w:val="auto"/>
        </w:rPr>
      </w:pPr>
    </w:p>
    <w:p>
      <w:pPr>
        <w:jc w:val="both"/>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1626 East Jefferson Street, Rockville, Maryland, 20852-4041 (telephone 301/998-8100).</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net proceeds to the Trust from the sale of the Shares offered hereby are estimated to be $42,938,400 ($49,293,840 if the Underwriter's over-allotment option is exercised in full). The Trust intends to use the proceeds to repay debt, principally the Trust's revolving credit facilities.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925" w:right="1440" w:bottom="1440" w:gutter="0" w:footer="0" w:header="0"/>
        </w:sectPr>
      </w:pPr>
    </w:p>
    <w:bookmarkStart w:id="2" w:name="page3"/>
    <w:bookmarkEnd w:id="2"/>
    <w:p>
      <w:pPr>
        <w:ind w:left="1900"/>
        <w:spacing w:after="0"/>
        <w:rPr>
          <w:sz w:val="20"/>
          <w:szCs w:val="20"/>
          <w:color w:val="auto"/>
        </w:rPr>
      </w:pPr>
      <w:r>
        <w:rPr>
          <w:rFonts w:ascii="Courier New" w:cs="Courier New" w:eastAsia="Courier New" w:hAnsi="Courier New"/>
          <w:sz w:val="18"/>
          <w:szCs w:val="18"/>
          <w:color w:val="auto"/>
        </w:rPr>
        <w:t>PRICE RANGE OF THE SHARES AND DISTRIBUTIONS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Trust's Shares are listed on the New York Stock Exchange under the symbol "FRT." The following table sets forth the high and low sale prices of the Shares for the periods indicated and the distributions made per Share in such periods.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DISTRIBUTIONS</w:t>
            </w:r>
          </w:p>
        </w:tc>
      </w:tr>
      <w:tr>
        <w:trPr>
          <w:trHeight w:val="203"/>
        </w:trPr>
        <w:tc>
          <w:tcPr>
            <w:tcW w:w="5120" w:type="dxa"/>
            <w:vAlign w:val="bottom"/>
          </w:tcPr>
          <w:p>
            <w:pPr>
              <w:spacing w:after="0"/>
              <w:rPr>
                <w:sz w:val="17"/>
                <w:szCs w:val="17"/>
                <w:color w:val="auto"/>
              </w:rPr>
            </w:pPr>
          </w:p>
        </w:tc>
        <w:tc>
          <w:tcPr>
            <w:tcW w:w="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HIGH</w:t>
            </w:r>
          </w:p>
        </w:tc>
        <w:tc>
          <w:tcPr>
            <w:tcW w:w="1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LOW</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MADE</w:t>
            </w:r>
          </w:p>
        </w:tc>
      </w:tr>
      <w:tr>
        <w:trPr>
          <w:trHeight w:val="203"/>
        </w:trPr>
        <w:tc>
          <w:tcPr>
            <w:tcW w:w="51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1st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.390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2nd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7/8</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23 1/2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3rd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1/8</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4th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3/4</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 5/8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1.565</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1st Quarter...................................</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380" w:type="dxa"/>
            <w:vAlign w:val="bottom"/>
          </w:tcPr>
          <w:p>
            <w:pPr>
              <w:spacing w:after="0"/>
              <w:rPr>
                <w:sz w:val="17"/>
                <w:szCs w:val="17"/>
                <w:color w:val="auto"/>
              </w:rPr>
            </w:pPr>
          </w:p>
        </w:tc>
        <w:tc>
          <w:tcPr>
            <w:tcW w:w="1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 1/4</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2nd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5/8</w:t>
            </w:r>
          </w:p>
        </w:tc>
        <w:tc>
          <w:tcPr>
            <w:tcW w:w="1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 3/4</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3rd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5/8</w:t>
            </w:r>
          </w:p>
        </w:tc>
        <w:tc>
          <w:tcPr>
            <w:tcW w:w="1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21 1/8</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4th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1.595</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1st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1/8 20 1/4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2nd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1/8 20 1/2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3rd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380" w:type="dxa"/>
            <w:vAlign w:val="bottom"/>
          </w:tcPr>
          <w:p>
            <w:pPr>
              <w:spacing w:after="0"/>
              <w:rPr>
                <w:sz w:val="17"/>
                <w:szCs w:val="17"/>
                <w:color w:val="auto"/>
              </w:rPr>
            </w:pP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21 3/4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4th Quarter (through December 9, 1996)........</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7/8 22 5/8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w:t>
            </w:r>
          </w:p>
        </w:tc>
      </w:tr>
      <w:tr>
        <w:trPr>
          <w:trHeight w:val="203"/>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last reported sale price of the Shares on the New York Stock Exchange on December 9, 1996 was $27.875 per Share. As of December 31, 1995, there were 5,342 registered holders of Shares.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136 consecutive quarterly distributions and has increased its distribution rate every year for each of the last 29 years. The current indicated annual distribution rate is $1.68 per Share. On November 20, 1996 the Trust declared a cash distribution of $.42 per Share, payable on January 15, 1997 to Shareholders of record on January 2, 1997. The Trust's ability to make distributions depends on a number of factors, including its net cash provided by operating activities, capital commitments and debt repayment schedules.</w:t>
      </w:r>
    </w:p>
    <w:p>
      <w:pPr>
        <w:spacing w:after="0" w:line="21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For federal income tax purposes, distributions made to shareholders may consist of ordinary income, capital gains distributions, non-taxable return of capital or a combination thereof. Distributions that exceed the Trust's current and accumulated earnings and profits constitute a return of capital and reduce the shareholder's basis in his Shares. To the extent that a distribution exceeds both current and accumulated earnings and profits and the shareholder's basis in his Shares, it will generally be treated as gain from the sale or exchange of that shareholder's Shares. If the Trust designates certain distributions as capital gains distributions in accordance with Section 857(b)(3)(B) and (C) of the Internal Revenue Code of 1986, as amended (the "Code"), such distributions will be taxable as long-term capital gains to the shareholder, regardless of the length of time the shareholder has held his Shares. Under Section 291 of the Code, however, a corporate shareholder may be required to treat up to 20% of a capital gains distribution as ordinary income. Any loss upon the sale or exchange of Shares held for six months or less will be treated as long-term capital loss to the extent of any capital gains distributions received by the shareholder. The Trust annually notifies shareholders as to the taxability of distributions made during the preceding year. Since 1991, cash distributions per Share made to shareholders have been taxable as set forth below.</w:t>
      </w:r>
    </w:p>
    <w:p>
      <w:pPr>
        <w:spacing w:after="0" w:line="200" w:lineRule="exact"/>
        <w:rPr>
          <w:sz w:val="20"/>
          <w:szCs w:val="20"/>
          <w:color w:val="auto"/>
        </w:rPr>
      </w:pPr>
    </w:p>
    <w:p>
      <w:pPr>
        <w:spacing w:after="0" w:line="3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32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1991</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1992</w:t>
            </w:r>
          </w:p>
        </w:tc>
        <w:tc>
          <w:tcPr>
            <w:tcW w:w="7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4480" w:type="dxa"/>
            <w:vAlign w:val="bottom"/>
          </w:tcPr>
          <w:p>
            <w:pPr>
              <w:spacing w:after="0"/>
              <w:rPr>
                <w:sz w:val="17"/>
                <w:szCs w:val="17"/>
                <w:color w:val="auto"/>
              </w:rPr>
            </w:pP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w w:val="98"/>
              </w:rPr>
              <w:t>Ordinary income...........................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 .83</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.610</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$1.095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.815</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$1.165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Return of capital.........................</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w:t>
            </w:r>
          </w:p>
        </w:tc>
      </w:tr>
      <w:tr>
        <w:trPr>
          <w:trHeight w:val="203"/>
        </w:trPr>
        <w:tc>
          <w:tcPr>
            <w:tcW w:w="4480" w:type="dxa"/>
            <w:vAlign w:val="bottom"/>
          </w:tcPr>
          <w:p>
            <w:pPr>
              <w:spacing w:after="0"/>
              <w:rPr>
                <w:sz w:val="17"/>
                <w:szCs w:val="17"/>
                <w:color w:val="auto"/>
              </w:rPr>
            </w:pP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distributions made..................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$1.595</w:t>
            </w:r>
          </w:p>
        </w:tc>
      </w:tr>
      <w:tr>
        <w:trPr>
          <w:trHeight w:val="203"/>
        </w:trPr>
        <w:tc>
          <w:tcPr>
            <w:tcW w:w="4480" w:type="dxa"/>
            <w:vAlign w:val="bottom"/>
          </w:tcPr>
          <w:p>
            <w:pPr>
              <w:spacing w:after="0"/>
              <w:rPr>
                <w:sz w:val="17"/>
                <w:szCs w:val="17"/>
                <w:color w:val="auto"/>
              </w:rPr>
            </w:pP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Trust offers a dividend reinvestment plan which allows its shareholders to automatically reinvest distributions, as well as make voluntary cash payments towards the purchase of additional Shares.</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Subject to the terms and conditions of the Underwriting Agreement, the Underwriter, Alex. Brown &amp; Sons Incorporated, has agreed to purchase from the Trust all of the Shares at the public offering price less the underwriting discounts and commissions set forth on the cover page of this Prospectus Supplement. The Underwriting Agreement provides that the obligations of the Underwriter are subject to certain conditions precedent, and that the Underwriter will purchase all Shares offered hereby if any of such Shares are purchased.</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been advised that the Underwriter proposes to offer the Shares to the public at the public offering price set forth on the cover page of this Prospectus Supplement and to certain dealers at such price less a concession not in excess of $.32 per Share with respect to 800,000 Shares and $.80 per Share with respect to 800,000 Shares. After the public offering, the public offering price and other selling terms may from time to time be varied by the Underwriter.</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granted to the Underwriter an option, exercisable not later than 30 days after the date of this Prospectus Supplement, to purchase up to an additional 240,000 Shares at the public offering price less maximum underwriting discounts and commissions of $1.394 per Share. The Underwriter may exercise such option only to cover over-allotments made in connection with the sale of the Shares offered hereby. If purchased, the Underwriter will offer such additional Shares on the same terms as those on which the 1,600,000 Shares are being offered.</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Trust has agreed to indemnify the Underwriter against certain civil liabilities, including liabilities under the Securities Act of 1933, as amended, or to contribute to payments the Underwriter may be required to make in respect thereof.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1122"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$480,000,000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 PREFERRED SHARES AND COMMON SHARES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ind w:left="540" w:hanging="532"/>
        <w:spacing w:after="0" w:line="233"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preferred shares (the "Preferred Shares"), and (iii) its common</w:t>
      </w:r>
    </w:p>
    <w:p>
      <w:pPr>
        <w:spacing w:after="0" w:line="4" w:lineRule="exact"/>
        <w:rPr>
          <w:rFonts w:ascii="Courier New" w:cs="Courier New" w:eastAsia="Courier New" w:hAnsi="Courier New"/>
          <w:sz w:val="18"/>
          <w:szCs w:val="18"/>
          <w:color w:val="auto"/>
        </w:rPr>
      </w:pPr>
    </w:p>
    <w:p>
      <w:pPr>
        <w:ind w:right="20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shares, no par value (the "Common Shares"), with an aggregate public offering price of up to $480,000,000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8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20" w:right="1999" w:hanging="104"/>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w:t>
      </w:r>
    </w:p>
    <w:p>
      <w:pPr>
        <w:ind w:left="320" w:right="1999" w:hanging="104"/>
        <w:spacing w:after="0" w:line="268" w:lineRule="auto"/>
        <w:rPr>
          <w:sz w:val="20"/>
          <w:szCs w:val="20"/>
          <w:color w:val="auto"/>
        </w:rPr>
      </w:pPr>
      <w:r>
        <w:rPr>
          <w:rFonts w:ascii="Courier New" w:cs="Courier New" w:eastAsia="Courier New" w:hAnsi="Courier New"/>
          <w:sz w:val="16"/>
          <w:szCs w:val="16"/>
          <w:color w:val="auto"/>
        </w:rPr>
        <w:t>AND EXCHANGE COMMISSION OR ANY STATE SECURITIES COMMISSION PASSED UPON THE ACCURACY OR ADEQUACY OF THIS PROSPECTUS. ANY REPRESENTATION TO THE CONTRARY</w:t>
      </w:r>
    </w:p>
    <w:p>
      <w:pPr>
        <w:ind w:left="420"/>
        <w:spacing w:after="0" w:line="233" w:lineRule="auto"/>
        <w:rPr>
          <w:sz w:val="20"/>
          <w:szCs w:val="20"/>
          <w:color w:val="auto"/>
        </w:rPr>
      </w:pPr>
      <w:r>
        <w:rPr>
          <w:rFonts w:ascii="Courier New" w:cs="Courier New" w:eastAsia="Courier New" w:hAnsi="Courier New"/>
          <w:sz w:val="18"/>
          <w:szCs w:val="18"/>
          <w:color w:val="auto"/>
        </w:rPr>
        <w:t>IS A CRIMINAL OFFENSE.</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20" w:right="1879" w:hanging="315"/>
        <w:spacing w:after="0" w:line="268"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ind w:left="328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November 7, 1995.</w:t>
      </w:r>
    </w:p>
    <w:p>
      <w:pPr>
        <w:sectPr>
          <w:pgSz w:w="11900" w:h="16838" w:orient="portrait"/>
          <w:cols w:equalWidth="0" w:num="1">
            <w:col w:w="10219"/>
          </w:cols>
          <w:pgMar w:left="240" w:top="717" w:right="1440" w:bottom="1440" w:gutter="0" w:footer="0" w:header="0"/>
        </w:sectPr>
      </w:pPr>
    </w:p>
    <w:bookmarkStart w:id="5" w:name="page6"/>
    <w:bookmarkEnd w:id="5"/>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216"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4800 Hampden Lane, Bethesda, Maryland 20814 (telephone 301/652-3360).</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70" w:lineRule="exact"/>
        <w:rPr>
          <w:sz w:val="20"/>
          <w:szCs w:val="20"/>
          <w:color w:val="auto"/>
        </w:rPr>
      </w:pPr>
    </w:p>
    <w:p>
      <w:pPr>
        <w:ind w:left="220" w:right="251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as amended, for the fiscal year ended December 31, 1994.</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1995 and June 30, 1995.</w:t>
      </w:r>
    </w:p>
    <w:p>
      <w:pPr>
        <w:spacing w:after="0" w:line="208" w:lineRule="exact"/>
        <w:rPr>
          <w:rFonts w:ascii="Courier New" w:cs="Courier New" w:eastAsia="Courier New" w:hAnsi="Courier New"/>
          <w:sz w:val="18"/>
          <w:szCs w:val="18"/>
          <w:color w:val="auto"/>
        </w:rPr>
      </w:pPr>
    </w:p>
    <w:p>
      <w:pPr>
        <w:ind w:left="220" w:right="2319" w:firstLine="209"/>
        <w:spacing w:after="0" w:line="290" w:lineRule="auto"/>
        <w:tabs>
          <w:tab w:leader="none" w:pos="74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Current Reports on Form 8-K filed with the Commission on March 31, 1995, May 26, 1995, August 16, 1995 and September 22, 1995.</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6" w:name="page7"/>
    <w:bookmarkEnd w:id="6"/>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("REIT") that manages, leases and supervises renovation of its properties. At October 6, 1995, the Trust owned 53 community and neighborhood shopping centers, one apartment complex and 14 retail buildings. The shopping center portfolio has approximately 11.7 million rentable square feet and 1,600 tenants. At June 30, 1995, the occupancy rate of the shopping center portfolio was 94%.</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properties are located in thirteen states with approximately 72% of the Trust's rental income for the six months ended June 30, 1995 generated by the properties located in three major metropolitan areas: New York/New Jersey, Philadelphia and Baltimore/Washington, D.C. The Trust's properties are located in well established, densely populated communities with attractive retailing demographics and limited opportunities for new competing developments. The typical Trust property is located on a major traffic artery, with good visibility and access.</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Trust's strategy is to acquire older, well-located properties and to enhance their operating performance through a program of renovation, expansion, re-configuration, re-leasing and re-merchandising. The Trust's core focus is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Beginning in late 1994, the Trust expanded its focus to include retail buildings in densely developed urban and suburban areas ("main street retail"), in order to capitalize on the demand by retailers for space in these areas. To date, the Trust has purchased fourteen such main street retail properties, for a total price of $46.7 million.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the acquisition of the main street retail properties, since the beginning of 1993, the Trust has purchased 13 shopping centers and two properties abutting properties it already owned for a total initial investment of $210.9 million.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intends to continue its acquisition and redevelopment activities. Acquisitions are being considered primarily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132 consecutive quarterly distributions and has increased its distribution rate for each of the last 28 years. This is the longest record of annual distribution increases in the REIT industry. The current annual indicated distribution rate is $1.64 per share.</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4"/>
              </w:rPr>
              <w:t>SIX MONTHS</w:t>
            </w:r>
          </w:p>
        </w:tc>
      </w:tr>
      <w:tr>
        <w:trPr>
          <w:trHeight w:val="203"/>
        </w:trPr>
        <w:tc>
          <w:tcPr>
            <w:tcW w:w="1160" w:type="dxa"/>
            <w:vAlign w:val="bottom"/>
          </w:tcPr>
          <w:p>
            <w:pPr>
              <w:spacing w:after="0"/>
              <w:rPr>
                <w:sz w:val="17"/>
                <w:szCs w:val="17"/>
                <w:color w:val="auto"/>
              </w:rPr>
            </w:pPr>
          </w:p>
        </w:tc>
        <w:tc>
          <w:tcPr>
            <w:tcW w:w="29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YEARS ENDED DECEMBER 31,</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ENDED JUNE 30,</w:t>
            </w:r>
          </w:p>
        </w:tc>
      </w:t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8"/>
                <w:szCs w:val="8"/>
                <w:color w:val="auto"/>
                <w:w w:val="75"/>
              </w:rPr>
              <w:t>-----------------------------------------------------------</w:t>
            </w: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1990</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1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1992</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1.06X</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1.09X</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1.19X</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1.50X</w:t>
            </w:r>
          </w:p>
        </w:tc>
        <w:tc>
          <w:tcPr>
            <w:tcW w:w="1480" w:type="dxa"/>
            <w:vAlign w:val="bottom"/>
          </w:tcPr>
          <w:p>
            <w:pPr>
              <w:ind w:left="480"/>
              <w:spacing w:after="0"/>
              <w:rPr>
                <w:sz w:val="20"/>
                <w:szCs w:val="20"/>
                <w:color w:val="auto"/>
              </w:rPr>
            </w:pPr>
            <w:r>
              <w:rPr>
                <w:rFonts w:ascii="Courier New" w:cs="Courier New" w:eastAsia="Courier New" w:hAnsi="Courier New"/>
                <w:sz w:val="18"/>
                <w:szCs w:val="18"/>
                <w:color w:val="auto"/>
              </w:rPr>
              <w:t>1.61X</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1.56X</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1.61X</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Senior Securities are to be issued under an indenture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8" w:name="page9"/>
    <w:bookmarkEnd w:id="8"/>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Reference is made to the Prospectus Supplement relating to the series of</w:t>
      </w:r>
    </w:p>
    <w:p>
      <w:pPr>
        <w:spacing w:after="0" w:line="238" w:lineRule="auto"/>
        <w:rPr>
          <w:sz w:val="20"/>
          <w:szCs w:val="20"/>
          <w:color w:val="auto"/>
        </w:rPr>
      </w:pPr>
      <w:r>
        <w:rPr>
          <w:rFonts w:ascii="Courier New" w:cs="Courier New" w:eastAsia="Courier New" w:hAnsi="Courier New"/>
          <w:sz w:val="18"/>
          <w:szCs w:val="18"/>
          <w:color w:val="auto"/>
        </w:rPr>
        <w:t>Debt Securities being offered for the specific terms thereof, including:</w:t>
      </w:r>
    </w:p>
    <w:p>
      <w:pPr>
        <w:spacing w:after="0" w:line="207" w:lineRule="exact"/>
        <w:rPr>
          <w:sz w:val="20"/>
          <w:szCs w:val="20"/>
          <w:color w:val="auto"/>
        </w:rPr>
      </w:pPr>
    </w:p>
    <w:p>
      <w:pPr>
        <w:ind w:left="220" w:right="2319" w:firstLine="315"/>
        <w:spacing w:after="0" w:line="235"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such Debt Securities and whether such Debt Securities are Senior Securities or Subordinated Securities;</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such Debt Securities and any limit on such aggregate principal amount;</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211"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207"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on which the principal of such Debt Securities will be payable;</w:t>
      </w:r>
    </w:p>
    <w:p>
      <w:pPr>
        <w:spacing w:after="0" w:line="208" w:lineRule="exact"/>
        <w:rPr>
          <w:rFonts w:ascii="Courier New" w:cs="Courier New" w:eastAsia="Courier New" w:hAnsi="Courier New"/>
          <w:sz w:val="18"/>
          <w:szCs w:val="18"/>
          <w:color w:val="auto"/>
        </w:rPr>
      </w:pPr>
    </w:p>
    <w:p>
      <w:pPr>
        <w:jc w:val="both"/>
        <w:ind w:left="220" w:right="2099" w:firstLine="315"/>
        <w:spacing w:after="0" w:line="236"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or the method by which such rate or rates shall be determined, at which such Debt Securities will bear interest, if any;</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211" w:lineRule="exact"/>
        <w:rPr>
          <w:rFonts w:ascii="Courier New" w:cs="Courier New" w:eastAsia="Courier New" w:hAnsi="Courier New"/>
          <w:sz w:val="18"/>
          <w:szCs w:val="18"/>
          <w:color w:val="auto"/>
        </w:rPr>
      </w:pPr>
    </w:p>
    <w:p>
      <w:pPr>
        <w:ind w:left="220" w:right="2099" w:firstLine="315"/>
        <w:spacing w:after="0" w:line="273" w:lineRule="auto"/>
        <w:tabs>
          <w:tab w:leader="none" w:pos="95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4" w:lineRule="exact"/>
        <w:rPr>
          <w:rFonts w:ascii="Courier New" w:cs="Courier New" w:eastAsia="Courier New" w:hAnsi="Courier New"/>
          <w:sz w:val="16"/>
          <w:szCs w:val="16"/>
          <w:color w:val="auto"/>
        </w:rPr>
      </w:pPr>
    </w:p>
    <w:p>
      <w:pPr>
        <w:ind w:left="220" w:right="2099" w:firstLine="315"/>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767" w:gutter="0" w:footer="0" w:header="0"/>
        </w:sectPr>
      </w:pPr>
    </w:p>
    <w:bookmarkStart w:id="9" w:name="page10"/>
    <w:bookmarkEnd w:id="9"/>
    <w:p>
      <w:pPr>
        <w:ind w:left="220" w:right="20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209" w:lineRule="exact"/>
        <w:rPr>
          <w:rFonts w:ascii="Courier New" w:cs="Courier New" w:eastAsia="Courier New" w:hAnsi="Courier New"/>
          <w:sz w:val="18"/>
          <w:szCs w:val="18"/>
          <w:color w:val="auto"/>
        </w:rPr>
      </w:pPr>
    </w:p>
    <w:p>
      <w:pPr>
        <w:ind w:left="220" w:right="2099" w:firstLine="209"/>
        <w:spacing w:after="0" w:line="236"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to, modifications of or deletions from the terms of such Debt Securities with respect to the Events of Default or covenants set forth in the applicable Indenture;</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issued in certificated or book-entry form;</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applicability, if any, of the defeasance and covenant defeasance provisions of Article XIV of the applicable Indenture;</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if any, upon which such Debt Securities may be</w:t>
      </w:r>
    </w:p>
    <w:p>
      <w:pPr>
        <w:spacing w:after="0" w:line="4" w:lineRule="exact"/>
        <w:rPr>
          <w:rFonts w:ascii="Courier New" w:cs="Courier New" w:eastAsia="Courier New" w:hAnsi="Courier New"/>
          <w:sz w:val="18"/>
          <w:szCs w:val="18"/>
          <w:color w:val="auto"/>
        </w:rPr>
      </w:pPr>
    </w:p>
    <w:p>
      <w:pPr>
        <w:ind w:left="2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208" w:lineRule="exact"/>
        <w:rPr>
          <w:rFonts w:ascii="Courier New" w:cs="Courier New" w:eastAsia="Courier New" w:hAnsi="Courier New"/>
          <w:sz w:val="18"/>
          <w:szCs w:val="18"/>
          <w:color w:val="auto"/>
        </w:rPr>
      </w:pPr>
    </w:p>
    <w:p>
      <w:pPr>
        <w:ind w:left="220" w:right="2419" w:firstLine="209"/>
        <w:spacing w:after="0" w:line="290" w:lineRule="auto"/>
        <w:tabs>
          <w:tab w:leader="none" w:pos="95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Unless otherwise described in the applicable Prospectus Supplement, the Debt Securities of any series will be issuable in denominations of $1,000 and integral multiples thereof (Section 302 of each Indenture).</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59" w:gutter="0" w:footer="0" w:header="0"/>
        </w:sectPr>
      </w:pPr>
    </w:p>
    <w:bookmarkStart w:id="11" w:name="page12"/>
    <w:bookmarkEnd w:id="11"/>
    <w:p>
      <w:pPr>
        <w:ind w:right="1999"/>
        <w:spacing w:after="0" w:line="237" w:lineRule="auto"/>
        <w:rPr>
          <w:sz w:val="20"/>
          <w:szCs w:val="20"/>
          <w:color w:val="auto"/>
        </w:rPr>
      </w:pPr>
      <w:r>
        <w:rPr>
          <w:rFonts w:ascii="Courier New" w:cs="Courier New" w:eastAsia="Courier New" w:hAnsi="Courier New"/>
          <w:sz w:val="18"/>
          <w:szCs w:val="18"/>
          <w:color w:val="auto"/>
        </w:rPr>
        <w:t>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Additional Covenants. Any additional covenants of the Trust with respect to any series of Debt Securities will be set forth in the Prospectus Supplement relating thereto.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0" w:lineRule="exact"/>
        <w:rPr>
          <w:sz w:val="20"/>
          <w:szCs w:val="20"/>
          <w:color w:val="auto"/>
        </w:rPr>
      </w:pPr>
    </w:p>
    <w:p>
      <w:pPr>
        <w:spacing w:after="0" w:line="39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 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w:t>
      </w:r>
    </w:p>
    <w:p>
      <w:pPr>
        <w:sectPr>
          <w:pgSz w:w="11900" w:h="16838" w:orient="portrait"/>
          <w:cols w:equalWidth="0" w:num="1">
            <w:col w:w="10219"/>
          </w:cols>
          <w:pgMar w:left="240" w:top="717" w:right="1440" w:bottom="0" w:gutter="0" w:footer="0" w:header="0"/>
        </w:sectPr>
      </w:pPr>
    </w:p>
    <w:bookmarkStart w:id="13" w:name="page14"/>
    <w:bookmarkEnd w:id="13"/>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14" w:name="page15"/>
    <w:bookmarkEnd w:id="14"/>
    <w:p>
      <w:pPr>
        <w:ind w:right="2419"/>
        <w:spacing w:after="0" w:line="237" w:lineRule="auto"/>
        <w:rPr>
          <w:sz w:val="20"/>
          <w:szCs w:val="20"/>
          <w:color w:val="auto"/>
        </w:rPr>
      </w:pPr>
      <w:r>
        <w:rPr>
          <w:rFonts w:ascii="Courier New" w:cs="Courier New" w:eastAsia="Courier New" w:hAnsi="Courier New"/>
          <w:sz w:val="18"/>
          <w:szCs w:val="18"/>
          <w:color w:val="auto"/>
        </w:rPr>
        <w:t>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38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 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970" w:gutter="0" w:footer="0" w:header="0"/>
        </w:sectPr>
      </w:pPr>
    </w:p>
    <w:bookmarkStart w:id="15" w:name="page16"/>
    <w:bookmarkEnd w:id="15"/>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207" w:lineRule="exact"/>
        <w:rPr>
          <w:sz w:val="20"/>
          <w:szCs w:val="20"/>
          <w:color w:val="auto"/>
        </w:rPr>
      </w:pPr>
    </w:p>
    <w:p>
      <w:pPr>
        <w:ind w:right="2319" w:firstLine="211"/>
        <w:spacing w:after="0" w:line="268"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1" w:lineRule="exact"/>
        <w:rPr>
          <w:sz w:val="20"/>
          <w:szCs w:val="20"/>
          <w:color w:val="auto"/>
        </w:rPr>
      </w:pPr>
    </w:p>
    <w:p>
      <w:pPr>
        <w:ind w:right="1999" w:firstLine="8"/>
        <w:spacing w:after="0" w:line="269" w:lineRule="auto"/>
        <w:tabs>
          <w:tab w:leader="none" w:pos="52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9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(i) above),</w:t>
      </w:r>
    </w:p>
    <w:p>
      <w:pPr>
        <w:spacing w:after="0" w:line="187" w:lineRule="exact"/>
        <w:rPr>
          <w:sz w:val="20"/>
          <w:szCs w:val="20"/>
          <w:color w:val="auto"/>
        </w:rPr>
      </w:pPr>
    </w:p>
    <w:p>
      <w:pPr>
        <w:ind w:right="2099" w:firstLine="8"/>
        <w:spacing w:after="0" w:line="237"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16" w:name="page17"/>
    <w:bookmarkEnd w:id="16"/>
    <w:p>
      <w:pPr>
        <w:ind w:right="1999"/>
        <w:spacing w:after="0" w:line="238" w:lineRule="auto"/>
        <w:rPr>
          <w:sz w:val="20"/>
          <w:szCs w:val="20"/>
          <w:color w:val="auto"/>
        </w:rPr>
      </w:pPr>
      <w:r>
        <w:rPr>
          <w:rFonts w:ascii="Courier New" w:cs="Courier New" w:eastAsia="Courier New" w:hAnsi="Courier New"/>
          <w:sz w:val="18"/>
          <w:szCs w:val="18"/>
          <w:color w:val="auto"/>
        </w:rPr>
        <w:t>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 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5" w:lineRule="exact"/>
        <w:rPr>
          <w:sz w:val="20"/>
          <w:szCs w:val="20"/>
          <w:color w:val="auto"/>
        </w:rPr>
      </w:pPr>
    </w:p>
    <w:p>
      <w:pPr>
        <w:ind w:right="1999" w:firstLine="8"/>
        <w:spacing w:after="0" w:line="237"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7" w:lineRule="exact"/>
        <w:rPr>
          <w:rFonts w:ascii="Courier New" w:cs="Courier New" w:eastAsia="Courier New" w:hAnsi="Courier New"/>
          <w:sz w:val="18"/>
          <w:szCs w:val="18"/>
          <w:color w:val="auto"/>
        </w:rPr>
      </w:pPr>
    </w:p>
    <w:p>
      <w:pPr>
        <w:ind w:right="1999" w:firstLine="8"/>
        <w:spacing w:after="0" w:line="268"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209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767" w:gutter="0" w:footer="0" w:header="0"/>
        </w:sectPr>
      </w:pPr>
    </w:p>
    <w:bookmarkStart w:id="17" w:name="page18"/>
    <w:bookmarkEnd w:id="17"/>
    <w:p>
      <w:pPr>
        <w:ind w:right="2099"/>
        <w:spacing w:after="0" w:line="268" w:lineRule="auto"/>
        <w:rPr>
          <w:sz w:val="20"/>
          <w:szCs w:val="20"/>
          <w:color w:val="auto"/>
        </w:rPr>
      </w:pPr>
      <w:r>
        <w:rPr>
          <w:rFonts w:ascii="Courier New" w:cs="Courier New" w:eastAsia="Courier New" w:hAnsi="Courier New"/>
          <w:sz w:val="16"/>
          <w:szCs w:val="16"/>
          <w:color w:val="auto"/>
        </w:rPr>
        <w:t>obligation or liability is not superior in right of payment to the Subordinated Securities or ranks pari passu with the Subordinated Securities,</w:t>
      </w:r>
    </w:p>
    <w:p>
      <w:pPr>
        <w:ind w:right="209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1995, Senior Debt aggregated approximately $365 million. There are no restrictions in the Subordinated Indenture upon the creation of additional Senior Debt.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 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0" w:lineRule="exact"/>
        <w:rPr>
          <w:sz w:val="20"/>
          <w:szCs w:val="20"/>
          <w:color w:val="auto"/>
        </w:rPr>
      </w:pPr>
    </w:p>
    <w:p>
      <w:pPr>
        <w:spacing w:after="0" w:line="39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18" w:name="page19"/>
    <w:bookmarkEnd w:id="18"/>
    <w:p>
      <w:pPr>
        <w:ind w:right="1999"/>
        <w:spacing w:after="0" w:line="238" w:lineRule="auto"/>
        <w:rPr>
          <w:sz w:val="20"/>
          <w:szCs w:val="20"/>
          <w:color w:val="auto"/>
        </w:rPr>
      </w:pPr>
      <w:r>
        <w:rPr>
          <w:rFonts w:ascii="Courier New" w:cs="Courier New" w:eastAsia="Courier New" w:hAnsi="Courier New"/>
          <w:sz w:val="18"/>
          <w:szCs w:val="18"/>
          <w:color w:val="auto"/>
        </w:rPr>
        <w:t>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w:t>
      </w:r>
    </w:p>
    <w:p>
      <w:pPr>
        <w:spacing w:after="0" w:line="393" w:lineRule="exact"/>
        <w:rPr>
          <w:sz w:val="20"/>
          <w:szCs w:val="20"/>
          <w:color w:val="auto"/>
        </w:rPr>
      </w:pPr>
    </w:p>
    <w:p>
      <w:pPr>
        <w:ind w:right="1999" w:firstLine="8"/>
        <w:spacing w:after="0" w:line="237" w:lineRule="auto"/>
        <w:tabs>
          <w:tab w:leader="none" w:pos="6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210"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1" w:lineRule="exact"/>
        <w:rPr>
          <w:sz w:val="20"/>
          <w:szCs w:val="20"/>
          <w:color w:val="auto"/>
        </w:rPr>
      </w:pPr>
    </w:p>
    <w:p>
      <w:pPr>
        <w:ind w:right="199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564" w:gutter="0" w:footer="0" w:header="0"/>
        </w:sectPr>
      </w:pPr>
    </w:p>
    <w:bookmarkStart w:id="19" w:name="page20"/>
    <w:bookmarkEnd w:id="19"/>
    <w:p>
      <w:pPr>
        <w:ind w:right="1999"/>
        <w:spacing w:after="0" w:line="237" w:lineRule="auto"/>
        <w:rPr>
          <w:sz w:val="20"/>
          <w:szCs w:val="20"/>
          <w:color w:val="auto"/>
        </w:rPr>
      </w:pPr>
      <w:r>
        <w:rPr>
          <w:rFonts w:ascii="Courier New" w:cs="Courier New" w:eastAsia="Courier New" w:hAnsi="Courier New"/>
          <w:sz w:val="18"/>
          <w:szCs w:val="18"/>
          <w:color w:val="auto"/>
        </w:rPr>
        <w:t>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The Trust is authorized to issue an unlimited number of preferred shares (the "Preferred Shares") of which no Preferred Shares are outstanding.</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16"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Shares offered thereby for specific terms, including:</w:t>
      </w:r>
    </w:p>
    <w:p>
      <w:pPr>
        <w:spacing w:after="0" w:line="203" w:lineRule="exact"/>
        <w:rPr>
          <w:sz w:val="20"/>
          <w:szCs w:val="20"/>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such Preferred Shares;</w:t>
      </w:r>
    </w:p>
    <w:p>
      <w:pPr>
        <w:spacing w:after="0" w:line="206" w:lineRule="exact"/>
        <w:rPr>
          <w:rFonts w:ascii="Courier New" w:cs="Courier New" w:eastAsia="Courier New" w:hAnsi="Courier New"/>
          <w:sz w:val="18"/>
          <w:szCs w:val="18"/>
          <w:color w:val="auto"/>
        </w:rPr>
      </w:pPr>
    </w:p>
    <w:p>
      <w:pPr>
        <w:ind w:left="220" w:right="2739" w:firstLine="209"/>
        <w:spacing w:after="0" w:line="290" w:lineRule="auto"/>
        <w:tabs>
          <w:tab w:leader="none" w:pos="85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69" w:lineRule="exact"/>
        <w:rPr>
          <w:rFonts w:ascii="Courier New" w:cs="Courier New" w:eastAsia="Courier New" w:hAnsi="Courier New"/>
          <w:sz w:val="16"/>
          <w:szCs w:val="16"/>
          <w:color w:val="auto"/>
        </w:rPr>
      </w:pPr>
    </w:p>
    <w:p>
      <w:pPr>
        <w:ind w:left="220" w:right="2319" w:firstLine="209"/>
        <w:spacing w:after="0" w:line="235"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 calculation thereof applicable to such Preferred Shares;</w:t>
      </w:r>
    </w:p>
    <w:p>
      <w:pPr>
        <w:spacing w:after="0" w:line="208" w:lineRule="exact"/>
        <w:rPr>
          <w:rFonts w:ascii="Courier New" w:cs="Courier New" w:eastAsia="Courier New" w:hAnsi="Courier New"/>
          <w:sz w:val="18"/>
          <w:szCs w:val="18"/>
          <w:color w:val="auto"/>
        </w:rPr>
      </w:pPr>
    </w:p>
    <w:p>
      <w:pPr>
        <w:ind w:left="220" w:right="3039" w:firstLine="209"/>
        <w:spacing w:after="0" w:line="235"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such Preferred Shares shall accumulate, if applicable;</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such Preferred Shares;</w:t>
      </w:r>
    </w:p>
    <w:p>
      <w:pPr>
        <w:spacing w:after="0" w:line="206"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redemption, if applicable, of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such Preferred Shares on any securities exchange;</w:t>
      </w:r>
    </w:p>
    <w:p>
      <w:pPr>
        <w:spacing w:after="0" w:line="206"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such Preferred Shares will be convertible into Common Shares of the Trust, including the conversion price (or manner of calculation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564" w:gutter="0" w:footer="0" w:header="0"/>
        </w:sectPr>
      </w:pPr>
    </w:p>
    <w:bookmarkStart w:id="20" w:name="page21"/>
    <w:bookmarkEnd w:id="20"/>
    <w:p>
      <w:pPr>
        <w:ind w:left="220" w:right="2839" w:firstLine="209"/>
        <w:spacing w:after="0" w:line="235"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such Preferred Shares;</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such Preferred Shares;</w:t>
      </w:r>
    </w:p>
    <w:p>
      <w:pPr>
        <w:spacing w:after="0" w:line="208" w:lineRule="exact"/>
        <w:rPr>
          <w:rFonts w:ascii="Courier New" w:cs="Courier New" w:eastAsia="Courier New" w:hAnsi="Courier New"/>
          <w:sz w:val="18"/>
          <w:szCs w:val="18"/>
          <w:color w:val="auto"/>
        </w:rPr>
      </w:pPr>
    </w:p>
    <w:p>
      <w:pPr>
        <w:ind w:left="220" w:right="2199" w:firstLine="209"/>
        <w:spacing w:after="0" w:line="236"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such Preferred Shares as to dividend rights and rights upon liquidation, dissolution or winding up of the affairs of the Trust;</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Shares</w:t>
      </w:r>
    </w:p>
    <w:p>
      <w:pPr>
        <w:spacing w:after="0" w:line="4" w:lineRule="exact"/>
        <w:rPr>
          <w:rFonts w:ascii="Courier New" w:cs="Courier New" w:eastAsia="Courier New" w:hAnsi="Courier New"/>
          <w:sz w:val="18"/>
          <w:szCs w:val="18"/>
          <w:color w:val="auto"/>
        </w:rPr>
      </w:pPr>
    </w:p>
    <w:p>
      <w:pPr>
        <w:ind w:left="2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ranking senior to or on a parity with such series of Preferred Shares as to dividend rights and rights upon liquidation, dissolution or winding up of the affairs of the Trust; and</w:t>
      </w:r>
    </w:p>
    <w:p>
      <w:pPr>
        <w:spacing w:after="0" w:line="208" w:lineRule="exact"/>
        <w:rPr>
          <w:rFonts w:ascii="Courier New" w:cs="Courier New" w:eastAsia="Courier New" w:hAnsi="Courier New"/>
          <w:sz w:val="18"/>
          <w:szCs w:val="18"/>
          <w:color w:val="auto"/>
        </w:rPr>
      </w:pPr>
    </w:p>
    <w:p>
      <w:pPr>
        <w:jc w:val="both"/>
        <w:ind w:left="220" w:right="2319" w:firstLine="209"/>
        <w:spacing w:after="0" w:line="236"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 on transfer, in each case as may be appropriate to preserve the status of the Trust as a REIT.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Each such dividend shall be payable to holders of record as they appear on the share transfer books of the Trust on such record dates as shall be fixed by the Board of Trustees of the Trust.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59"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11"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Any dividend payment made on shares of a series of Preferred Shares shall first be credited against the earliest accrued but unpaid dividend due with respect to shares of such series which remains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362" w:gutter="0" w:footer="0" w:header="0"/>
        </w:sectPr>
      </w:pPr>
    </w:p>
    <w:bookmarkStart w:id="22" w:name="page23"/>
    <w:bookmarkEnd w:id="22"/>
    <w:p>
      <w:pPr>
        <w:ind w:right="1999"/>
        <w:spacing w:after="0" w:line="269" w:lineRule="auto"/>
        <w:rPr>
          <w:sz w:val="20"/>
          <w:szCs w:val="20"/>
          <w:color w:val="auto"/>
        </w:rPr>
      </w:pPr>
      <w:r>
        <w:rPr>
          <w:rFonts w:ascii="Courier New" w:cs="Courier New" w:eastAsia="Courier New" w:hAnsi="Courier New"/>
          <w:sz w:val="16"/>
          <w:szCs w:val="16"/>
          <w:color w:val="auto"/>
        </w:rPr>
        <w:t>Preferred Shares of such series are simultaneously redeemed;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00" w:lineRule="exact"/>
        <w:rPr>
          <w:sz w:val="20"/>
          <w:szCs w:val="20"/>
          <w:color w:val="auto"/>
        </w:rPr>
      </w:pPr>
    </w:p>
    <w:p>
      <w:pPr>
        <w:spacing w:after="0" w:line="39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210"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1" w:lineRule="exact"/>
        <w:rPr>
          <w:sz w:val="20"/>
          <w:szCs w:val="20"/>
          <w:color w:val="auto"/>
        </w:rPr>
      </w:pPr>
    </w:p>
    <w:p>
      <w:pPr>
        <w:ind w:right="1999" w:firstLine="8"/>
        <w:spacing w:after="0" w:line="270"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 the Trust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2" w:right="1440" w:bottom="970" w:gutter="0" w:footer="0" w:header="0"/>
        </w:sectPr>
      </w:pPr>
    </w:p>
    <w:bookmarkStart w:id="23" w:name="page24"/>
    <w:bookmarkEnd w:id="23"/>
    <w:p>
      <w:pPr>
        <w:ind w:right="1999"/>
        <w:spacing w:after="0" w:line="237" w:lineRule="auto"/>
        <w:rPr>
          <w:sz w:val="20"/>
          <w:szCs w:val="20"/>
          <w:color w:val="auto"/>
        </w:rPr>
      </w:pPr>
      <w:r>
        <w:rPr>
          <w:rFonts w:ascii="Courier New" w:cs="Courier New" w:eastAsia="Courier New" w:hAnsi="Courier New"/>
          <w:sz w:val="18"/>
          <w:szCs w:val="18"/>
          <w:color w:val="auto"/>
        </w:rPr>
        <w:t>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Holders of the Preferred Shares will not have any voting rights, except as set forth below or as otherwise from time to time required by law or as indicated in the applicable Prospectus Supplement.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393" w:lineRule="exact"/>
        <w:rPr>
          <w:sz w:val="20"/>
          <w:szCs w:val="20"/>
          <w:color w:val="auto"/>
        </w:rPr>
      </w:pPr>
    </w:p>
    <w:p>
      <w:pPr>
        <w:ind w:right="199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4" w:name="page25"/>
    <w:bookmarkEnd w:id="24"/>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5" w:name="page26"/>
    <w:bookmarkEnd w:id="25"/>
    <w:p>
      <w:pPr>
        <w:ind w:left="2640"/>
        <w:spacing w:after="0"/>
        <w:rPr>
          <w:sz w:val="20"/>
          <w:szCs w:val="20"/>
          <w:color w:val="auto"/>
        </w:rPr>
      </w:pPr>
      <w:r>
        <w:rPr>
          <w:rFonts w:ascii="Courier New" w:cs="Courier New" w:eastAsia="Courier New" w:hAnsi="Courier New"/>
          <w:sz w:val="18"/>
          <w:szCs w:val="18"/>
          <w:color w:val="auto"/>
        </w:rPr>
        <w:t>DESCRIPTION OF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Without shareholder approval, the Trust may issue an unlimited number of securities, warrants, rights, or other options to purchase Common Shares and other securities convertible into Common Shares.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39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Trust operates in a manner intended to qualify for treatment as a real estate investment trust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 Trust fails to qualify as a REIT in any taxable year, it will be taxed as a corporation for that year on all its income, regardless of whether that income is distributed to shareholders, and its shareholders will be separately taxed on the amount of any such distributions.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564" w:gutter="0" w:footer="0" w:header="0"/>
        </w:sectPr>
      </w:pPr>
    </w:p>
    <w:bookmarkStart w:id="26" w:name="page27"/>
    <w:bookmarkEnd w:id="26"/>
    <w:p>
      <w:pPr>
        <w:ind w:right="2099"/>
        <w:spacing w:after="0" w:line="237" w:lineRule="auto"/>
        <w:rPr>
          <w:sz w:val="20"/>
          <w:szCs w:val="20"/>
          <w:color w:val="auto"/>
        </w:rPr>
      </w:pPr>
      <w:r>
        <w:rPr>
          <w:rFonts w:ascii="Courier New" w:cs="Courier New" w:eastAsia="Courier New" w:hAnsi="Courier New"/>
          <w:sz w:val="18"/>
          <w:szCs w:val="18"/>
          <w:color w:val="auto"/>
        </w:rPr>
        <w:t>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any year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To the extent that distributions exceed current or accumulated earnings and profits, they will constitute a return of capital, rather than dividend or capital gain income, and will reduce the basis for the shareholder's Common Shares with respect to which the distribution is paid or, to the extent that they exceed such basis, will be taxed in the same manner as gain from the sale of those Common Shares.</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Investors are urged to consult their own tax advisors with respect to the appropriateness of an investment in the Common Shares and with respect to the tax consequences arising under the laws of any state, municipality or other taxing jurisdiction, as well as the Federal tax consequences resulting from such investor's own tax characteristics. Foreign investors should consult their own tax advisors concerning the tax consequences to them of an investment in the Trust, including the possibility of United States income tax withholding on Trust distributions.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Common Shares is American Stock Transfer &amp; Trust Company, New York, New York.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767" w:gutter="0" w:footer="0" w:header="0"/>
        </w:sectPr>
      </w:pPr>
    </w:p>
    <w:bookmarkStart w:id="27" w:name="page28"/>
    <w:bookmarkEnd w:id="27"/>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Trust may sell Securities to or through underwriters, and also may sell Securities directly to other purchasers or through agents.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Underwriters, dealers and agents may engage in transactions with, or perform services for, or be customers of, the Trust in the ordinary course of business.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legality of the Securities offered hereby is being passed upon for the Trust by Kirkpatrick &amp; Lockhart LLP,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28" w:name="page29"/>
    <w:bookmarkEnd w:id="28"/>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21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1995 and June 30, 1995 which are incorporated herein by reference, Grant Thornton LLP has applied limited procedures in accordance with professional standards for a review of such information. However, as stated in their reports dated May 5, 1995 and August 8, 1995 included in the Trust's Quarterly Reports on Form 10-Q for the quarters ended March 31, 1995 and June 30, 1995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Statement of Revenue and Certain Expenses of Sidcor Finley Associates for the year ended December 31, 1994, included in the Trust's Current Report on Form 8-K filed with the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9" w:name="page30"/>
    <w:bookmarkEnd w:id="29"/>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105"/>
        <w:spacing w:after="0" w:line="270" w:lineRule="auto"/>
        <w:rPr>
          <w:sz w:val="20"/>
          <w:szCs w:val="20"/>
          <w:color w:val="auto"/>
        </w:rPr>
      </w:pPr>
      <w:r>
        <w:rPr>
          <w:rFonts w:ascii="Courier New" w:cs="Courier New" w:eastAsia="Courier New" w:hAnsi="Courier New"/>
          <w:sz w:val="16"/>
          <w:szCs w:val="16"/>
          <w:color w:val="auto"/>
        </w:rPr>
        <w:t>NO DEALER, SALESPERSON OR OTHER INDIVIDUAL HAS BEEN AUTHORIZED TO GIVE ANY IN-FORMATION OR TO MAKE ANY REPRESENTATIONS OTHER THAN THOSE CONTAINED OR INCORPO-RATED BY REFERENCE IN THIS PROSPECTUS SUPPLEMENT AND THE PROSPECTUS IN CONNEC-TION WITH THE OFFER MADE BY THIS PROSPECTUS SUPPLEMENT AND THE PROSPECTUS AND, IF GIVEN OR MADE, SUCH INFORMATION OR REPRESENTATIONS MUST NOT BE RELIED UPON AS HAVING BEEN AUTHORIZED BY THE TRUST OR THE UNDERWRITER. NEITHER THE DELIVERY OF THIS PROSPECTUS SUPPLEMENT OR THE PROSPECTUS NOR ANY SALE MADE HEREUNDER SHALL, UNDER ANY CIRCUMSTANCE, CREATE ANY IMPLICATION THAT THERE HAS BEEN NO CHANGE IN THE FACTS SET FORTH IN THIS PROSPECTUS SUPPLEMENT OR IN THE PROSPEC-TUS OR IN AFFAIRS OF THE TRUST SINCE THE DATE HEREOF. THIS PROSPECTUS SUPPLE-MENT AND THE PROSPECTUS DO NOT CONSTITUTE AN OFFER OR SOLICITATION BY ANYONE IN ANY STATE IN WHICH SUCH OFFER OR SOLICITATION IS NOT AUTHORIZED OR IN WHICH THE PERSON MAKING SUCH OFFER OR SOLICITATION IS NOT QUALIFIED TO DO SO OR TO ANYONE TO WHOM IT IS UNLAWFUL TO MAKE SUCH OFFER OR SOLICITATION.</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jc w:val="right"/>
              <w:ind w:right="313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405"/>
        </w:trPr>
        <w:tc>
          <w:tcPr>
            <w:tcW w:w="796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24"/>
                <w:szCs w:val="24"/>
                <w:color w:val="auto"/>
              </w:rPr>
            </w:pPr>
          </w:p>
        </w:tc>
      </w:tr>
      <w:tr>
        <w:trPr>
          <w:trHeight w:val="405"/>
        </w:trPr>
        <w:tc>
          <w:tcPr>
            <w:tcW w:w="7960" w:type="dxa"/>
            <w:vAlign w:val="bottom"/>
          </w:tcPr>
          <w:p>
            <w:pPr>
              <w:ind w:left="3060"/>
              <w:spacing w:after="0"/>
              <w:rPr>
                <w:sz w:val="20"/>
                <w:szCs w:val="20"/>
                <w:color w:val="auto"/>
              </w:rPr>
            </w:pPr>
            <w:r>
              <w:rPr>
                <w:rFonts w:ascii="Courier New" w:cs="Courier New" w:eastAsia="Courier New" w:hAnsi="Courier New"/>
                <w:sz w:val="18"/>
                <w:szCs w:val="18"/>
                <w:color w:val="auto"/>
              </w:rPr>
              <w:t>PROSPECTUS SUPPLEMENT</w:t>
            </w:r>
          </w:p>
        </w:tc>
        <w:tc>
          <w:tcPr>
            <w:tcW w:w="480" w:type="dxa"/>
            <w:vAlign w:val="bottom"/>
          </w:tcPr>
          <w:p>
            <w:pPr>
              <w:spacing w:after="0"/>
              <w:rPr>
                <w:sz w:val="24"/>
                <w:szCs w:val="24"/>
                <w:color w:val="auto"/>
              </w:rPr>
            </w:pPr>
          </w:p>
        </w:tc>
      </w:tr>
      <w:tr>
        <w:trPr>
          <w:trHeight w:val="810"/>
        </w:trPr>
        <w:tc>
          <w:tcPr>
            <w:tcW w:w="79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7960" w:type="dxa"/>
            <w:vAlign w:val="bottom"/>
          </w:tcPr>
          <w:p>
            <w:pPr>
              <w:spacing w:after="0"/>
              <w:rPr>
                <w:sz w:val="17"/>
                <w:szCs w:val="17"/>
                <w:color w:val="auto"/>
              </w:rPr>
            </w:pP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S-2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Price Range of the Shares and Distributions................................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Underwriting...............................................................</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S-4</w:t>
            </w:r>
          </w:p>
        </w:tc>
      </w:tr>
      <w:tr>
        <w:trPr>
          <w:trHeight w:val="203"/>
        </w:trPr>
        <w:tc>
          <w:tcPr>
            <w:tcW w:w="7960" w:type="dxa"/>
            <w:vAlign w:val="bottom"/>
          </w:tcPr>
          <w:p>
            <w:pPr>
              <w:jc w:val="right"/>
              <w:ind w:right="3132"/>
              <w:spacing w:after="0" w:line="203" w:lineRule="exact"/>
              <w:rPr>
                <w:sz w:val="20"/>
                <w:szCs w:val="20"/>
                <w:color w:val="auto"/>
              </w:rPr>
            </w:pPr>
            <w:r>
              <w:rPr>
                <w:rFonts w:ascii="Courier New" w:cs="Courier New" w:eastAsia="Courier New" w:hAnsi="Courier New"/>
                <w:sz w:val="18"/>
                <w:szCs w:val="18"/>
                <w:color w:val="auto"/>
              </w:rPr>
              <w:t>PROSPECTUS</w:t>
            </w:r>
          </w:p>
        </w:tc>
        <w:tc>
          <w:tcPr>
            <w:tcW w:w="480" w:type="dxa"/>
            <w:vAlign w:val="bottom"/>
          </w:tcPr>
          <w:p>
            <w:pPr>
              <w:spacing w:after="0"/>
              <w:rPr>
                <w:sz w:val="17"/>
                <w:szCs w:val="17"/>
                <w:color w:val="auto"/>
              </w:rPr>
            </w:pP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Available Information......................................................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Incorporation of Certain Documents by Reference............................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Ratios of Earnings to Fixed Charges........................................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Debt Securities.............................................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Preferred Shares............................................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Common Shares...............................................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Opinions.............................................................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1,600,000 Shares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Alex. Brown &amp; Sons</w:t>
      </w:r>
    </w:p>
    <w:p>
      <w:pPr>
        <w:ind w:left="348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10, 1996</w:t>
      </w:r>
    </w:p>
    <w:p>
      <w:pPr>
        <w:spacing w:after="0" w:line="207"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723" w:right="1440" w:bottom="58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Roman"/>
      <w:start w:val="2"/>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0"/>
    </w:lvl>
  </w:abstractNum>
  <w:abstractNum w:abstractNumId="7">
    <w:nsid w:val="41A7C4C9"/>
    <w:multiLevelType w:val="hybridMultilevel"/>
    <w:lvl w:ilvl="0">
      <w:lvlJc w:val="left"/>
      <w:lvlText w:val="(%1)"/>
      <w:numFmt w:val="lowerRoman"/>
      <w:start w:val="2"/>
    </w:lvl>
  </w:abstractNum>
  <w:abstractNum w:abstractNumId="8">
    <w:nsid w:val="6B68079A"/>
    <w:multiLevelType w:val="hybridMultilevel"/>
    <w:lvl w:ilvl="0">
      <w:lvlJc w:val="left"/>
      <w:lvlText w:val="(%1)"/>
      <w:numFmt w:val="lowerRoman"/>
      <w:start w:val="10"/>
    </w:lvl>
  </w:abstractNum>
  <w:abstractNum w:abstractNumId="9">
    <w:nsid w:val="4E6AFB66"/>
    <w:multiLevelType w:val="hybridMultilevel"/>
    <w:lvl w:ilvl="0">
      <w:lvlJc w:val="left"/>
      <w:lvlText w:val="(%1)"/>
      <w:numFmt w:val="lowerRoman"/>
      <w:start w:val="3"/>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4"/>
    </w:lvl>
  </w:abstractNum>
  <w:abstractNum w:abstractNumId="12">
    <w:nsid w:val="431BD7B7"/>
    <w:multiLevelType w:val="hybridMultilevel"/>
    <w:lvl w:ilvl="0">
      <w:lvlJc w:val="left"/>
      <w:lvlText w:val="(%1)"/>
      <w:numFmt w:val="lowerLetter"/>
      <w:start w:val="6"/>
    </w:lvl>
  </w:abstractNum>
  <w:abstractNum w:abstractNumId="13">
    <w:nsid w:val="3F2DBA31"/>
    <w:multiLevelType w:val="hybridMultilevel"/>
    <w:lvl w:ilvl="0">
      <w:lvlJc w:val="left"/>
      <w:lvlText w:val="(%1)"/>
      <w:numFmt w:val="decimal"/>
      <w:start w:val="2"/>
    </w:lvl>
  </w:abstractNum>
  <w:abstractNum w:abstractNumId="14">
    <w:nsid w:val="7C83E458"/>
    <w:multiLevelType w:val="hybridMultilevel"/>
    <w:lvl w:ilvl="0">
      <w:lvlJc w:val="left"/>
      <w:lvlText w:val="(%1)"/>
      <w:numFmt w:val="lowerRoman"/>
      <w:start w:val="3"/>
    </w:lvl>
  </w:abstractNum>
  <w:abstractNum w:abstractNumId="15">
    <w:nsid w:val="257130A3"/>
    <w:multiLevelType w:val="hybridMultilevel"/>
    <w:lvl w:ilvl="0">
      <w:lvlJc w:val="left"/>
      <w:lvlText w:val="(%1)"/>
      <w:numFmt w:val="lowerLetter"/>
      <w:start w:val="7"/>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0"/>
    </w:lvl>
  </w:abstractNum>
  <w:abstractNum w:abstractNumId="18">
    <w:nsid w:val="628C895D"/>
    <w:multiLevelType w:val="hybridMultilevel"/>
    <w:lvl w:ilvl="0">
      <w:lvlJc w:val="left"/>
      <w:lvlText w:val="(%1)"/>
      <w:numFmt w:val="lowerRoman"/>
      <w:start w:val="5"/>
    </w:lvl>
  </w:abstractNum>
  <w:abstractNum w:abstractNumId="19">
    <w:nsid w:val="333AB105"/>
    <w:multiLevelType w:val="hybridMultilevel"/>
    <w:lvl w:ilvl="0">
      <w:lvlJc w:val="left"/>
      <w:lvlText w:val="(%1)"/>
      <w:numFmt w:val="lowerRoman"/>
      <w:start w:val="10"/>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2019-12-13T00:53:33Z</dcterms:created>
  <dcterms:modified xsi:type="dcterms:W3CDTF">2019-12-13T00:53:33Z</dcterms:modified>
</cp:coreProperties>
</file>