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10-Q/A</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ind w:left="580" w:right="16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THE SECTION 13 OR 15(D) OF THE SECURITIES EXCHANGE ACT OF 1934</w:t>
      </w:r>
    </w:p>
    <w:p>
      <w:pPr>
        <w:spacing w:after="0" w:line="122" w:lineRule="exact"/>
        <w:rPr>
          <w:sz w:val="24"/>
          <w:szCs w:val="24"/>
          <w:color w:val="auto"/>
        </w:rPr>
      </w:pPr>
    </w:p>
    <w:p>
      <w:pPr>
        <w:ind w:left="600"/>
        <w:spacing w:after="0"/>
        <w:rPr>
          <w:sz w:val="20"/>
          <w:szCs w:val="20"/>
          <w:color w:val="auto"/>
        </w:rPr>
      </w:pPr>
      <w:r>
        <w:rPr>
          <w:rFonts w:ascii="Arial" w:cs="Arial" w:eastAsia="Arial" w:hAnsi="Arial"/>
          <w:sz w:val="18"/>
          <w:szCs w:val="18"/>
          <w:b w:val="1"/>
          <w:bCs w:val="1"/>
          <w:color w:val="auto"/>
        </w:rPr>
        <w:t>For the quarterly period ended March 31, 2009</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30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600"/>
        <w:spacing w:after="0"/>
        <w:tabs>
          <w:tab w:leader="none" w:pos="36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1-07533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Declaration of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080" w:type="dxa"/>
        <w:tblCellMar>
          <w:top w:w="0" w:type="dxa"/>
          <w:left w:w="0" w:type="dxa"/>
          <w:bottom w:w="0" w:type="dxa"/>
          <w:right w:w="0" w:type="dxa"/>
        </w:tblCellMar>
      </w:tblPr>
      <w:tr>
        <w:trPr>
          <w:trHeight w:val="218"/>
        </w:trPr>
        <w:tc>
          <w:tcPr>
            <w:tcW w:w="6400" w:type="dxa"/>
            <w:vAlign w:val="bottom"/>
          </w:tcPr>
          <w:p>
            <w:pPr>
              <w:jc w:val="center"/>
              <w:ind w:right="2762"/>
              <w:spacing w:after="0"/>
              <w:rPr>
                <w:sz w:val="20"/>
                <w:szCs w:val="20"/>
                <w:color w:val="auto"/>
              </w:rPr>
            </w:pPr>
            <w:r>
              <w:rPr>
                <w:rFonts w:ascii="Arial" w:cs="Arial" w:eastAsia="Arial" w:hAnsi="Arial"/>
                <w:sz w:val="18"/>
                <w:szCs w:val="18"/>
                <w:b w:val="1"/>
                <w:bCs w:val="1"/>
                <w:color w:val="auto"/>
                <w:w w:val="96"/>
              </w:rPr>
              <w:t>Maryland</w:t>
            </w:r>
          </w:p>
        </w:tc>
        <w:tc>
          <w:tcPr>
            <w:tcW w:w="2120" w:type="dxa"/>
            <w:vAlign w:val="bottom"/>
          </w:tcPr>
          <w:p>
            <w:pPr>
              <w:jc w:val="right"/>
              <w:ind w:right="482"/>
              <w:spacing w:after="0"/>
              <w:rPr>
                <w:sz w:val="20"/>
                <w:szCs w:val="20"/>
                <w:color w:val="auto"/>
              </w:rPr>
            </w:pPr>
            <w:r>
              <w:rPr>
                <w:rFonts w:ascii="Arial" w:cs="Arial" w:eastAsia="Arial" w:hAnsi="Arial"/>
                <w:sz w:val="18"/>
                <w:szCs w:val="18"/>
                <w:b w:val="1"/>
                <w:bCs w:val="1"/>
                <w:color w:val="auto"/>
              </w:rPr>
              <w:t>52-0782497</w:t>
            </w:r>
          </w:p>
        </w:tc>
      </w:tr>
      <w:tr>
        <w:trPr>
          <w:trHeight w:val="174"/>
        </w:trPr>
        <w:tc>
          <w:tcPr>
            <w:tcW w:w="6400" w:type="dxa"/>
            <w:vAlign w:val="bottom"/>
          </w:tcPr>
          <w:p>
            <w:pPr>
              <w:jc w:val="center"/>
              <w:ind w:right="2762"/>
              <w:spacing w:after="0"/>
              <w:rPr>
                <w:sz w:val="20"/>
                <w:szCs w:val="20"/>
                <w:color w:val="auto"/>
              </w:rPr>
            </w:pPr>
            <w:r>
              <w:rPr>
                <w:rFonts w:ascii="Arial" w:cs="Arial" w:eastAsia="Arial" w:hAnsi="Arial"/>
                <w:sz w:val="14"/>
                <w:szCs w:val="14"/>
                <w:b w:val="1"/>
                <w:bCs w:val="1"/>
                <w:color w:val="auto"/>
                <w:w w:val="87"/>
              </w:rPr>
              <w:t>(State of Organization)</w:t>
            </w:r>
          </w:p>
        </w:tc>
        <w:tc>
          <w:tcPr>
            <w:tcW w:w="2120" w:type="dxa"/>
            <w:vAlign w:val="bottom"/>
          </w:tcPr>
          <w:p>
            <w:pPr>
              <w:jc w:val="center"/>
              <w:ind w:left="8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93"/>
        </w:trPr>
        <w:tc>
          <w:tcPr>
            <w:tcW w:w="6400" w:type="dxa"/>
            <w:vAlign w:val="bottom"/>
          </w:tcPr>
          <w:p>
            <w:pPr>
              <w:jc w:val="center"/>
              <w:ind w:right="2742"/>
              <w:spacing w:after="0"/>
              <w:rPr>
                <w:sz w:val="20"/>
                <w:szCs w:val="20"/>
                <w:color w:val="auto"/>
              </w:rPr>
            </w:pPr>
            <w:r>
              <w:rPr>
                <w:rFonts w:ascii="Arial" w:cs="Arial" w:eastAsia="Arial" w:hAnsi="Arial"/>
                <w:sz w:val="18"/>
                <w:szCs w:val="18"/>
                <w:b w:val="1"/>
                <w:bCs w:val="1"/>
                <w:color w:val="auto"/>
                <w:w w:val="88"/>
              </w:rPr>
              <w:t>1626 East Jefferson Street, Rockville, Maryland</w:t>
            </w:r>
          </w:p>
        </w:tc>
        <w:tc>
          <w:tcPr>
            <w:tcW w:w="2120" w:type="dxa"/>
            <w:vAlign w:val="bottom"/>
          </w:tcPr>
          <w:p>
            <w:pPr>
              <w:jc w:val="right"/>
              <w:ind w:right="682"/>
              <w:spacing w:after="0"/>
              <w:rPr>
                <w:sz w:val="20"/>
                <w:szCs w:val="20"/>
                <w:color w:val="auto"/>
              </w:rPr>
            </w:pPr>
            <w:r>
              <w:rPr>
                <w:rFonts w:ascii="Arial" w:cs="Arial" w:eastAsia="Arial" w:hAnsi="Arial"/>
                <w:sz w:val="18"/>
                <w:szCs w:val="18"/>
                <w:b w:val="1"/>
                <w:bCs w:val="1"/>
                <w:color w:val="auto"/>
              </w:rPr>
              <w:t>20852</w:t>
            </w:r>
          </w:p>
        </w:tc>
      </w:tr>
      <w:tr>
        <w:trPr>
          <w:trHeight w:val="174"/>
        </w:trPr>
        <w:tc>
          <w:tcPr>
            <w:tcW w:w="6400" w:type="dxa"/>
            <w:vAlign w:val="bottom"/>
          </w:tcPr>
          <w:p>
            <w:pPr>
              <w:jc w:val="center"/>
              <w:ind w:right="274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120" w:type="dxa"/>
            <w:vAlign w:val="bottom"/>
          </w:tcPr>
          <w:p>
            <w:pPr>
              <w:jc w:val="center"/>
              <w:ind w:left="102"/>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400" w:type="dxa"/>
            <w:vAlign w:val="bottom"/>
          </w:tcPr>
          <w:p>
            <w:pPr>
              <w:jc w:val="right"/>
              <w:ind w:right="1142"/>
              <w:spacing w:after="0"/>
              <w:rPr>
                <w:sz w:val="20"/>
                <w:szCs w:val="20"/>
                <w:color w:val="auto"/>
              </w:rPr>
            </w:pPr>
            <w:r>
              <w:rPr>
                <w:rFonts w:ascii="Arial" w:cs="Arial" w:eastAsia="Arial" w:hAnsi="Arial"/>
                <w:sz w:val="18"/>
                <w:szCs w:val="18"/>
                <w:b w:val="1"/>
                <w:bCs w:val="1"/>
                <w:color w:val="auto"/>
              </w:rPr>
              <w:t>(301) 998-8100</w:t>
            </w:r>
          </w:p>
        </w:tc>
        <w:tc>
          <w:tcPr>
            <w:tcW w:w="2120" w:type="dxa"/>
            <w:vAlign w:val="bottom"/>
          </w:tcPr>
          <w:p>
            <w:pPr>
              <w:spacing w:after="0"/>
              <w:rPr>
                <w:sz w:val="24"/>
                <w:szCs w:val="24"/>
                <w:color w:val="auto"/>
              </w:rPr>
            </w:pPr>
          </w:p>
        </w:tc>
      </w:tr>
      <w:tr>
        <w:trPr>
          <w:trHeight w:val="174"/>
        </w:trPr>
        <w:tc>
          <w:tcPr>
            <w:tcW w:w="6400" w:type="dxa"/>
            <w:vAlign w:val="bottom"/>
          </w:tcPr>
          <w:p>
            <w:pPr>
              <w:jc w:val="center"/>
              <w:ind w:left="2782"/>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21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jc w:val="both"/>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6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84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2240" w:type="dxa"/>
            <w:vAlign w:val="bottom"/>
          </w:tcPr>
          <w:p>
            <w:pPr>
              <w:ind w:left="8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694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40" w:type="dxa"/>
            <w:vAlign w:val="bottom"/>
          </w:tcPr>
          <w:p>
            <w:pPr>
              <w:ind w:left="8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8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w:t>
            </w:r>
            <w:r>
              <w:rPr>
                <w:rFonts w:ascii="MS PGothic" w:cs="MS PGothic" w:eastAsia="MS PGothic" w:hAnsi="MS PGothic"/>
                <w:sz w:val="18"/>
                <w:szCs w:val="18"/>
                <w:color w:val="auto"/>
                <w:w w:val="90"/>
              </w:rPr>
              <w:t>☐</w:t>
            </w:r>
            <w:r>
              <w:rPr>
                <w:rFonts w:ascii="Arial" w:cs="Arial" w:eastAsia="Arial" w:hAnsi="Arial"/>
                <w:sz w:val="18"/>
                <w:szCs w:val="18"/>
                <w:color w:val="auto"/>
                <w:w w:val="90"/>
              </w:rPr>
              <w:t xml:space="preserve"> Yes</w:t>
            </w:r>
          </w:p>
        </w:tc>
        <w:tc>
          <w:tcPr>
            <w:tcW w:w="224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400" w:type="dxa"/>
            <w:vAlign w:val="bottom"/>
          </w:tcPr>
          <w:p>
            <w:pPr>
              <w:spacing w:after="0"/>
              <w:rPr>
                <w:sz w:val="24"/>
                <w:szCs w:val="24"/>
                <w:color w:val="auto"/>
              </w:rPr>
            </w:pPr>
          </w:p>
        </w:tc>
      </w:tr>
      <w:tr>
        <w:trPr>
          <w:trHeight w:val="358"/>
        </w:trPr>
        <w:tc>
          <w:tcPr>
            <w:tcW w:w="8780" w:type="dxa"/>
            <w:vAlign w:val="bottom"/>
            <w:gridSpan w:val="2"/>
          </w:tcPr>
          <w:p>
            <w:pPr>
              <w:spacing w:after="0"/>
              <w:rPr>
                <w:sz w:val="20"/>
                <w:szCs w:val="20"/>
                <w:color w:val="auto"/>
              </w:rPr>
            </w:pPr>
            <w:r>
              <w:rPr>
                <w:rFonts w:ascii="Arial" w:cs="Arial" w:eastAsia="Arial" w:hAnsi="Arial"/>
                <w:sz w:val="18"/>
                <w:szCs w:val="18"/>
                <w:color w:val="auto"/>
              </w:rPr>
              <w:t>The number of Registrant’s common shares outstanding on May 4, 2009 was 59,105,589</w:t>
            </w:r>
          </w:p>
        </w:tc>
        <w:tc>
          <w:tcPr>
            <w:tcW w:w="2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5"/>
        </w:trPr>
        <w:tc>
          <w:tcPr>
            <w:tcW w:w="1840" w:type="dxa"/>
            <w:vAlign w:val="bottom"/>
            <w:tcBorders>
              <w:bottom w:val="single" w:sz="8" w:color="auto"/>
            </w:tcBorders>
          </w:tcPr>
          <w:p>
            <w:pPr>
              <w:spacing w:after="0"/>
              <w:rPr>
                <w:sz w:val="17"/>
                <w:szCs w:val="17"/>
                <w:color w:val="auto"/>
              </w:rPr>
            </w:pPr>
          </w:p>
        </w:tc>
        <w:tc>
          <w:tcPr>
            <w:tcW w:w="69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r>
      <w:tr>
        <w:trPr>
          <w:trHeight w:val="21"/>
        </w:trPr>
        <w:tc>
          <w:tcPr>
            <w:tcW w:w="1840" w:type="dxa"/>
            <w:vAlign w:val="bottom"/>
            <w:tcBorders>
              <w:bottom w:val="single" w:sz="8" w:color="auto"/>
            </w:tcBorders>
          </w:tcPr>
          <w:p>
            <w:pPr>
              <w:spacing w:after="0" w:line="20" w:lineRule="exact"/>
              <w:rPr>
                <w:sz w:val="1"/>
                <w:szCs w:val="1"/>
                <w:color w:val="auto"/>
              </w:rPr>
            </w:pPr>
          </w:p>
        </w:tc>
        <w:tc>
          <w:tcPr>
            <w:tcW w:w="69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41" w:right="239" w:bottom="1440" w:gutter="0" w:footer="0" w:header="0"/>
        </w:sectPr>
      </w:pPr>
    </w:p>
    <w:bookmarkStart w:id="1" w:name="page2"/>
    <w:bookmarkEnd w:id="1"/>
    <w:p>
      <w:pPr>
        <w:ind w:left="3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QUARTERLY REPORT ON FORM 10-Q/A</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QUARTER ENDED MARCH 31, 2009</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9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This Amendment No. 1 to our Quarterly Report on Form 10-Q for the quarter ended March 31, 2009, originally filed on May 6, 2009 (the “Original Filing”), is being filed to include information related to the sale of unregistered securities which was inadvertently omitted from the Original Filing. In addition, we are including with this Amendment No. 1 currently dated certifications. No other information in the Original Filing has been amended or modified hereby.</w:t>
      </w:r>
    </w:p>
    <w:p>
      <w:pPr>
        <w:spacing w:after="0" w:line="182"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During the three months ended March 31, 2009, we issued 12,918 unregistered shares at a weighted average price per share of $53.17 pursuant to our Dividend Reinvestment and Stock Purchase Plan (the “Plan”). Our registration statement on Form S-3 relating to the Plan expired on December 1, 2008. As a result, these shares were inadvertently sold under an expired registration statement and do not appear to qualify for an exemption from registration under the Securities Act of 1933, as amended. We expect to file a new registration statement relating to the Plan by the end of the second quarter of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64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24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640" w:type="dxa"/>
            <w:vAlign w:val="bottom"/>
          </w:tcPr>
          <w:p>
            <w:pPr>
              <w:spacing w:after="0"/>
              <w:rPr>
                <w:sz w:val="24"/>
                <w:szCs w:val="24"/>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w w:val="91"/>
              </w:rPr>
              <w:t>Rule 13a-14(a) Certification of Chief Executive Officer (filed herewith)</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640" w:type="dxa"/>
            <w:vAlign w:val="bottom"/>
          </w:tcPr>
          <w:p>
            <w:pPr>
              <w:spacing w:after="0"/>
              <w:rPr>
                <w:sz w:val="24"/>
                <w:szCs w:val="24"/>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w w:val="92"/>
              </w:rPr>
              <w:t>Rule 13a-14(a) Certification of Chief Financial Officer (filed herewith)</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64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w w:val="87"/>
              </w:rPr>
              <w:t>Section 1350</w:t>
            </w:r>
          </w:p>
        </w:tc>
        <w:tc>
          <w:tcPr>
            <w:tcW w:w="4100" w:type="dxa"/>
            <w:vAlign w:val="bottom"/>
          </w:tcPr>
          <w:p>
            <w:pPr>
              <w:ind w:left="20"/>
              <w:spacing w:after="0"/>
              <w:rPr>
                <w:sz w:val="20"/>
                <w:szCs w:val="20"/>
                <w:color w:val="auto"/>
              </w:rPr>
            </w:pPr>
            <w:r>
              <w:rPr>
                <w:rFonts w:ascii="Arial" w:cs="Arial" w:eastAsia="Arial" w:hAnsi="Arial"/>
                <w:sz w:val="18"/>
                <w:szCs w:val="18"/>
                <w:color w:val="auto"/>
                <w:w w:val="95"/>
              </w:rPr>
              <w:t>Certification of Chief Executive Officer (filed herewith)</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64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w w:val="87"/>
              </w:rPr>
              <w:t>Section 1350</w:t>
            </w:r>
          </w:p>
        </w:tc>
        <w:tc>
          <w:tcPr>
            <w:tcW w:w="4100" w:type="dxa"/>
            <w:vAlign w:val="bottom"/>
          </w:tcPr>
          <w:p>
            <w:pPr>
              <w:ind w:left="20"/>
              <w:spacing w:after="0"/>
              <w:rPr>
                <w:sz w:val="20"/>
                <w:szCs w:val="20"/>
                <w:color w:val="auto"/>
              </w:rPr>
            </w:pPr>
            <w:r>
              <w:rPr>
                <w:rFonts w:ascii="Arial" w:cs="Arial" w:eastAsia="Arial" w:hAnsi="Arial"/>
                <w:sz w:val="18"/>
                <w:szCs w:val="18"/>
                <w:color w:val="auto"/>
                <w:w w:val="96"/>
              </w:rPr>
              <w:t>Certification of Chief Financial Officer (filed herewith)</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90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7800" w:val="left"/>
        </w:tabs>
        <w:rPr>
          <w:sz w:val="20"/>
          <w:szCs w:val="20"/>
          <w:color w:val="auto"/>
        </w:rPr>
      </w:pPr>
      <w:r>
        <w:rPr>
          <w:rFonts w:ascii="Arial" w:cs="Arial" w:eastAsia="Arial" w:hAnsi="Arial"/>
          <w:sz w:val="18"/>
          <w:szCs w:val="18"/>
          <w:color w:val="auto"/>
        </w:rPr>
        <w:t>June 25, 2009</w:t>
      </w:r>
      <w:r>
        <w:rPr>
          <w:sz w:val="20"/>
          <w:szCs w:val="20"/>
          <w:color w:val="auto"/>
        </w:rPr>
        <w:tab/>
      </w:r>
      <w:r>
        <w:rPr>
          <w:rFonts w:ascii="Arial" w:cs="Arial" w:eastAsia="Arial" w:hAnsi="Arial"/>
          <w:sz w:val="16"/>
          <w:szCs w:val="16"/>
          <w:color w:val="auto"/>
        </w:rPr>
        <w:t>/s/ Donald C. Wood</w:t>
      </w:r>
    </w:p>
    <w:p>
      <w:pPr>
        <w:spacing w:after="0" w:line="1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pacing w:after="0" w:line="232" w:lineRule="exact"/>
        <w:rPr>
          <w:sz w:val="20"/>
          <w:szCs w:val="20"/>
          <w:color w:val="auto"/>
        </w:rPr>
      </w:pPr>
    </w:p>
    <w:p>
      <w:pPr>
        <w:spacing w:after="0"/>
        <w:tabs>
          <w:tab w:leader="none" w:pos="7720" w:val="left"/>
        </w:tabs>
        <w:rPr>
          <w:sz w:val="20"/>
          <w:szCs w:val="20"/>
          <w:color w:val="auto"/>
        </w:rPr>
      </w:pPr>
      <w:r>
        <w:rPr>
          <w:rFonts w:ascii="Arial" w:cs="Arial" w:eastAsia="Arial" w:hAnsi="Arial"/>
          <w:sz w:val="18"/>
          <w:szCs w:val="18"/>
          <w:color w:val="auto"/>
        </w:rPr>
        <w:t>June 25, 2009</w:t>
      </w:r>
      <w:r>
        <w:rPr>
          <w:sz w:val="20"/>
          <w:szCs w:val="20"/>
          <w:color w:val="auto"/>
        </w:rPr>
        <w:tab/>
      </w:r>
      <w:r>
        <w:rPr>
          <w:rFonts w:ascii="Arial" w:cs="Arial" w:eastAsia="Arial" w:hAnsi="Arial"/>
          <w:sz w:val="16"/>
          <w:szCs w:val="16"/>
          <w:color w:val="auto"/>
        </w:rPr>
        <w:t>/s/ Andrew P. Blocher</w:t>
      </w:r>
    </w:p>
    <w:p>
      <w:pPr>
        <w:spacing w:after="0" w:line="1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Senior Vice President,</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Federal Realty Investment Trust;</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 w:hanging="567"/>
        <w:spacing w:after="0" w:line="259" w:lineRule="auto"/>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800" w:val="left"/>
        </w:tabs>
        <w:rPr>
          <w:sz w:val="20"/>
          <w:szCs w:val="20"/>
          <w:color w:val="auto"/>
        </w:rPr>
      </w:pPr>
      <w:r>
        <w:rPr>
          <w:rFonts w:ascii="Arial" w:cs="Arial" w:eastAsia="Arial" w:hAnsi="Arial"/>
          <w:sz w:val="18"/>
          <w:szCs w:val="18"/>
          <w:color w:val="auto"/>
        </w:rPr>
        <w:t>June 25, 2009</w:t>
      </w:r>
      <w:r>
        <w:rPr>
          <w:sz w:val="20"/>
          <w:szCs w:val="20"/>
          <w:color w:val="auto"/>
        </w:rPr>
        <w:tab/>
      </w:r>
      <w:r>
        <w:rPr>
          <w:rFonts w:ascii="Arial" w:cs="Arial" w:eastAsia="Arial" w:hAnsi="Arial"/>
          <w:sz w:val="16"/>
          <w:szCs w:val="16"/>
          <w:color w:val="auto"/>
        </w:rPr>
        <w:t>/s/ Donald C. Wood</w:t>
      </w:r>
    </w:p>
    <w:p>
      <w:pPr>
        <w:spacing w:after="0" w:line="1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Andrew P. Blocher</w:t>
      </w:r>
      <w:r>
        <w:rPr>
          <w:rFonts w:ascii="Arial" w:cs="Arial" w:eastAsia="Arial" w:hAnsi="Arial"/>
          <w:sz w:val="18"/>
          <w:szCs w:val="18"/>
          <w:color w:val="auto"/>
        </w:rPr>
        <w:t>, certify that:</w:t>
      </w:r>
    </w:p>
    <w:p>
      <w:pPr>
        <w:spacing w:after="0" w:line="90"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Federal Realty Investment Trust;</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 w:hanging="567"/>
        <w:spacing w:after="0" w:line="259" w:lineRule="auto"/>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720" w:val="left"/>
        </w:tabs>
        <w:rPr>
          <w:sz w:val="20"/>
          <w:szCs w:val="20"/>
          <w:color w:val="auto"/>
        </w:rPr>
      </w:pPr>
      <w:r>
        <w:rPr>
          <w:rFonts w:ascii="Arial" w:cs="Arial" w:eastAsia="Arial" w:hAnsi="Arial"/>
          <w:sz w:val="18"/>
          <w:szCs w:val="18"/>
          <w:color w:val="auto"/>
        </w:rPr>
        <w:t>June 25, 2009</w:t>
      </w:r>
      <w:r>
        <w:rPr>
          <w:sz w:val="20"/>
          <w:szCs w:val="20"/>
          <w:color w:val="auto"/>
        </w:rPr>
        <w:tab/>
      </w:r>
      <w:r>
        <w:rPr>
          <w:rFonts w:ascii="Arial" w:cs="Arial" w:eastAsia="Arial" w:hAnsi="Arial"/>
          <w:sz w:val="16"/>
          <w:szCs w:val="16"/>
          <w:color w:val="auto"/>
        </w:rPr>
        <w:t>/s/ Andrew P. Blocher</w:t>
      </w:r>
    </w:p>
    <w:p>
      <w:pPr>
        <w:spacing w:after="0" w:line="1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Senior Vice President,</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440" w:firstLine="456"/>
        <w:spacing w:after="0" w:line="306" w:lineRule="auto"/>
        <w:rPr>
          <w:sz w:val="20"/>
          <w:szCs w:val="20"/>
          <w:color w:val="auto"/>
        </w:rPr>
      </w:pPr>
      <w:r>
        <w:rPr>
          <w:rFonts w:ascii="Arial" w:cs="Arial" w:eastAsia="Arial" w:hAnsi="Arial"/>
          <w:sz w:val="16"/>
          <w:szCs w:val="16"/>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10-Q/A for the period ended March 31, 2009 (the “Report”). The undersigned hereby certifies, to the best of his knowledge, that:</w:t>
      </w:r>
    </w:p>
    <w:p>
      <w:pPr>
        <w:spacing w:after="0" w:line="26"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7800" w:val="left"/>
        </w:tabs>
        <w:rPr>
          <w:sz w:val="20"/>
          <w:szCs w:val="20"/>
          <w:color w:val="auto"/>
        </w:rPr>
      </w:pPr>
      <w:r>
        <w:rPr>
          <w:rFonts w:ascii="Arial" w:cs="Arial" w:eastAsia="Arial" w:hAnsi="Arial"/>
          <w:sz w:val="18"/>
          <w:szCs w:val="18"/>
          <w:color w:val="auto"/>
        </w:rPr>
        <w:t>June 25, 2009</w:t>
      </w:r>
      <w:r>
        <w:rPr>
          <w:sz w:val="20"/>
          <w:szCs w:val="20"/>
          <w:color w:val="auto"/>
        </w:rPr>
        <w:tab/>
      </w:r>
      <w:r>
        <w:rPr>
          <w:rFonts w:ascii="Arial" w:cs="Arial" w:eastAsia="Arial" w:hAnsi="Arial"/>
          <w:sz w:val="16"/>
          <w:szCs w:val="16"/>
          <w:color w:val="auto"/>
        </w:rPr>
        <w:t>/s/ Donald C. Wood</w:t>
      </w:r>
    </w:p>
    <w:p>
      <w:pPr>
        <w:spacing w:after="0" w:line="1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undersigned, Andrew P. Blocher, the Senior Vice President and Chief Financial Officer of Federal Realty Investment Trust (the “Company”), has executed this certification in connection with the filing with the Securities and Exchange Commission of the Company’s Quarterly Report on Form 10-Q/A for the period ended March 31, 2009 (the “Report”). The undersigned hereby certifies, to the best of his knowledge, that:</w:t>
      </w:r>
    </w:p>
    <w:p>
      <w:pPr>
        <w:spacing w:after="0" w:line="26"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7720" w:val="left"/>
        </w:tabs>
        <w:rPr>
          <w:sz w:val="20"/>
          <w:szCs w:val="20"/>
          <w:color w:val="auto"/>
        </w:rPr>
      </w:pPr>
      <w:r>
        <w:rPr>
          <w:rFonts w:ascii="Arial" w:cs="Arial" w:eastAsia="Arial" w:hAnsi="Arial"/>
          <w:sz w:val="18"/>
          <w:szCs w:val="18"/>
          <w:color w:val="auto"/>
        </w:rPr>
        <w:t>June 25, 2009</w:t>
      </w:r>
      <w:r>
        <w:rPr>
          <w:sz w:val="20"/>
          <w:szCs w:val="20"/>
          <w:color w:val="auto"/>
        </w:rPr>
        <w:tab/>
      </w:r>
      <w:r>
        <w:rPr>
          <w:rFonts w:ascii="Arial" w:cs="Arial" w:eastAsia="Arial" w:hAnsi="Arial"/>
          <w:sz w:val="16"/>
          <w:szCs w:val="16"/>
          <w:color w:val="auto"/>
        </w:rPr>
        <w:t>/s/ Andrew P. Blocher</w:t>
      </w:r>
    </w:p>
    <w:p>
      <w:pPr>
        <w:spacing w:after="0" w:line="1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Senior Vice President,</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2019-12-10T00:02:05Z</dcterms:created>
  <dcterms:modified xsi:type="dcterms:W3CDTF">2019-12-10T00:02:05Z</dcterms:modified>
</cp:coreProperties>
</file>