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38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For the quarterly period ended September 30, 2018</w:t>
      </w:r>
    </w:p>
    <w:p>
      <w:pPr>
        <w:spacing w:after="0" w:line="81"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ind w:right="2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w:t>
            </w:r>
          </w:p>
        </w:tc>
        <w:tc>
          <w:tcPr>
            <w:tcW w:w="390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1096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checkmark if the registrant has elected not use the extended transition period for complying with any new</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15" w:lineRule="exact"/>
        <w:rPr>
          <w:sz w:val="24"/>
          <w:szCs w:val="24"/>
          <w:color w:val="auto"/>
        </w:rPr>
      </w:pPr>
    </w:p>
    <w:p>
      <w:pPr>
        <w:ind w:right="166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October 26, 2018 was 73,863,142.</w:t>
      </w:r>
    </w:p>
    <w:p>
      <w:pPr>
        <w:sectPr>
          <w:pgSz w:w="11900" w:h="16838" w:orient="portrait"/>
          <w:cols w:equalWidth="0" w:num="1">
            <w:col w:w="11280"/>
          </w:cols>
          <w:pgMar w:left="240" w:top="234"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QUARTER ENDED SEPTEMBER 30,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September 30, 2018 (unaudited) and December 31, 2017</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6"/>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5"/>
              </w:rPr>
              <w:t>Consolidated Statements of Comprehensive Income (unaudited) for the three and nine months ended September 30, 2018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20" w:type="dxa"/>
            <w:vAlign w:val="bottom"/>
          </w:tcPr>
          <w:p>
            <w:pPr>
              <w:ind w:left="140"/>
              <w:spacing w:after="0" w:line="190" w:lineRule="exact"/>
              <w:rPr>
                <w:sz w:val="20"/>
                <w:szCs w:val="20"/>
                <w:color w:val="auto"/>
              </w:rPr>
            </w:pPr>
            <w:r>
              <w:rPr>
                <w:rFonts w:ascii="Arial" w:cs="Arial" w:eastAsia="Arial" w:hAnsi="Arial"/>
                <w:sz w:val="18"/>
                <w:szCs w:val="18"/>
                <w:color w:val="auto"/>
              </w:rPr>
              <w:t>2017</w:t>
            </w: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2018 and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4"/>
          </w:tcPr>
          <w:p>
            <w:pPr>
              <w:jc w:val="right"/>
              <w:ind w:right="111"/>
              <w:spacing w:after="0" w:line="153"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$1,665,185 and $1,639,486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7,256,876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$60,937 and $43,393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7,760,860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Less accumulated depreciation and amortization (including $280,028 and $247,410 of consolidated variable interest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292,080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6,285,664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$445,831 and $460,372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476,057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305,483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2,403,565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184,683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3,710,777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141,448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Common shares of beneficial interest, $.01 par, 100,000,000 shares authorized, 73,859,280 and 73,090,877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2,946,555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121,668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2,433,439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6,285,664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290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82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82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620,741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229,753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217,953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633,391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126,587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119,487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79,104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23,980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26,013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159,656</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133,456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413,677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384,260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249,131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Loss from real estate partnerships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175,136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sale of real estate, net</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69,949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245,085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239,258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71,983</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246,920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241,093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7"/>
          </w:tcPr>
          <w:p>
            <w:pPr>
              <w:ind w:left="360"/>
              <w:spacing w:after="0"/>
              <w:rPr>
                <w:sz w:val="20"/>
                <w:szCs w:val="20"/>
                <w:color w:val="auto"/>
              </w:rPr>
            </w:pPr>
            <w:r>
              <w:rPr>
                <w:rFonts w:ascii="Arial" w:cs="Arial" w:eastAsia="Arial" w:hAnsi="Arial"/>
                <w:sz w:val="14"/>
                <w:szCs w:val="14"/>
                <w:b w:val="1"/>
                <w:bCs w:val="1"/>
                <w:color w:val="auto"/>
                <w:w w:val="97"/>
              </w:rPr>
              <w:t>(In thousands, except share data)</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shd w:val="clear" w:color="auto" w:fill="CCEEFF"/>
              </w:rPr>
              <w:t>BALANCE AT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73,090,877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$2,855,321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(749,367)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124,808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$ 2,391,514</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January 1, 2018 adoption of new</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accounting standard - See Note 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shd w:val="clear" w:color="auto" w:fill="CCEEFF"/>
              </w:rPr>
              <w:t>Net income, excluding $2,920 attributable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to redeemable 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187,400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189,724</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5"/>
              </w:rPr>
              <w:t>Other comprehensive income - change in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fair value of interest rate swaps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Dividends declared to common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shareholders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(221,623)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(221,623)</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Distributions declared to noncontrolling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interests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Common shares issued,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612,727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77,365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77,371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plan</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13,750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Share-based compensation expense, net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forfeitures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Conversion and redemption of OP units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3,924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BALANCE AT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73,859,280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$2,946,555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(795,649)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121,668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$ 2,433,439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245,085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159,656</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(69,949)</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(5,182)</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(4,627)</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12,619</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3,138</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364,716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339,471</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(437,772)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(217,437)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(335,666)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142,711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127,538</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partnership formation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(11,295)</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mortgage and other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(709,400)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(repayment) borrowings under revolving credit facility, net of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41,500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399,454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 of mortgages and capital leases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(54,844)</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51,189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preferred shares, net of costs</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145,456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(210,845)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(12,882)</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368,124</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69,601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34,849</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33,044</w:t>
            </w:r>
          </w:p>
        </w:tc>
      </w:tr>
      <w:tr>
        <w:trPr>
          <w:trHeight w:val="27"/>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6" w:right="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September 30, 2018, we owned or had a majority interest in community and neighborhood shopping centers and mixed-use properties which are operated as 105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2017,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2018 are not necessarily indicative of the results that may be expected for the full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2017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30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628"/>
        </w:trPr>
        <w:tc>
          <w:tcPr>
            <w:tcW w:w="6620" w:type="dxa"/>
            <w:vAlign w:val="bottom"/>
            <w:gridSpan w:val="5"/>
          </w:tcPr>
          <w:p>
            <w:pPr>
              <w:spacing w:after="0"/>
              <w:rPr>
                <w:sz w:val="20"/>
                <w:szCs w:val="20"/>
                <w:color w:val="auto"/>
              </w:rPr>
            </w:pPr>
            <w:r>
              <w:rPr>
                <w:rFonts w:ascii="Arial" w:cs="Arial" w:eastAsia="Arial" w:hAnsi="Arial"/>
                <w:sz w:val="18"/>
                <w:szCs w:val="18"/>
                <w:b w:val="1"/>
                <w:bCs w:val="1"/>
                <w:color w:val="auto"/>
              </w:rPr>
              <w:t>Recently Adopted and Issued Accounting Pronouncements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60"/>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2300" w:type="dxa"/>
            <w:vAlign w:val="bottom"/>
            <w:gridSpan w:val="3"/>
          </w:tcPr>
          <w:p>
            <w:pPr>
              <w:ind w:left="40"/>
              <w:spacing w:after="0"/>
              <w:rPr>
                <w:sz w:val="20"/>
                <w:szCs w:val="20"/>
                <w:color w:val="auto"/>
              </w:rPr>
            </w:pPr>
            <w:r>
              <w:rPr>
                <w:rFonts w:ascii="Arial" w:cs="Arial" w:eastAsia="Arial" w:hAnsi="Arial"/>
                <w:sz w:val="18"/>
                <w:szCs w:val="18"/>
                <w:b w:val="1"/>
                <w:bCs w:val="1"/>
                <w:color w:val="auto"/>
              </w:rPr>
              <w:t>Standard</w:t>
            </w:r>
          </w:p>
        </w:tc>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Recently Adopted:</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ind w:left="40"/>
        <w:spacing w:after="0" w:line="286" w:lineRule="auto"/>
        <w:rPr>
          <w:sz w:val="20"/>
          <w:szCs w:val="20"/>
          <w:color w:val="auto"/>
        </w:rPr>
      </w:pPr>
      <w:r>
        <w:rPr>
          <w:rFonts w:ascii="Arial" w:cs="Arial" w:eastAsia="Arial" w:hAnsi="Arial"/>
          <w:sz w:val="17"/>
          <w:szCs w:val="17"/>
          <w:color w:val="auto"/>
        </w:rPr>
        <w:t>Revenue from Contracts with Customers (Topic 606) and related updates:</w:t>
      </w:r>
    </w:p>
    <w:p>
      <w:pPr>
        <w:spacing w:after="0" w:line="166" w:lineRule="exact"/>
        <w:rPr>
          <w:sz w:val="20"/>
          <w:szCs w:val="20"/>
          <w:color w:val="auto"/>
        </w:rPr>
      </w:pPr>
    </w:p>
    <w:p>
      <w:pPr>
        <w:ind w:left="40" w:right="580"/>
        <w:spacing w:after="0" w:line="279" w:lineRule="auto"/>
        <w:rPr>
          <w:sz w:val="20"/>
          <w:szCs w:val="20"/>
          <w:color w:val="auto"/>
        </w:rPr>
      </w:pPr>
      <w:r>
        <w:rPr>
          <w:rFonts w:ascii="Arial" w:cs="Arial" w:eastAsia="Arial" w:hAnsi="Arial"/>
          <w:sz w:val="17"/>
          <w:szCs w:val="17"/>
          <w:color w:val="auto"/>
        </w:rPr>
        <w:t xml:space="preserve">ASU 2014-09, May 2014,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171" w:lineRule="exact"/>
        <w:rPr>
          <w:sz w:val="20"/>
          <w:szCs w:val="20"/>
          <w:color w:val="auto"/>
        </w:rPr>
      </w:pPr>
    </w:p>
    <w:p>
      <w:pPr>
        <w:ind w:left="40" w:right="520"/>
        <w:spacing w:after="0" w:line="293" w:lineRule="auto"/>
        <w:rPr>
          <w:sz w:val="20"/>
          <w:szCs w:val="20"/>
          <w:color w:val="auto"/>
        </w:rPr>
      </w:pPr>
      <w:r>
        <w:rPr>
          <w:rFonts w:ascii="Arial" w:cs="Arial" w:eastAsia="Arial" w:hAnsi="Arial"/>
          <w:sz w:val="16"/>
          <w:szCs w:val="16"/>
          <w:color w:val="auto"/>
        </w:rPr>
        <w:t xml:space="preserve">ASU 2015-14, August 2015, </w:t>
      </w:r>
      <w:r>
        <w:rPr>
          <w:rFonts w:ascii="Arial" w:cs="Arial" w:eastAsia="Arial" w:hAnsi="Arial"/>
          <w:sz w:val="16"/>
          <w:szCs w:val="16"/>
          <w:i w:val="1"/>
          <w:iCs w:val="1"/>
          <w:color w:val="auto"/>
        </w:rPr>
        <w:t>Revenue from Contracts with Customers: Deferral of the Effective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2016-08,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2016,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versus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Agent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Considerations</w:t>
      </w:r>
    </w:p>
    <w:p>
      <w:pPr>
        <w:spacing w:after="0" w:line="211" w:lineRule="exact"/>
        <w:rPr>
          <w:sz w:val="20"/>
          <w:szCs w:val="20"/>
          <w:color w:val="auto"/>
        </w:rPr>
      </w:pPr>
    </w:p>
    <w:p>
      <w:pPr>
        <w:ind w:left="40" w:right="540"/>
        <w:spacing w:after="0" w:line="271" w:lineRule="auto"/>
        <w:rPr>
          <w:sz w:val="20"/>
          <w:szCs w:val="20"/>
          <w:color w:val="auto"/>
        </w:rPr>
      </w:pPr>
      <w:r>
        <w:rPr>
          <w:rFonts w:ascii="Arial" w:cs="Arial" w:eastAsia="Arial" w:hAnsi="Arial"/>
          <w:sz w:val="17"/>
          <w:szCs w:val="17"/>
          <w:color w:val="auto"/>
        </w:rPr>
        <w:t xml:space="preserve">ASU 2016-10, April 2016,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Identifying Performance Obligations and Licensing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2016-12, May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Narrow-Scope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Improvements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Practical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Expedients</w:t>
      </w:r>
    </w:p>
    <w:p>
      <w:pPr>
        <w:spacing w:after="0" w:line="211" w:lineRule="exact"/>
        <w:rPr>
          <w:sz w:val="20"/>
          <w:szCs w:val="20"/>
          <w:color w:val="auto"/>
        </w:rPr>
      </w:pPr>
    </w:p>
    <w:p>
      <w:pPr>
        <w:ind w:left="40" w:right="840"/>
        <w:spacing w:after="0" w:line="285" w:lineRule="auto"/>
        <w:rPr>
          <w:sz w:val="20"/>
          <w:szCs w:val="20"/>
          <w:color w:val="auto"/>
        </w:rPr>
      </w:pPr>
      <w:r>
        <w:rPr>
          <w:rFonts w:ascii="Arial" w:cs="Arial" w:eastAsia="Arial" w:hAnsi="Arial"/>
          <w:sz w:val="16"/>
          <w:szCs w:val="16"/>
          <w:color w:val="auto"/>
        </w:rPr>
        <w:t xml:space="preserve">ASU 2016-20, December 2016, </w:t>
      </w:r>
      <w:r>
        <w:rPr>
          <w:rFonts w:ascii="Arial" w:cs="Arial" w:eastAsia="Arial" w:hAnsi="Arial"/>
          <w:sz w:val="16"/>
          <w:szCs w:val="16"/>
          <w:i w:val="1"/>
          <w:iCs w:val="1"/>
          <w:color w:val="auto"/>
        </w:rPr>
        <w:t>Revenue from Contracts with Customers:</w:t>
      </w:r>
    </w:p>
    <w:p>
      <w:pPr>
        <w:spacing w:after="0" w:line="2" w:lineRule="exact"/>
        <w:rPr>
          <w:sz w:val="20"/>
          <w:szCs w:val="20"/>
          <w:color w:val="auto"/>
        </w:rPr>
      </w:pPr>
    </w:p>
    <w:p>
      <w:pPr>
        <w:ind w:left="40" w:right="860"/>
        <w:spacing w:after="0" w:line="302" w:lineRule="auto"/>
        <w:rPr>
          <w:sz w:val="20"/>
          <w:szCs w:val="20"/>
          <w:color w:val="auto"/>
        </w:rPr>
      </w:pPr>
      <w:r>
        <w:rPr>
          <w:rFonts w:ascii="Arial" w:cs="Arial" w:eastAsia="Arial" w:hAnsi="Arial"/>
          <w:sz w:val="16"/>
          <w:szCs w:val="16"/>
          <w:i w:val="1"/>
          <w:iCs w:val="1"/>
          <w:color w:val="auto"/>
        </w:rPr>
        <w:t>Technical Corrections and Improvements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4300" w:val="left"/>
          <w:tab w:leader="none" w:pos="5640" w:val="left"/>
        </w:tabs>
        <w:rPr>
          <w:sz w:val="20"/>
          <w:szCs w:val="20"/>
          <w:color w:val="auto"/>
        </w:rPr>
      </w:pPr>
      <w:r>
        <w:rPr>
          <w:rFonts w:ascii="Arial" w:cs="Arial" w:eastAsia="Arial" w:hAnsi="Arial"/>
          <w:sz w:val="18"/>
          <w:szCs w:val="18"/>
          <w:color w:val="auto"/>
        </w:rPr>
        <w:t>In May 2014, the the FASB issued ASU 2014-09,</w:t>
      </w:r>
      <w:r>
        <w:rPr>
          <w:sz w:val="20"/>
          <w:szCs w:val="20"/>
          <w:color w:val="auto"/>
        </w:rPr>
        <w:tab/>
      </w:r>
      <w:r>
        <w:rPr>
          <w:rFonts w:ascii="Arial" w:cs="Arial" w:eastAsia="Arial" w:hAnsi="Arial"/>
          <w:sz w:val="18"/>
          <w:szCs w:val="18"/>
          <w:color w:val="auto"/>
        </w:rPr>
        <w:t>January 2018</w:t>
      </w:r>
      <w:r>
        <w:rPr>
          <w:sz w:val="20"/>
          <w:szCs w:val="20"/>
          <w:color w:val="auto"/>
        </w:rPr>
        <w:tab/>
      </w:r>
      <w:r>
        <w:rPr>
          <w:rFonts w:ascii="Arial" w:cs="Arial" w:eastAsia="Arial" w:hAnsi="Arial"/>
          <w:sz w:val="16"/>
          <w:szCs w:val="16"/>
          <w:color w:val="auto"/>
        </w:rPr>
        <w:t>We implemented the new revenue recognition</w:t>
      </w:r>
    </w:p>
    <w:p>
      <w:pPr>
        <w:spacing w:after="0" w:line="23"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"Revenue from Contracts with Customers." ASU 2014-</w:t>
      </w:r>
      <w:r>
        <w:rPr>
          <w:sz w:val="20"/>
          <w:szCs w:val="20"/>
          <w:color w:val="auto"/>
        </w:rPr>
        <w:tab/>
      </w:r>
      <w:r>
        <w:rPr>
          <w:rFonts w:ascii="Arial" w:cs="Arial" w:eastAsia="Arial" w:hAnsi="Arial"/>
          <w:sz w:val="16"/>
          <w:szCs w:val="16"/>
          <w:color w:val="auto"/>
        </w:rPr>
        <w:t>guidance retrospectively with the cumulative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09 as amended and interpreted by ASU 2015-14, ASU</w:t>
      </w:r>
      <w:r>
        <w:rPr>
          <w:sz w:val="20"/>
          <w:szCs w:val="20"/>
          <w:color w:val="auto"/>
        </w:rPr>
        <w:tab/>
      </w:r>
      <w:r>
        <w:rPr>
          <w:rFonts w:ascii="Arial" w:cs="Arial" w:eastAsia="Arial" w:hAnsi="Arial"/>
          <w:sz w:val="16"/>
          <w:szCs w:val="16"/>
          <w:color w:val="auto"/>
        </w:rPr>
        <w:t>effect recognized in accumulated dividends 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2016-08, ASU 2016-10, ASU 2016-12, and ASU 2016-</w:t>
      </w:r>
      <w:r>
        <w:rPr>
          <w:sz w:val="20"/>
          <w:szCs w:val="20"/>
          <w:color w:val="auto"/>
        </w:rPr>
        <w:tab/>
      </w:r>
      <w:r>
        <w:rPr>
          <w:rFonts w:ascii="Arial" w:cs="Arial" w:eastAsia="Arial" w:hAnsi="Arial"/>
          <w:sz w:val="16"/>
          <w:szCs w:val="16"/>
          <w:color w:val="auto"/>
        </w:rPr>
        <w:t>excess of net income at the date of initial</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20, supersedes nearly all existing revenue recognition</w:t>
      </w:r>
      <w:r>
        <w:rPr>
          <w:sz w:val="20"/>
          <w:szCs w:val="20"/>
          <w:color w:val="auto"/>
        </w:rPr>
        <w:tab/>
      </w:r>
      <w:r>
        <w:rPr>
          <w:rFonts w:ascii="Arial" w:cs="Arial" w:eastAsia="Arial" w:hAnsi="Arial"/>
          <w:sz w:val="16"/>
          <w:szCs w:val="16"/>
          <w:color w:val="auto"/>
        </w:rPr>
        <w:t>application. The primary impact relates to</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guidance under GAAP and replaces it with a core</w:t>
      </w:r>
      <w:r>
        <w:rPr>
          <w:sz w:val="20"/>
          <w:szCs w:val="20"/>
          <w:color w:val="auto"/>
        </w:rPr>
        <w:tab/>
      </w:r>
      <w:r>
        <w:rPr>
          <w:rFonts w:ascii="Arial" w:cs="Arial" w:eastAsia="Arial" w:hAnsi="Arial"/>
          <w:sz w:val="16"/>
          <w:szCs w:val="16"/>
          <w:color w:val="auto"/>
        </w:rPr>
        <w:t>condominium sales. Most of our revenue is</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revenue recognition principle, that an entity will</w:t>
      </w:r>
      <w:r>
        <w:rPr>
          <w:sz w:val="20"/>
          <w:szCs w:val="20"/>
          <w:color w:val="auto"/>
        </w:rPr>
        <w:tab/>
      </w:r>
      <w:r>
        <w:rPr>
          <w:rFonts w:ascii="Arial" w:cs="Arial" w:eastAsia="Arial" w:hAnsi="Arial"/>
          <w:sz w:val="16"/>
          <w:szCs w:val="16"/>
          <w:color w:val="auto"/>
        </w:rPr>
        <w:t>accounted for under the leasing standard, and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recognize revenue when it transfers control of promised</w:t>
      </w:r>
      <w:r>
        <w:rPr>
          <w:sz w:val="20"/>
          <w:szCs w:val="20"/>
          <w:color w:val="auto"/>
        </w:rPr>
        <w:tab/>
      </w:r>
      <w:r>
        <w:rPr>
          <w:rFonts w:ascii="Arial" w:cs="Arial" w:eastAsia="Arial" w:hAnsi="Arial"/>
          <w:sz w:val="16"/>
          <w:szCs w:val="16"/>
          <w:color w:val="auto"/>
        </w:rPr>
        <w:t>therefore is not subject to this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goods or services to customers in an amount that reflects</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the consideration to which the entity expects to be</w:t>
      </w:r>
      <w:r>
        <w:rPr>
          <w:sz w:val="20"/>
          <w:szCs w:val="20"/>
          <w:color w:val="auto"/>
        </w:rPr>
        <w:tab/>
      </w:r>
      <w:r>
        <w:rPr>
          <w:rFonts w:ascii="Arial" w:cs="Arial" w:eastAsia="Arial" w:hAnsi="Arial"/>
          <w:sz w:val="16"/>
          <w:szCs w:val="16"/>
          <w:color w:val="auto"/>
        </w:rPr>
        <w:t>In 2017, gains on contracted condominium</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entitled in exchange for those goods or services, and</w:t>
      </w:r>
      <w:r>
        <w:rPr>
          <w:sz w:val="20"/>
          <w:szCs w:val="20"/>
          <w:color w:val="auto"/>
        </w:rPr>
        <w:tab/>
      </w:r>
      <w:r>
        <w:rPr>
          <w:rFonts w:ascii="Arial" w:cs="Arial" w:eastAsia="Arial" w:hAnsi="Arial"/>
          <w:sz w:val="15"/>
          <w:szCs w:val="15"/>
          <w:color w:val="auto"/>
        </w:rPr>
        <w:t>sales were recognized using the percentage-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creates a five-step model for revenue recognition in</w:t>
      </w:r>
      <w:r>
        <w:rPr>
          <w:sz w:val="20"/>
          <w:szCs w:val="20"/>
          <w:color w:val="auto"/>
        </w:rPr>
        <w:tab/>
      </w:r>
      <w:r>
        <w:rPr>
          <w:rFonts w:ascii="Arial" w:cs="Arial" w:eastAsia="Arial" w:hAnsi="Arial"/>
          <w:sz w:val="16"/>
          <w:szCs w:val="16"/>
          <w:color w:val="auto"/>
        </w:rPr>
        <w:t>of-completion method, with the gain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accordance with this principle. ASU 2014-09 also</w:t>
      </w:r>
      <w:r>
        <w:rPr>
          <w:sz w:val="20"/>
          <w:szCs w:val="20"/>
          <w:color w:val="auto"/>
        </w:rPr>
        <w:tab/>
      </w:r>
      <w:r>
        <w:rPr>
          <w:rFonts w:ascii="Arial" w:cs="Arial" w:eastAsia="Arial" w:hAnsi="Arial"/>
          <w:sz w:val="16"/>
          <w:szCs w:val="16"/>
          <w:color w:val="auto"/>
        </w:rPr>
        <w:t>recognized once certain criteria were met 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requires new disclosures in both interim and annual</w:t>
      </w:r>
      <w:r>
        <w:rPr>
          <w:sz w:val="20"/>
          <w:szCs w:val="20"/>
          <w:color w:val="auto"/>
        </w:rPr>
        <w:tab/>
      </w:r>
      <w:r>
        <w:rPr>
          <w:rFonts w:ascii="Arial" w:cs="Arial" w:eastAsia="Arial" w:hAnsi="Arial"/>
          <w:sz w:val="16"/>
          <w:szCs w:val="16"/>
          <w:color w:val="auto"/>
        </w:rPr>
        <w:t>advance of legal closing. Under the new</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reporting periods. The guidance in ASU 2014-09 does</w:t>
      </w:r>
      <w:r>
        <w:rPr>
          <w:sz w:val="20"/>
          <w:szCs w:val="20"/>
          <w:color w:val="auto"/>
        </w:rPr>
        <w:tab/>
      </w:r>
      <w:r>
        <w:rPr>
          <w:rFonts w:ascii="Arial" w:cs="Arial" w:eastAsia="Arial" w:hAnsi="Arial"/>
          <w:sz w:val="16"/>
          <w:szCs w:val="16"/>
          <w:color w:val="auto"/>
        </w:rPr>
        <w:t>guidance, condominium sale gains are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not apply to contracts within the scope of ASC 840,</w:t>
      </w:r>
      <w:r>
        <w:rPr>
          <w:sz w:val="20"/>
          <w:szCs w:val="20"/>
          <w:color w:val="auto"/>
        </w:rPr>
        <w:tab/>
      </w:r>
      <w:r>
        <w:rPr>
          <w:rFonts w:ascii="Arial" w:cs="Arial" w:eastAsia="Arial" w:hAnsi="Arial"/>
          <w:sz w:val="16"/>
          <w:szCs w:val="16"/>
          <w:color w:val="auto"/>
        </w:rPr>
        <w:t>recognized as the condominium units are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Leases.</w:t>
      </w:r>
      <w:r>
        <w:rPr>
          <w:sz w:val="20"/>
          <w:szCs w:val="20"/>
          <w:color w:val="auto"/>
        </w:rPr>
        <w:tab/>
      </w:r>
      <w:r>
        <w:rPr>
          <w:rFonts w:ascii="Arial" w:cs="Arial" w:eastAsia="Arial" w:hAnsi="Arial"/>
          <w:sz w:val="17"/>
          <w:szCs w:val="17"/>
          <w:color w:val="auto"/>
        </w:rPr>
        <w:t>legally sold, which is typically upon closing.</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$5.4 million of condominium gains (net of</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2016-08 clarifies how to identify the unit of</w:t>
      </w:r>
      <w:r>
        <w:rPr>
          <w:sz w:val="20"/>
          <w:szCs w:val="20"/>
          <w:color w:val="auto"/>
        </w:rPr>
        <w:tab/>
      </w:r>
      <w:r>
        <w:rPr>
          <w:rFonts w:ascii="Arial" w:cs="Arial" w:eastAsia="Arial" w:hAnsi="Arial"/>
          <w:sz w:val="16"/>
          <w:szCs w:val="16"/>
          <w:color w:val="auto"/>
        </w:rPr>
        <w:t>$1.4 million of income taxes) recorded under</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accounting for the principal versus agent evaluation, how</w:t>
      </w:r>
      <w:r>
        <w:rPr>
          <w:sz w:val="20"/>
          <w:szCs w:val="20"/>
          <w:color w:val="auto"/>
        </w:rPr>
        <w:tab/>
      </w:r>
      <w:r>
        <w:rPr>
          <w:rFonts w:ascii="Arial" w:cs="Arial" w:eastAsia="Arial" w:hAnsi="Arial"/>
          <w:sz w:val="16"/>
          <w:szCs w:val="16"/>
          <w:color w:val="auto"/>
        </w:rPr>
        <w:t>the percentage-of-completion method in 2017</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to apply the control principle to certain types of</w:t>
      </w:r>
      <w:r>
        <w:rPr>
          <w:sz w:val="20"/>
          <w:szCs w:val="20"/>
          <w:color w:val="auto"/>
        </w:rPr>
        <w:tab/>
      </w:r>
      <w:r>
        <w:rPr>
          <w:rFonts w:ascii="Arial" w:cs="Arial" w:eastAsia="Arial" w:hAnsi="Arial"/>
          <w:sz w:val="16"/>
          <w:szCs w:val="16"/>
          <w:color w:val="auto"/>
        </w:rPr>
        <w:t>were reversed through opening accumulated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arrangements, such as service transactions, and reframed</w:t>
      </w:r>
      <w:r>
        <w:rPr>
          <w:sz w:val="20"/>
          <w:szCs w:val="20"/>
          <w:color w:val="auto"/>
        </w:rPr>
        <w:tab/>
      </w:r>
      <w:r>
        <w:rPr>
          <w:rFonts w:ascii="Arial" w:cs="Arial" w:eastAsia="Arial" w:hAnsi="Arial"/>
          <w:sz w:val="16"/>
          <w:szCs w:val="16"/>
          <w:color w:val="auto"/>
        </w:rPr>
        <w:t>dividends in excess of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indicators in the guidance to focus on evidence that</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an entity is acting as a principal rather than as an agent.</w:t>
      </w:r>
      <w:r>
        <w:rPr>
          <w:sz w:val="20"/>
          <w:szCs w:val="20"/>
          <w:color w:val="auto"/>
        </w:rPr>
        <w:tab/>
      </w:r>
      <w:r>
        <w:rPr>
          <w:rFonts w:ascii="Arial" w:cs="Arial" w:eastAsia="Arial" w:hAnsi="Arial"/>
          <w:sz w:val="16"/>
          <w:szCs w:val="16"/>
          <w:color w:val="auto"/>
        </w:rPr>
        <w:t>With the exception of condominium sales,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adoption of the standard did not have a</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2016-10 clarifies the existing guidance on</w:t>
      </w:r>
      <w:r>
        <w:rPr>
          <w:sz w:val="20"/>
          <w:szCs w:val="20"/>
          <w:color w:val="auto"/>
        </w:rPr>
        <w:tab/>
      </w:r>
      <w:r>
        <w:rPr>
          <w:rFonts w:ascii="Arial" w:cs="Arial" w:eastAsia="Arial" w:hAnsi="Arial"/>
          <w:sz w:val="16"/>
          <w:szCs w:val="16"/>
          <w:color w:val="auto"/>
        </w:rPr>
        <w:t>significant impact on our consolidated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identifying performance obligations and licensing</w:t>
      </w:r>
      <w:r>
        <w:rPr>
          <w:sz w:val="20"/>
          <w:szCs w:val="20"/>
          <w:color w:val="auto"/>
        </w:rPr>
        <w:tab/>
      </w:r>
      <w:r>
        <w:rPr>
          <w:rFonts w:ascii="Arial" w:cs="Arial" w:eastAsia="Arial" w:hAnsi="Arial"/>
          <w:sz w:val="16"/>
          <w:szCs w:val="16"/>
          <w:color w:val="auto"/>
        </w:rPr>
        <w:t>financial statements, with an additional</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implementation.</w:t>
      </w:r>
      <w:r>
        <w:rPr>
          <w:sz w:val="20"/>
          <w:szCs w:val="20"/>
          <w:color w:val="auto"/>
        </w:rPr>
        <w:tab/>
      </w:r>
      <w:r>
        <w:rPr>
          <w:rFonts w:ascii="Arial" w:cs="Arial" w:eastAsia="Arial" w:hAnsi="Arial"/>
          <w:sz w:val="17"/>
          <w:szCs w:val="17"/>
          <w:color w:val="auto"/>
        </w:rPr>
        <w:t>cumulative effect of $0.6 million reflected in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opening accumulated dividends in excess of</w:t>
      </w:r>
    </w:p>
    <w:p>
      <w:pPr>
        <w:spacing w:after="0" w:line="32"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2016-12 adds practical expedients related to the</w:t>
      </w:r>
      <w:r>
        <w:rPr>
          <w:sz w:val="20"/>
          <w:szCs w:val="20"/>
          <w:color w:val="auto"/>
        </w:rPr>
        <w:tab/>
      </w:r>
      <w:r>
        <w:rPr>
          <w:rFonts w:ascii="Arial" w:cs="Arial" w:eastAsia="Arial" w:hAnsi="Arial"/>
          <w:sz w:val="16"/>
          <w:szCs w:val="16"/>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 for contract modifications and further defines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completed contract, clarifies the objective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collectability assessment and how revenue is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collectability is not probable,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when non-cash considerations should be measured.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ASU 2016-20 corrects or improves guidance in thirteen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narrowly focused aspects of the guidance.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standard allows for either "full retrospective"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adoption, meaning the standard is applied to all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periods presented, or "modified retrospective" adoption,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meaning the cumulative impact of applying the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recognized in accumulated dividends in excess of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on the date of application.</w:t>
      </w:r>
    </w:p>
    <w:p>
      <w:pPr>
        <w:spacing w:after="0" w:line="1551" w:lineRule="exact"/>
        <w:rPr>
          <w:sz w:val="20"/>
          <w:szCs w:val="20"/>
          <w:color w:val="auto"/>
        </w:rPr>
      </w:pPr>
    </w:p>
    <w:p>
      <w:pPr>
        <w:sectPr>
          <w:pgSz w:w="11900" w:h="16838" w:orient="portrait"/>
          <w:cols w:equalWidth="0" w:num="2">
            <w:col w:w="2060" w:space="260"/>
            <w:col w:w="9040"/>
          </w:cols>
          <w:pgMar w:left="240" w:top="118" w:right="299" w:bottom="1440" w:gutter="0" w:footer="0" w:header="0"/>
          <w:type w:val="continuous"/>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118" w:right="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2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8"/>
                <w:szCs w:val="18"/>
                <w:color w:val="auto"/>
                <w:w w:val="99"/>
              </w:rPr>
              <w:t>ASU 2016-15, August 2016,</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provides classification guidance for eight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w w:val="95"/>
              </w:rPr>
              <w:t>This standard did not have an impact on our</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Statement of Cash Flows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specific topics including debt extinguishment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(Topic 230): Classification</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2"/>
              </w:rPr>
              <w:t>contingent consideration payments made after a business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 Certain Cash Receipts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combination, and distributions received from equity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and Cash Payments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method investees.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7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ASU 2016-18, November</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requires that the statement of cash flows</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rPr>
              <w:t>Prior to the adoption of this standard, "net</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Statement of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5"/>
              </w:rPr>
              <w:t>explain the change during the period in the total of cash,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provided by operating activities" was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Flows (Topic 203) -</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cash equivalents, and amounts generally described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$339.6 million and "net cash used in investing</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Restricted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restricted cash or cash equivalents. Amounts generally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activities" was $708.3 million, for the nine</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7"/>
              </w:rPr>
              <w:t>described as restricted cash and equivalents should be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3"/>
              </w:rPr>
              <w:t>months ended September 30, 2017. After the</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included with cash and cash equivalents when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adoption, "net cash provided by operating</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reconciling the beginning and end of period 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activities" was $339.5 million and "net cash</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amounts on the statement of cash flows.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used in investing activities" was $709.4</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million, for the nine months ended September</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30, 2017. The reclassification is reflected in</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"increase in cash, cash equivalents, and</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restricted cash" in the Consolidated</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Statements of Cash Flows. See additional</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disclosures in "Consolidated Statement of</w:t>
            </w: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Flows - Supplemental Disclosures."</w:t>
            </w:r>
          </w:p>
        </w:tc>
      </w:tr>
    </w:tbl>
    <w:p>
      <w:pPr>
        <w:spacing w:after="0" w:line="200" w:lineRule="exact"/>
        <w:rPr>
          <w:sz w:val="20"/>
          <w:szCs w:val="20"/>
          <w:color w:val="auto"/>
        </w:rPr>
      </w:pPr>
    </w:p>
    <w:p>
      <w:pPr>
        <w:sectPr>
          <w:pgSz w:w="11900" w:h="16838" w:orient="portrait"/>
          <w:cols w:equalWidth="0" w:num="1">
            <w:col w:w="11360"/>
          </w:cols>
          <w:pgMar w:left="240" w:top="126" w:right="299" w:bottom="1440" w:gutter="0" w:footer="0" w:header="0"/>
        </w:sectPr>
      </w:pPr>
    </w:p>
    <w:p>
      <w:pPr>
        <w:spacing w:after="0" w:line="2"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 xml:space="preserve">ASU 2017-05, February 2017, </w:t>
      </w:r>
      <w:r>
        <w:rPr>
          <w:rFonts w:ascii="Arial" w:cs="Arial" w:eastAsia="Arial" w:hAnsi="Arial"/>
          <w:sz w:val="16"/>
          <w:szCs w:val="16"/>
          <w:i w:val="1"/>
          <w:iCs w:val="1"/>
          <w:color w:val="auto"/>
        </w:rPr>
        <w:t>Other Income - Gains</w:t>
      </w:r>
      <w:r>
        <w:rPr>
          <w:rFonts w:ascii="Arial" w:cs="Arial" w:eastAsia="Arial" w:hAnsi="Arial"/>
          <w:sz w:val="16"/>
          <w:szCs w:val="16"/>
          <w:color w:val="auto"/>
        </w:rPr>
        <w:t xml:space="preserve"> </w:t>
      </w:r>
      <w:r>
        <w:rPr>
          <w:rFonts w:ascii="Arial" w:cs="Arial" w:eastAsia="Arial" w:hAnsi="Arial"/>
          <w:sz w:val="16"/>
          <w:szCs w:val="16"/>
          <w:i w:val="1"/>
          <w:iCs w:val="1"/>
          <w:color w:val="auto"/>
        </w:rPr>
        <w:t>and Losses from the Recognition of Nonfinancial Assets (Subtopic 610-20): Clarifying the Scope of Asset Derecognition Guidance and Accounting for Partial Sales of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right="120"/>
        <w:spacing w:after="0" w:line="288" w:lineRule="auto"/>
        <w:rPr>
          <w:sz w:val="20"/>
          <w:szCs w:val="20"/>
          <w:color w:val="auto"/>
        </w:rPr>
      </w:pPr>
      <w:r>
        <w:rPr>
          <w:rFonts w:ascii="Arial" w:cs="Arial" w:eastAsia="Arial" w:hAnsi="Arial"/>
          <w:sz w:val="16"/>
          <w:szCs w:val="16"/>
          <w:color w:val="auto"/>
        </w:rPr>
        <w:t xml:space="preserve">ASU 2017-09, May 2017, </w:t>
      </w:r>
      <w:r>
        <w:rPr>
          <w:rFonts w:ascii="Arial" w:cs="Arial" w:eastAsia="Arial" w:hAnsi="Arial"/>
          <w:sz w:val="16"/>
          <w:szCs w:val="16"/>
          <w:i w:val="1"/>
          <w:iCs w:val="1"/>
          <w:color w:val="auto"/>
        </w:rPr>
        <w:t>Compensation-Stock Compensation (Topic 718):</w:t>
      </w:r>
    </w:p>
    <w:p>
      <w:pPr>
        <w:ind w:left="40" w:right="500"/>
        <w:spacing w:after="0" w:line="323" w:lineRule="auto"/>
        <w:rPr>
          <w:sz w:val="20"/>
          <w:szCs w:val="20"/>
          <w:color w:val="auto"/>
        </w:rPr>
      </w:pPr>
      <w:r>
        <w:rPr>
          <w:rFonts w:ascii="Arial" w:cs="Arial" w:eastAsia="Arial" w:hAnsi="Arial"/>
          <w:sz w:val="16"/>
          <w:szCs w:val="16"/>
          <w:i w:val="1"/>
          <w:iCs w:val="1"/>
          <w:color w:val="auto"/>
        </w:rPr>
        <w:t>Scope of Modification Accounting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This ASU clarifies that ASC 610-20 applies to all</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rPr>
              <w:t>The new guidance impacts the gain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nonfinancial assets (including real estate) for which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87"/>
              </w:rPr>
              <w:t>recognized when a real estate asset is sold to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counterparty is not a customer and also clarifies that all</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non-customer and a noncontrolling interest is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4"/>
              </w:rPr>
              <w:t>businesses are derecognized using the deconsolidation</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retained.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guidance. Additionally, it defines an insubstance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4"/>
              </w:rPr>
              <w:t>The adoption of this standard did not have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nonfinancial asset as a financial asset that is promised to</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significant impact on our consolidated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a counterparty in a contract in which substantially all of</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financial statements.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8"/>
              </w:rPr>
              <w:t>the fair value of the assets promised in the contract is</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concentrated in nonfinancial assets, which excludes cash</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or cash equivalents and liabilities.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w w:val="95"/>
              </w:rPr>
              <w:t>Under the current guidance, a partial sale is recognized</w:t>
            </w: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and carryover basis is used for the retained interest,</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however, the new guidance eliminates the use of</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7"/>
              </w:rPr>
              <w:t>carryover basis and generally requires a full gain to be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recognized for prospective disposals of nonfinancial</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The ASU clarifies when changes to the terms or</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w w:val="91"/>
              </w:rPr>
              <w:t>The adoption of this standard did not have an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conditions of a share-based payment award must be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6"/>
              </w:rPr>
              <w:t>impact to our financial statements, as there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accounted for as modifications. Under the new guidance,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have been no modifications to awards for the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 entity will not apply modification accounting if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nine months ended September 30, 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awards' fair value, vesting conditions, and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classification of the award as equity or a liability are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3"/>
              </w:rPr>
              <w:t>same immediately before and after the change. The new</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guidance is applied prospectively to awards granted or</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modified after the adoption date.</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120" w:space="200"/>
            <w:col w:w="9040"/>
          </w:cols>
          <w:pgMar w:left="24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26"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Not Yet Adopted:</w:t>
      </w:r>
    </w:p>
    <w:p>
      <w:pPr>
        <w:spacing w:after="0" w:line="2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Leases (Topic 842) and related updates: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2016-02,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February 2016,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Leases (Topic 842)</w:t>
      </w:r>
    </w:p>
    <w:p>
      <w:pPr>
        <w:spacing w:after="0" w:line="196"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 xml:space="preserve">ASU 2018-10, July 2018,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p>
    <w:p>
      <w:pPr>
        <w:spacing w:after="0" w:line="176" w:lineRule="exact"/>
        <w:rPr>
          <w:sz w:val="20"/>
          <w:szCs w:val="20"/>
          <w:color w:val="auto"/>
        </w:rPr>
      </w:pPr>
    </w:p>
    <w:p>
      <w:pPr>
        <w:jc w:val="both"/>
        <w:ind w:left="120" w:right="240" w:hanging="9"/>
        <w:spacing w:after="0" w:line="285" w:lineRule="auto"/>
        <w:rPr>
          <w:sz w:val="20"/>
          <w:szCs w:val="20"/>
          <w:color w:val="auto"/>
        </w:rPr>
      </w:pPr>
      <w:r>
        <w:rPr>
          <w:rFonts w:ascii="Arial" w:cs="Arial" w:eastAsia="Arial" w:hAnsi="Arial"/>
          <w:sz w:val="16"/>
          <w:szCs w:val="16"/>
          <w:color w:val="auto"/>
        </w:rPr>
        <w:t xml:space="preserve">ASU 2018-11, July 2018,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97"/>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This ASU significantly changes the accounting for leases by</w:t>
            </w: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January 2019</w:t>
            </w:r>
          </w:p>
        </w:tc>
        <w:tc>
          <w:tcPr>
            <w:tcW w:w="3400" w:type="dxa"/>
            <w:vAlign w:val="bottom"/>
          </w:tcPr>
          <w:p>
            <w:pPr>
              <w:ind w:left="20"/>
              <w:spacing w:after="0"/>
              <w:rPr>
                <w:sz w:val="20"/>
                <w:szCs w:val="20"/>
                <w:color w:val="auto"/>
              </w:rPr>
            </w:pPr>
            <w:r>
              <w:rPr>
                <w:rFonts w:ascii="Arial" w:cs="Arial" w:eastAsia="Arial" w:hAnsi="Arial"/>
                <w:sz w:val="17"/>
                <w:szCs w:val="17"/>
                <w:color w:val="auto"/>
                <w:w w:val="92"/>
              </w:rPr>
              <w:t>We are currently assessing the full impact of this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3"/>
              </w:rPr>
              <w:t>requiring lessees to recognize assets and liabilities for leases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standard to our consolidated financial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greater than 12 months on their balance sheet. The lessor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1"/>
              </w:rPr>
              <w:t>statements. We have, however, identified certain</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model stays substantially the same; however, there were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areas which will be impacted as follows: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7"/>
              </w:rPr>
              <w:t>modifications to conform lessor accounting with the lessee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4"/>
              </w:rPr>
              <w:t>model, eliminate real estate specific guidance, further define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1"/>
              </w:rPr>
              <w:t>We are currently a lessee for land underneath all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certain lease and non-lease components, and change the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6"/>
              </w:rPr>
              <w:t>or a portion of 14 properties that are subject to</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definition of initial direct costs of leases requiring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5"/>
              </w:rPr>
              <w:t>ground leases (in addition to 4 other properties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significantly more leasing related costs to be expensed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4"/>
              </w:rPr>
              <w:t>that we currently account for as capital leases).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upfront.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Upon adoption, we will recognize the lease</w:t>
            </w: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obligation for the 14 ground leases and a</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ASU 2018-10 provides narrow amendments that clarify how</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corresponding right of use asset on our</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9"/>
              </w:rPr>
              <w:t>to apply certain aspects of the guidance in ASU 2016-02.</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consolidated balance sheet.</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6"/>
              </w:rPr>
              <w:t>ASU 2018-11 provides the option of an additional transition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method, by allowing entities to initially apply the new leases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Additionally, we will no longer be able to</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7"/>
              </w:rPr>
              <w:t>standard at the adoption date and recognize a cumulative-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7"/>
              </w:rPr>
              <w:t>capitalize certain internal leasing and external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effect adjustment to the opening balance of retained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5"/>
              </w:rPr>
              <w:t>legal leasing costs. For the nine months ended</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earnings in the period of adoption. It also provides lessors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September 30, 2018, we have capitalized</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6"/>
              </w:rPr>
              <w:t>an option to not separate lease and non-lease components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approximately $5.3 million of internal leasing</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when certain criteria are met.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and external legal leasing costs, of which a</w:t>
            </w: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portion will will be expensed when we adopt</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ASU 2016-02.</w:t>
            </w:r>
          </w:p>
        </w:tc>
      </w:tr>
    </w:tbl>
    <w:p>
      <w:pPr>
        <w:spacing w:after="0" w:line="200" w:lineRule="exact"/>
        <w:rPr>
          <w:sz w:val="20"/>
          <w:szCs w:val="20"/>
          <w:color w:val="auto"/>
        </w:rPr>
      </w:pPr>
    </w:p>
    <w:p>
      <w:pPr>
        <w:sectPr>
          <w:pgSz w:w="11900" w:h="16838" w:orient="portrait"/>
          <w:cols w:equalWidth="0" w:num="2">
            <w:col w:w="1720" w:space="580"/>
            <w:col w:w="9120"/>
          </w:cols>
          <w:pgMar w:left="240" w:top="126"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92,520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73,952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85,614</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70,486</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 (1):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166,823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 of noncontrolling 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620" w:right="3600" w:hanging="5612"/>
        <w:spacing w:after="0" w:line="559"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for additional disclosures relating to our investment in the Assembly Row hotel joint venture. 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41,872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52,929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94,801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June 15, 2018, we formed a new joint venture to develop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September 30, 2018 of $39.7 million reflects cash that will ultimately be used for the development of the shopping center. The cash is held in escrow pursuant to the new market tax credit transaction documents and will be released as qualified development expenditures are incurred.</w:t>
      </w:r>
    </w:p>
    <w:p>
      <w:pPr>
        <w:spacing w:after="0" w:line="1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2018, we contributed hotel related assets valued at $44.0 million to our Assembly Row hotel joint venture, and received a cash distribution of $38.0 million. At September 30, 2018, our investment in the venture was $5.6 million. The joint venture is considered a variable interest entity controlled by our partner, and as a result, we are using the equity method to account for our investment.</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16, 2018, we sold the residential building at our Chelsea Commons property in Chelsea, Massachusetts for a sales price of $15.0 million, resulting in a gain of $3.1 million.</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three and nine months ended September 30, 2018, we closed on the sale of 8 and 167 condominium units, respectively, at our Assembly Row and Pike &amp; Rose properties (combined) and received proceeds net of closing costs of $6.7 million and $128.1 million, respectively. For the nine months ended September 30, 2018, we recognized a gain of $7.3 million, net of $1.7 million of income taxes. The cost basis for remaining condominium units that are ready for their intended use as of September 30, 2018 is $22.0 million, and is included in "assets held for sale" on our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August 10, 2018, we exercised our option to extend the maturity date of our $275.0 million unsecured term loan by one year to November 21, 2019.</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three and nine months ended September 30, 2018, the maximum amount of borrowings outstanding under our $800.0 million revolving credit facility was $161.0 million and $177.0 million, respectively, and the weighted average interest rate, before amortization of debt fees, was 2.8% and 2.6%, respectively. During the three and nine months ended September 30, 2018, the weighted average borrowings outstanding were $85.9 million and $101.8 million, respectively. At September 30, 2018, the outstanding balance was $26.5 million. Our revolving credit facility, term loan and certain notes require us to comply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various financial covenants, including the maintenance of minimum shareholders' equity and debt coverage ratios and a maximum ratio of debt to net worth. As of September 30, 2018, we were in compliance with all default related debt covenants.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781,540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774,192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811,770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824,419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2,403,565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2,350,325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2,401,440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2,498,445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September 30, 2018,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$0.1 million as a decrease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2018, and we do not anticipate it will have a significant effect in the future.</w:t>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2018 was an asset of $0.1 million and is included in "prepaid expenses and other assets" on our consolidated balance sheets. For the three and nine months ended September 30, 2018, the change in valuation on our interest rate swaps resulted in a $0.3 million decrease in our derivative asset and a $0.1 million increase in our derivative asset, respectively, (including $0.2 million and $0.3 million, respectively, reclassified from other comprehensive income as a decrease to interest expense). The change in valuation on our interest rate swaps is included in "accumulated other comprehensive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assets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During the three and nine months ended September 30, 2018 our share of the change in fair value of the related swaps included in "accumulated other comprehensive income" was less than $0.1 million.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739,287 downREIT operating partnership units are outstanding which have a total fair value of $93.5 million, based on our closing stock price on September 30, 2018.</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2.940</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1.016</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(1) Amount represents dividends per depository share, each representing 1/1000th of a share.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7, 2018, we replaced our existing at-the-market (“ATM”) equity program with a new ATM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2018, we sold 413,395 common shares at a weighted average price per share of $129.01 for net cash proceeds of $52.8 million and paid $0.5 million in commissions and less than $0.1 million in additional offering expenses related to the sales of these common shares. For the nine months ended September 30, 2018, we sold 612,658 common shares at a weighted average price per share of $127.86 for net cash proceeds of $77.4 million and paid $0.8 million in commissions and $0.2 million in additional offering expenses related to the sales of these common shares. As of September 30, 2018, we had the capacity to issue up to $321.7 million in common shares under our ATM equity program.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153,923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147,971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459,496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434,390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44,044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131,779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124,997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13,820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223,777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664,834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620,741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2,494</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2,945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2,651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2,540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8,869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2018 and 2017,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both the three and nine months ended September 30, 2018 and 2017.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9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gridSpan w:val="8"/>
          </w:tcPr>
          <w:p>
            <w:pPr>
              <w:jc w:val="center"/>
              <w:ind w:right="3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61,055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58,107</w:t>
            </w: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182,231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175,136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170,237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168,366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69,659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60,337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2"/>
              </w:rPr>
              <w:t>106,283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180,650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238,025</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73,400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72,091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73,100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71,983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72,206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73,136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72,110</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56,002</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176,987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169,599</w:t>
            </w:r>
          </w:p>
        </w:tc>
        <w:tc>
          <w:tcPr>
            <w:tcW w:w="0" w:type="dxa"/>
            <w:vAlign w:val="bottom"/>
          </w:tcPr>
          <w:p>
            <w:pPr>
              <w:spacing w:after="0"/>
              <w:rPr>
                <w:sz w:val="1"/>
                <w:szCs w:val="1"/>
                <w:color w:val="auto"/>
              </w:rPr>
            </w:pPr>
          </w:p>
        </w:tc>
      </w:tr>
      <w:tr>
        <w:trPr>
          <w:trHeight w:val="702"/>
        </w:trPr>
        <w:tc>
          <w:tcPr>
            <w:tcW w:w="7200" w:type="dxa"/>
            <w:vAlign w:val="bottom"/>
          </w:tcPr>
          <w:p>
            <w:pPr>
              <w:ind w:left="56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2017 filed with the Securities and Exchange Commission (the “SEC”) on February 13, 2018.</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2017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2018, we owned or had a majority interest in community and neighborhood shopping centers and mixed-use properties which are operated as 105 predominantly retail real estate projects comprising approximately 24.3 million square feet. In total, the real estate projects were 94.8% leased and 93.7% occupied at September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Property Acquisitions and Dispositions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15, 2018, we formed a new joint venture to develop Jordan Downs Plaza which, when completed, will be an approximately 113,000 square foot grocery anchored shopping center located in Los Angeles County, California. The total investment at September 30, 2018 was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 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September 30, 2018 of $39.7 million reflects cash that will ultimately be used for the development of the shopping center. The cash is held in escrow pursuant to the new market tax credit transaction documents and will be released as qualified development expenditures are incurred.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2018, we contributed hotel related assets valued at $44.0 million to our Assembly Row hotel joint venture, and received a cash distribution of $38.0 million. At September 30, 2018, our investment in the venture was $5.6 million. The joint venture is considered a variable interest entity controlled by our partner, and as a result, we are using the equity method to account for our investment.</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16, 2018, we sold the residential building at our Chelsea Commons property in Chelsea, Massachusetts for a sales price of $15.0 million, resulting in a gain of $3.1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and nine months ended September 30, 2018, we closed on the sale of 8 and 167 condominium units, respectively, at our Assembly Row and Pike &amp; Rose properties (combined) and received proceeds net of closing costs of $6.7 million and $128.1 million, respectively. For the nine months ended September 30, 2018, we recognized a gain of $7.3 million, net of $1.7 million of income taxes. The cost basis for remaining condominium units that are ready for their intended use as of September 30, 2018 is $22.0 million, and is included in "assets held for sale" on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Significant Debt and Equity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August 10, 2018, we exercised our option to extend the maturity date of our $275.0 million unsecured term loan by one year to November 21, 2019.</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7, 2018, we replaced our existing at-the-market (“ATM”) equity program with a new ATM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2018, we sold 413,395 common shares at a weighted average price per share of $129.01 for net cash proceeds of $52.8 million and paid $0.5 million in commissions and less than $0.1 million in additional offering expenses related to the sales of these common shares. For the nine months ended September 30, 2018, we sold 612,658 common shares at a weighted average price per share of $127.86 for net cash proceeds of $77.4 million and paid $0.8 million in commissions and $0.2 million in additional offering expenses related to the sales of these common shares. As of September 30, 2018, we had the capacity to issue up to $321.7 million in common shares under our ATM equity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$203 million and $6 million, respectively, for the nine months ended September 30, 2018, and $320 million and $6 million, respectively, for the nine months ended September 30, 2017. We capitalized external and internal costs related to other property improvements of $43 million and $2 million, respectively, for the nine months ended September 30, 2018, and $47 million and $2 million for the nine months ended September 30, 2017. We capitalized external and internal costs related to leasing activities of $16 million and $5 million, respectively, for the nine months ended September 30, 2018, and $6 million and $5 million, respectively, for the nine months ended September 30, 2017. The amount of capitalized internal costs for salaries and related benefits for development and redevelopment activities, other property improvements, and leasing activities were $6 million, $2 million, and $4 million, respectively, for the nine months ended September 30, 2018, and $6 million, $2 million, and $5 million, respectively, for the nine months ended September 30, 2017. Total capitalized costs were $275 million and $386 million for the nine months ended September 30, 2018 and 2017,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closing early and/or filing for bankruptcy. We believe the locations and nature of our centers and diverse tenant base partially mitigates any potential negative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2018, no single tenant accounted for more than 2.7% of annualized base rent.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$208 million that we expect to stabilize in the next several years.</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continue our ongoing redevelopment efforts at Santana Row and are under construction on an eight story 301,000 square foot office building which will include an additional 18,000 square feet of retail space and 1,300 parking spaces. The building is expected to cost between $205 million and $215 million, to be delivered in 2019, and the office portion is 100% pre-leased. After current phases, we have approximately 4 acres remaining for further redevelopment and entitlements in place for an additional 395 residential units and 321,000 square feet of commercial space. Additionally, we control 12 acres of land across from Santana Row, which has approximately 1 million square feet of commercial space entitlements.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Construction continues on Phase II of Assembly Row which includes approximately 161,000 square feet of retail space, 447 residential units, and a 158 room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boutique hotel (owned and operated by a joint venture in which we are a partner). Total expected costs range from $290 million to $305 million and delivery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expected to continue through early 2019. As of September 30, 2018, approximately 117,000 square feet of retail space and the 158 room hotel have opened,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of the residential units have been completed. Phase II also includes 122 for-sale condominium units of which 107 units have closed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The condominium units have an expected total cost of $81 million. Additionally, Partners HealthCare built a 741,500 square foot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building as a part of Phase II.</w:t>
      </w:r>
    </w:p>
    <w:p>
      <w:pPr>
        <w:spacing w:after="0" w:line="15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Construction also continues on Phase II of Pike &amp; Rose which includes approximately 216,000 square feet of retail space, 272 residential units, and a 177 room boutique hotel (owned and operated by a joint venture in which we are a partner). As of September 30, 2018, approximately 182,000 square feet of retail space and the 177 room hotel have opened, and all of the residential units have been completed. Total expected costs range from $200 million to $207 million and remaining delivery is expected to continue through 2019. As of September 30, 2018, we closed on the sale of 60 of the 99 for-sale condominium units in Phase II. The condominium units have an expected total cost of $62 million.</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at Pike &amp; Rose, we have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2021.</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Including costs incurred in the first nine months of 2018, we expect to invest between $70 million and $85 million at Assembly Row and Pike &amp; Rose in 2018.</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September 30, 2018, the leasable square feet in our properties was 94.8% leased and 93.7% occupied. The leased rate is higher than the occupied rate due to leased spaces that are being redeveloped or improved or that are awaiting permits and, therefore, are not yet ready to be occupied. Our occupancy and leased rates are subject to variability over time due to factors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including acquisitions, the timing of the start and stabilization of our redevelopment projects, lease expirations and tenant closings and bankruptcies.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For the third quarter of 2018, we signed leases for a total of 469,000 square feet of retail space including 448,000 square feet of comparable space leases (leases for which there was a prior tenant) at an average rental increase of 6% on a cash basis and 18% on a straight-line basis. New leases for comparable spaces were signed for 152,000 square feet at an average rental increase of 13% on a cash basis and 27% on a straight-line basis. Renewals for comparable spaces were signed for 296,000 square feet at an average rental increase of 2% on a cash basis and 13% on a straight-line basis. Tenant improvements and incentives for comparable spaces were $25.91 per square foot, of which, $73.96 per square foot was for new leases and $1.29 per square foot was for renewals for the three months ended September 30, 2018.</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nine months ended September 30, 2018, we signed leases for a total of 1,349,000 square feet of retail space including 1,300,000 square feet of comparable space leases (leases for which there was a prior tenant) at an average rental increase of 11% on a cash basis and 22% on a straight-line basis. New leases for comparable spaces were signed for 559,000 square feet at an average rental increase of 21% on a cash basis and 34% on a straight-line basis. Renewals for comparable spaces were signed for 742,000 square feet at an average rental increase of 4% on a cash basis and 14% on a straight-line basis. Tenant improvements and incentives for comparable spaces were $28.06 per square foot, of which, $62.75 per square foot was for new leases and $1.94 per square foot was for renewals for the nine months ended September 30, 2018.</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leases signed in 2018 generally become effective over the following two years though some may not become effective until 2021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Historically, we have executed comparable space leases for 1.2 to 1.6 million square feet of retail space each year, and expect that volume for 2018 will be in line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2018, all or a portion of 94 and 91 properties, respectively, were considered comparable properties and seven properties were considered non-comparable properties for both periods. For the nine months ended September 30, 2018, six properties were moved from acquisitions to comparable properties and one portion of a property was moved from non-comparable to comparable properties, compared to the designations for the year ended December 31, 2017, which were 85 properties or portions of properties considered comparable and seven considered non-comparable. For the three months ended September 30, 2018, one property was moved from acquisitions to comparable properties.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6" w:right="27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property for the entirety of comparable periods and the property is not under development or being repositioned for significant redevelopment and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Comparable property information replaces our previous same center designations.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229,753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217,953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11,800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149,211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9,547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(691.2)%</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58,107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108,882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106,777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property revenue increased $11.8 million, or 5.4%, to $229.8 million in the three months ended September 30, 2018 compared to $218.0 million in the three months ended September 30, 2017. The percentage occupied at our shopping centers was 93.7% at September 30, 2018 compared to 93.8% at September 30, 2017.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$11.7 million, or 5.5%, to $223.8 million in the three months ended September 30, 2018 compared to $212.0 million in the three months ended September 30, 2017 due primarily to the following:</w:t>
      </w:r>
    </w:p>
    <w:p>
      <w:pPr>
        <w:spacing w:after="0" w:line="19" w:lineRule="exact"/>
        <w:rPr>
          <w:sz w:val="20"/>
          <w:szCs w:val="20"/>
          <w:color w:val="auto"/>
        </w:rPr>
      </w:pPr>
    </w:p>
    <w:p>
      <w:pPr>
        <w:ind w:left="1140" w:right="180" w:hanging="241"/>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$6.4 million at non-comparable properties due primarily to the opening of Phase II at Assembly Row and Pike &amp; Rose during the second half of 2017 into 2018 and the lease-up of two other redevelopments, partially offset by lower occupancy at two of our Florida properties in the beginning stages of redevelopment,</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$4.3 million from the acquisition of six shopping centers acquired in Los Angeles County, California in August 2017, and</w:t>
      </w:r>
    </w:p>
    <w:p>
      <w:pPr>
        <w:spacing w:after="0" w:line="74" w:lineRule="exact"/>
        <w:rPr>
          <w:rFonts w:ascii="Arial" w:cs="Arial" w:eastAsia="Arial" w:hAnsi="Arial"/>
          <w:sz w:val="17"/>
          <w:szCs w:val="17"/>
          <w:color w:val="auto"/>
        </w:rPr>
      </w:pPr>
    </w:p>
    <w:p>
      <w:pPr>
        <w:ind w:left="1140" w:right="320" w:hanging="241"/>
        <w:spacing w:after="0" w:line="34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$2.7 million at comparable properties due primarily to higher rental rates of approximately $2.6 million, and higher average occupancy of approximately $0.5 million, partially offset by lower recoveries of $0.6 million (due to recoverable expense reductions),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$1.2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property expenses increased $2.3 million, or 3.3%, to $71.0 million in the three months ended September 30, 2018 compared to $68.7 million in the three months ended September 30, 2017.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Rental expenses increased $0.7 million, or 1.6%, to $41.9 million in the three months ended September 30, 2018 compared to $41.3 million in the three months ended September 30, 2017. This increase is primarily due to the following:</w:t>
      </w:r>
    </w:p>
    <w:p>
      <w:pPr>
        <w:spacing w:after="0" w:line="8" w:lineRule="exact"/>
        <w:rPr>
          <w:sz w:val="20"/>
          <w:szCs w:val="20"/>
          <w:color w:val="auto"/>
        </w:rPr>
      </w:pPr>
    </w:p>
    <w:p>
      <w:pPr>
        <w:ind w:right="740" w:firstLine="899"/>
        <w:spacing w:after="0" w:line="313"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$1.4 million from the acquisition of six shopping centers acquired in Los Angeles County, California in August 2017, partially offset by</w:t>
      </w:r>
    </w:p>
    <w:p>
      <w:pPr>
        <w:ind w:left="1140" w:hanging="24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$0.5 million from comparable properties due primarily to lower repairs and maintenance costs,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$0.4 million from property sales.</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18.3% in the three months ended September 30, 2018 from 19.0% in the three months ended September 30,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 estate tax expense increased $1.6 million, or 5.8%, to $29.1 million in the three months ended September 30, 2018 compared to $27.5 million in the three months ended September 30, 2017 due primarily to the following:</w:t>
      </w:r>
    </w:p>
    <w:p>
      <w:pPr>
        <w:spacing w:after="0" w:line="8" w:lineRule="exact"/>
        <w:rPr>
          <w:sz w:val="20"/>
          <w:szCs w:val="20"/>
          <w:color w:val="auto"/>
        </w:rPr>
      </w:pPr>
    </w:p>
    <w:p>
      <w:pPr>
        <w:ind w:left="1140" w:right="80" w:hanging="241"/>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$1.2 million at non-comparable properties due primarily to increases in assessments as a result of our redevelopment activities,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from the acquisition of six shopping centers in Los Angeles County, California in August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Property operating income increased $9.5 million, or 6.4%, to $158.8 million in the three months ended September 30, 2018 compared to $149.2 million in the three months ended September 30, 2017. This increase is primarily due to growth in earnings at comparable properties, our acquisition of six shopping centers in Los Angeles County, California in August 2017, and Assembly Row and Pike &amp; Rose, partially offset by property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General and administrative expense decreased $1.5 million, or 16.1%, to $7.6 million in the three months ended September 30, 2018 from $9.1 million in the three months ended September 30, 2017. The decrease is primarily due to lower personnel costs and lower acquisition and other transaction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increased $5.2 million, or 9.3%, to $60.8 million in the three months ended September 30, 2018 from $55.6 million in the three months ended September 30, 2017. This increase is primarily due to portions of Phase II of Assembly Row and Pike &amp; Rose being placed in service, our investment in comparable properties, and our acquisition of six shopping centers in Los Angeles County, California in August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Operating income increased $5.8 million, or 6.9%, to $90.3 million in the three months ended September 30, 2018 compared to $84.5 million in the three months ended September 30, 2017. This increase is primarily due to growth in earnings at our comparable properties, lower personnel and transaction costs, the opening of Phase II of Assembly Row and Pike &amp; Rose, and our acquisition of six shopping centers in Los Angeles County, California in August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6"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increased $1.9 million, or 7.1%, to $28.2 million in the three months ended September 30, 2018 compared to $26.3 million in the three months ended September 30, 2017. This increase is due primarily to the following:</w:t>
      </w:r>
    </w:p>
    <w:p>
      <w:pPr>
        <w:spacing w:after="0" w:line="8" w:lineRule="exact"/>
        <w:rPr>
          <w:sz w:val="20"/>
          <w:szCs w:val="20"/>
          <w:color w:val="auto"/>
        </w:rPr>
      </w:pPr>
    </w:p>
    <w:p>
      <w:pPr>
        <w:ind w:left="1140" w:right="44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$2.9 million in capitalized interest, primarily attributable to portions of Phase II of Assembly Row and Pike &amp; Rose being placed in service,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$0.5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$0.5 million due to lower weighted average borrowings (primarily our revolving credit facility).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$32.2 million and $33.2 million in the three months ended September 30, 2018 and 2017, respectively. Capitalized interest was $4.1 million and $6.9 million in the three months ended September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$1.4 million loss from real estate partnerships for the three months ended September 30, 2018 is due primarily to our share of losses related to the hotel joint ventures at Assembly Row (hotel opened in August 2018) and Pike &amp; Rose (hotel opened in March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$3.1 million net gain for the three months ended September 30, 2018 is due to the sale of the residential building at our Chelsea Commons property in August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$50.8 million gain for the three months ended September 30, 2017 is primarily due to the following:</w:t>
      </w:r>
    </w:p>
    <w:p>
      <w:pPr>
        <w:spacing w:after="0" w:line="63" w:lineRule="exact"/>
        <w:rPr>
          <w:sz w:val="20"/>
          <w:szCs w:val="20"/>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 and</w:t>
      </w:r>
    </w:p>
    <w:p>
      <w:pPr>
        <w:spacing w:after="0" w:line="63" w:lineRule="exact"/>
        <w:rPr>
          <w:rFonts w:ascii="Arial" w:cs="Arial" w:eastAsia="Arial" w:hAnsi="Arial"/>
          <w:sz w:val="18"/>
          <w:szCs w:val="18"/>
          <w:color w:val="auto"/>
        </w:rPr>
      </w:pPr>
    </w:p>
    <w:p>
      <w:pPr>
        <w:ind w:left="1140" w:right="660" w:hanging="241"/>
        <w:spacing w:after="0" w:line="34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$0.6 million net percentage-of-completion gain, related to condominiums under binding contract at our Assembly Row property (see discussion in Note 2 to the Consolidated Financial Statements with respect to the change in accounting for condominium gains).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6"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2018 AND 2017</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664,834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620,741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680,060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633,391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46,669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6,737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198,591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13,837</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467,632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434,800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32,832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(17,613)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182,231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175,136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192,644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245,085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187,400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239,258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(51,858)</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property revenue increased $46.7 million, or 7.4%, to $680.1 million in the nine months ended September 30, 2018 compared to $633.4 million in the nine months ended September 30, 2017. The percentage occupied at our shopping centers was 93.7% at September 30, 2018 compared to 93.8% at September 30, 2017.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$44.1 million, or 7.1%, to $664.8 million in the nine months ended September 30, 2018 compared to $620.7 million in the nine months ended September 30, 2017 due primarily to the following:</w:t>
      </w:r>
    </w:p>
    <w:p>
      <w:pPr>
        <w:spacing w:after="0" w:line="19" w:lineRule="exact"/>
        <w:rPr>
          <w:sz w:val="20"/>
          <w:szCs w:val="20"/>
          <w:color w:val="auto"/>
        </w:rPr>
      </w:pPr>
    </w:p>
    <w:p>
      <w:pPr>
        <w:ind w:left="1140" w:right="34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$21.8 million from acquisitions, primarily related to the six shopping centers acquired in Los Angeles County, California in August 2017 and Riverpoint Center in March 2017,</w:t>
      </w:r>
    </w:p>
    <w:p>
      <w:pPr>
        <w:spacing w:after="0" w:line="8" w:lineRule="exact"/>
        <w:rPr>
          <w:rFonts w:ascii="Arial" w:cs="Arial" w:eastAsia="Arial" w:hAnsi="Arial"/>
          <w:sz w:val="18"/>
          <w:szCs w:val="18"/>
          <w:color w:val="auto"/>
        </w:rPr>
      </w:pPr>
    </w:p>
    <w:p>
      <w:pPr>
        <w:ind w:left="1140" w:right="80" w:hanging="241"/>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$14.4 million at non-comparable properties due primarily to the opening of Phase II at Assembly Row and Pike &amp; Rose during the second half of 2017 into 2018 and the lease-up of two other redevelopments, partially offset by lower occupancy at two of our Florida properties in the beginning stages of redevelopment, and</w:t>
      </w:r>
    </w:p>
    <w:p>
      <w:pPr>
        <w:spacing w:after="0" w:line="19" w:lineRule="exact"/>
        <w:rPr>
          <w:rFonts w:ascii="Arial" w:cs="Arial" w:eastAsia="Arial" w:hAnsi="Arial"/>
          <w:sz w:val="18"/>
          <w:szCs w:val="18"/>
          <w:color w:val="auto"/>
        </w:rPr>
      </w:pPr>
    </w:p>
    <w:p>
      <w:pPr>
        <w:ind w:left="1140" w:right="54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$13.6 million at comparable properties due primarily to higher rental rates of approximately $8.6 million, higher average occupancy of approximately $3.1 million, and higher recoveries of $0.9 million,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$5.1 million from property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property income increased $2.5 million, or 24.1%, to $12.9 million in the nine months ended September 30, 2018 compared to $10.4 million in the nine months ended September 30, 2017.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property expenses increased $13.8 million, or 7.0%, to $212.4 million in the nine months ended September 30, 2018 compared to $198.6 million in the nine months ended September 30, 2017.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Rental expenses increased $7.1 million, or 5.9%, to $126.6 million in the nine months ended September 30, 2018 compared to $119.5 million in the nine months ended September 30, 2017. This increase is primarily due to the following:</w:t>
      </w:r>
    </w:p>
    <w:p>
      <w:pPr>
        <w:spacing w:after="0" w:line="8" w:lineRule="exact"/>
        <w:rPr>
          <w:sz w:val="20"/>
          <w:szCs w:val="20"/>
          <w:color w:val="auto"/>
        </w:rPr>
      </w:pPr>
    </w:p>
    <w:p>
      <w:pPr>
        <w:ind w:left="1140" w:right="1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$5.5 million from acquisitions, primarily related to six shopping centers acquired in Los Angeles County, California in August 2017 and Riverpoint Center in March 2017, and</w:t>
      </w:r>
    </w:p>
    <w:p>
      <w:pPr>
        <w:spacing w:after="0" w:line="8" w:lineRule="exact"/>
        <w:rPr>
          <w:rFonts w:ascii="Arial" w:cs="Arial" w:eastAsia="Arial" w:hAnsi="Arial"/>
          <w:sz w:val="18"/>
          <w:szCs w:val="18"/>
          <w:color w:val="auto"/>
        </w:rPr>
      </w:pPr>
    </w:p>
    <w:p>
      <w:pPr>
        <w:ind w:left="1140" w:right="100" w:hanging="241"/>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$2.3 million from non-comparable and other properties, due primarily to the opening of Phase II at Assembly Row and Pike &amp; Rose during the second half of 2017 into 2018, partially offset by lower expenses at two of our Florida properties in the beginning stages of redevelopment,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$1.0 million from property sales.</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18.7% in the nine months ended September 30, 2018 from 18.9% the nine months ended September 30, 2018 and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Real estate tax expense increased $6.7 million, or 8.5%, to $85.8 million in the nine months ended September 30, 2018 compared to $79.1 million in the nine months ended September 30, 2017 due primarily to:</w:t>
      </w:r>
    </w:p>
    <w:p>
      <w:pPr>
        <w:spacing w:after="0" w:line="8" w:lineRule="exact"/>
        <w:rPr>
          <w:sz w:val="20"/>
          <w:szCs w:val="20"/>
          <w:color w:val="auto"/>
        </w:rPr>
      </w:pPr>
    </w:p>
    <w:p>
      <w:pPr>
        <w:ind w:left="1140" w:right="2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$3.7 million from acquisitions, primarily related to our acquisition of six shopping centers in Los Angeles County, California in August 2017 and Riverpoint Center in March 2017,</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$2.9 million at non-comparable properties due primarily to increases in assessments as a result of our redevelopment activities,</w:t>
      </w:r>
    </w:p>
    <w:p>
      <w:pPr>
        <w:spacing w:after="0" w:line="86" w:lineRule="exact"/>
        <w:rPr>
          <w:rFonts w:ascii="Arial" w:cs="Arial" w:eastAsia="Arial" w:hAnsi="Arial"/>
          <w:sz w:val="16"/>
          <w:szCs w:val="16"/>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$1.2 million at comparable properties primarily due to higher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$1.0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operating income increased $32.8 million, or 7.6%, to $467.6 million in the nine months ended September 30, 2018 compared to $434.8 million in the nine months ended September 30, 2017. This increase is primarily due to growth in earnings at comparable properties, our acquisition of six shopping centers in Los Angeles County, California in August 2017 and Riverpoint Center in March 2017, and the opening of Phase II at Assembly Row and Pike &amp; Rose, partially offset by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 and administrative expense decreased $2.0 million, or 7.8%, to $24.0 million in the nine months ended September 30, 2018 from $26.0 million in the nine months ended September 30, 2017. The decrease is primarily due to lower personnel related costs and lower costs from acquisitions and other transactions.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and amortization expense increased $17.6 million, or 11.0%, to $177.3 million in the nine months ended September 30, 2018 from $159.7 million in the nine months ended September 30, 2017. This increase is primarily due to our acquisition of six shopping centers in Los Angeles County, California in August 2017, Phase II of Assembly Row and Pike &amp; Rose being placed in service, and investment in comparable properties, partially offset by two of our Florida properties in the early stages of redevelopment and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income increased $17.3 million, or 6.9%, to $266.4 million in the nine months ended September 30, 2018 compared to $249.1 million in the nine months ended September 30, 2017. This increase is primarily due to growth in earnings at comparable properties, higher lease termination fees and lower general and administrative costs, our acquisition of six shopping centers in Los Angeles County, California in August 2017 and Riverpoint Center in March 2017, and the opening of Phase II at Assembly Row and Pike &amp; Rose, partially offset by property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increased $8.2 million, or 11.0%, to $82.1 million in the nine months ended September 30, 2018 compared to $74.0 million in the nine months ended September 30, 2017. This increase is due primarily to the following:</w:t>
      </w:r>
    </w:p>
    <w:p>
      <w:pPr>
        <w:spacing w:after="0" w:line="8" w:lineRule="exact"/>
        <w:rPr>
          <w:sz w:val="20"/>
          <w:szCs w:val="20"/>
          <w:color w:val="auto"/>
        </w:rPr>
      </w:pPr>
    </w:p>
    <w:p>
      <w:pPr>
        <w:ind w:left="1140" w:right="180" w:hanging="241"/>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$6.7 million due to higher borrowings primarily attributable to the $475 million issuance of 3.25% senior notes ($300 million issued in June 2017 and $175 million issued in December 2017) and the $100 million reopening in June 2017 of the 4.50% senior notes, partially offset by the early redemption of our $150 million 5.90% senior notes in December 2017,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$3.8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$2.3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$96.9 million and $92.5 million in the nine months ended September 30, 2018 and 2017, respectively. Capitalized interest was $14.8 million and $18.6 million in the nine months ended September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$2.7 million loss from real estate partnerships for the nine months ended September 30, 2018 is due primarily to our share of losses related to the hotel joint ventures at Assembly Row (hotel opened in August 2018) and Pike &amp; Rose (hotel opened in March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$10.4 million net gain on sale of real estate and change in control of interests, net for the nine months ended September 30, 2018 is primarily due to the following:</w:t>
      </w:r>
    </w:p>
    <w:p>
      <w:pPr>
        <w:spacing w:after="0" w:line="8" w:lineRule="exact"/>
        <w:rPr>
          <w:sz w:val="20"/>
          <w:szCs w:val="20"/>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$7.3 million net gain related to condominium unit sales that have closed at our Assembly Row and Pike &amp; Rose properties,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 million gain related to the sale of the residential building at our Chelsea Commons property in August 2018.</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$69.9 million gain on sale of real estate and change in control of interests, net for the nine months ended September 30, 2017 is primarily due to the following:</w:t>
      </w:r>
    </w:p>
    <w:p>
      <w:pPr>
        <w:spacing w:after="0" w:line="8" w:lineRule="exact"/>
        <w:rPr>
          <w:sz w:val="20"/>
          <w:szCs w:val="20"/>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$15.4 million gain related to the sale transactions on our ground lease parcels at our Assembly Row property in Somerville, Massachusetts,</w:t>
      </w:r>
    </w:p>
    <w:p>
      <w:pPr>
        <w:spacing w:after="0" w:line="86" w:lineRule="exact"/>
        <w:rPr>
          <w:rFonts w:ascii="Arial" w:cs="Arial" w:eastAsia="Arial" w:hAnsi="Arial"/>
          <w:sz w:val="16"/>
          <w:szCs w:val="16"/>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 and</w:t>
      </w:r>
    </w:p>
    <w:p>
      <w:pPr>
        <w:spacing w:after="0" w:line="63" w:lineRule="exact"/>
        <w:rPr>
          <w:rFonts w:ascii="Arial" w:cs="Arial" w:eastAsia="Arial" w:hAnsi="Arial"/>
          <w:sz w:val="18"/>
          <w:szCs w:val="18"/>
          <w:color w:val="auto"/>
        </w:rPr>
      </w:pPr>
    </w:p>
    <w:p>
      <w:pPr>
        <w:ind w:left="1140" w:right="700" w:hanging="241"/>
        <w:spacing w:after="0" w:line="34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$3.9 million net percentage-of-completion gain, related to condominiums under binding contract at our Assembly Row property (see discussion in Note 2 to the Consolidated Financial Statements with respect to the change in accounting for condominium gains).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At September 30, 2018, we had cash and cash equivalents of $41.9 million and $26.5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For the nine months ended September 30, 2018, the maximum amount of borrowings outstanding under our revolving credit facility was $177.0 million, the weighted average amount of borrowings outstanding was $101.8 million and the weighted average interest rate, before amortization of debt fees, was 2.6%. We have no debt maturing for the remainder of 2018. During the nine months ended September 30, 2018, we raised $77.4 million, after fees and other costs, under our ATM equity program, which as of September 30, 2018, had the capacity to issue up to $321.7 million in common shares.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overall capital requirements for the remainder of 2018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to see a reduced level of capital investments in our properties under development and redevelopment compared to recent years, which is the result of completing construction on Phase II at both Assembly Row and Pike &amp; Rose.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364,716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339,471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(709,400)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368,124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69,601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94,801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33,044</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increased $25.2 million to $364.7 million during the nine months ended September 30, 2018 from $339.5 million during the nine months ended September 30, 2017. The increase was primarily attributable to higher net income before certain non-cash items and $12.4 million in net proceeds from the Jordan Downs new market tax credit transaction (see Note 3 to the Consolidated Financial Statements for further discussion), partially offset by timing of interest payments on our senior notes and timing of cash receipts.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investing activities decreased $597.6 million to $111.8 million during the nine months ended September 30, 2018 from $709.4 million during the nine months ended September 30, 2017. The decrease was primarily attributable to:</w:t>
      </w:r>
    </w:p>
    <w:p>
      <w:pPr>
        <w:spacing w:after="0" w:line="8" w:lineRule="exact"/>
        <w:rPr>
          <w:sz w:val="20"/>
          <w:szCs w:val="20"/>
          <w:color w:val="auto"/>
        </w:rPr>
      </w:pPr>
    </w:p>
    <w:p>
      <w:pPr>
        <w:ind w:left="1140" w:right="100" w:hanging="241"/>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$434.1 million decrease in acquisitions of real estate, primarily due to the 2017 acquisitions of six shopping centers in Los Angeles County, California and our Riverpoint Center, Hastings Ranch, and Fourth Street properties,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$120.4 million decrease in capital expenditures as we complete portions of Phase II of both our Assembly Row and Pike &amp; Rose projects,</w:t>
      </w:r>
    </w:p>
    <w:p>
      <w:pPr>
        <w:spacing w:after="0" w:line="86" w:lineRule="exact"/>
        <w:rPr>
          <w:rFonts w:ascii="Arial" w:cs="Arial" w:eastAsia="Arial" w:hAnsi="Arial"/>
          <w:sz w:val="16"/>
          <w:szCs w:val="16"/>
          <w:color w:val="auto"/>
        </w:rPr>
      </w:pPr>
    </w:p>
    <w:p>
      <w:pPr>
        <w:ind w:left="1140" w:right="380" w:hanging="241"/>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$38.0 million in proceeds from our Assembly Row hotel joint venture formation (see Note 3 to the Consolidated Financial Statements for further discussion), and</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$15.2 million increase in proceeds from sale of real estate primarily due to the sale of condominiums at our Assembly Row and Pike &amp; Rose properties in 2018.</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increased $551.5 million to $183.3 million used during the nine months ended September 30, 2018 from $368.1 million provided during the nine months ended September 30, 2017. The increase was primarily attributable to:</w:t>
      </w:r>
    </w:p>
    <w:p>
      <w:pPr>
        <w:spacing w:after="0" w:line="8" w:lineRule="exact"/>
        <w:rPr>
          <w:sz w:val="20"/>
          <w:szCs w:val="20"/>
          <w:color w:val="auto"/>
        </w:rPr>
      </w:pPr>
    </w:p>
    <w:p>
      <w:pPr>
        <w:ind w:left="1140" w:right="18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$399.5 million in net proceeds from the June 2017 issuance of $300.0 million of 3.25% senior unsecured notes and $100.0 million of 4.50% notes,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$145.5 million in net proceeds from the September 2017 issuance of 6,000 Series C Preferred Shares,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$14.5 million of repayments on our revolving credit facility in 2018 as compared to $41.5 million of borrowings in 2017,</w:t>
      </w:r>
    </w:p>
    <w:p>
      <w:pPr>
        <w:spacing w:after="0" w:line="63" w:lineRule="exact"/>
        <w:rPr>
          <w:rFonts w:ascii="Arial" w:cs="Arial" w:eastAsia="Arial" w:hAnsi="Arial"/>
          <w:sz w:val="18"/>
          <w:szCs w:val="18"/>
          <w:color w:val="auto"/>
        </w:rPr>
      </w:pPr>
    </w:p>
    <w:p>
      <w:pPr>
        <w:ind w:left="1140" w:right="120" w:hanging="241"/>
        <w:spacing w:after="0" w:line="317"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$13.5 million increase in dividends paid to shareholders due to an increase in the common share dividend rate, an increase in the number of common shares outstanding, and preferred dividends related to the issuance of our Series C Preferred Shares in September 2017, and</w:t>
      </w:r>
    </w:p>
    <w:p>
      <w:pPr>
        <w:ind w:left="1140" w:right="16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$10.6 million decrease in contributions from noncontrolling interests primarily due to contributions to fund the $50.0 million repayment of the Plaza El Segundo mortgage loan in June 2017,</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260" w:hanging="241"/>
        <w:spacing w:after="0" w:line="317"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$39.7 million decrease in repayment of mortgages and capital leases due to the $10.5 million payoff of the mortgage loan on the Grove at Shrewsbury (West) in March 2018, as compared to the $50.0 million paydown of the Plaza El Segundo mortgage loan in June 2017, and</w:t>
      </w:r>
    </w:p>
    <w:p>
      <w:pPr>
        <w:ind w:left="1140" w:right="60" w:hanging="241"/>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$30.4 million increase in net proceeds from the issuance of 0.6 million common shares under our ATM program at a weighted average price of $127.86 during the nine months ended September 30, 2018, as compared to 0.3 million common shares at a weighted average price of $133.09 in 2017.</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80" w:type="dxa"/>
            <w:vAlign w:val="bottom"/>
          </w:tcPr>
          <w:p>
            <w:pPr>
              <w:spacing w:after="0"/>
              <w:rPr>
                <w:sz w:val="12"/>
                <w:szCs w:val="12"/>
                <w:color w:val="auto"/>
              </w:rPr>
            </w:pPr>
          </w:p>
        </w:tc>
        <w:tc>
          <w:tcPr>
            <w:tcW w:w="96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22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2"/>
              </w:rPr>
              <w:t>of September 30,</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20,457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Shops at Sunset Place</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65,004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Sylmar Towne Center</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17,097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Azalea</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Brook 35</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476,766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476,057</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4,433</w:t>
            </w:r>
          </w:p>
        </w:tc>
        <w:tc>
          <w:tcPr>
            <w:tcW w:w="1740" w:type="dxa"/>
            <w:vAlign w:val="bottom"/>
            <w:gridSpan w:val="2"/>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(2)</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26,500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305,933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305,483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2,403,565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71,529</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3,256,634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two interest rate swap agreements fix the variable rate portion of the interest rate on the term loan at 1.72% through November 1, 2018. The spread on the term loan is 90 basis points resulting in a fixed rate of 2.62%.</w:t>
      </w:r>
    </w:p>
    <w:p>
      <w:pPr>
        <w:spacing w:after="0" w:line="8" w:lineRule="exact"/>
        <w:rPr>
          <w:rFonts w:ascii="Arial" w:cs="Arial" w:eastAsia="Arial" w:hAnsi="Arial"/>
          <w:sz w:val="18"/>
          <w:szCs w:val="18"/>
          <w:color w:val="auto"/>
        </w:rPr>
      </w:pPr>
    </w:p>
    <w:p>
      <w:pPr>
        <w:ind w:left="660" w:right="42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2018 was $177.0 million, and the weighted average interest rate on borrowings under our revolving credit facility, before amortization of debt fees, was 2.6%.</w:t>
      </w:r>
    </w:p>
    <w:p>
      <w:pPr>
        <w:spacing w:after="0" w:line="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September 30, 2018, we were in compliance with all financial and other covenants related to our revolving credit facility, term loan and senior notes. Additionally, as of September 30, 2018, we were in</w:t>
      </w:r>
    </w:p>
    <w:p>
      <w:pPr>
        <w:sectPr>
          <w:pgSz w:w="11900" w:h="16838" w:orient="portrait"/>
          <w:cols w:equalWidth="0" w:num="1">
            <w:col w:w="11420"/>
          </w:cols>
          <w:pgMar w:left="240" w:top="126"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1,433</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275,563</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25,820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301,425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250,694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30,541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281,286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250,771</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117,018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1,920,861</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236,415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2,228,596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2,725,133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476,766</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71,529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3,273,428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September 30, 2018, there was $26.5 million outstanding under this credit facility.</w:t>
      </w:r>
    </w:p>
    <w:p>
      <w:pPr>
        <w:spacing w:after="0" w:line="8"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September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2018, we are party to two interest rate swap agreements that effectively fixed the rate on the term loan at 2.62%. Both swaps were designated and qualified as cash flow hedges and were recorded at fair value. Hedge ineffectiveness has not impacted earnings as of September 30, 2018,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80" w:type="dxa"/>
            <w:vAlign w:val="bottom"/>
            <w:gridSpan w:val="7"/>
          </w:tcPr>
          <w:p>
            <w:pPr>
              <w:ind w:left="100"/>
              <w:spacing w:after="0"/>
              <w:rPr>
                <w:sz w:val="20"/>
                <w:szCs w:val="20"/>
                <w:color w:val="auto"/>
              </w:rPr>
            </w:pPr>
            <w:r>
              <w:rPr>
                <w:rFonts w:ascii="Arial" w:cs="Arial" w:eastAsia="Arial" w:hAnsi="Arial"/>
                <w:sz w:val="14"/>
                <w:szCs w:val="14"/>
                <w:b w:val="1"/>
                <w:bCs w:val="1"/>
                <w:color w:val="auto"/>
                <w:w w:val="99"/>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64,180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48,796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157,494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139,112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118,797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109,578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349,015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323,241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117,334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109,968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344,550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324,491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00" w:hanging="652"/>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 on our Series 1 preferred shares are not deducted in the calculation of FFO available to common shareholders, as the related shares are dilutive and included in "weighted average common shares, diluted" and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2018,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September 30, 2018, we had $3.2 billion of fixed-rate debt outstanding, including our $275.0 million term loan as the rate is effectively fixed by two interest rate swap agreements though November 1, 2018; we also had $71.5 million of capital lease obligations. If market interest rates used to calculate the fair value on our fixed-rate debt instruments at September 30, 2018 had been 1.0% higher, the fair value of those debt instruments on that date would have decreased by approximately $205.6 million. If market interest rates used to calculate the fair value on our fixed-rate debt instruments at September 30, 2018 had been 1.0% lower, the fair value of those debt instruments on that date would have increased by approximately $236.2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September 30, 2018, we had $26.5 million of variable rate debt outstanding on our revolving credit facility. Based upon this amount of variable rate debt and the specific terms, if market interest rates increased 1.0%, our annual interest expense would increase by approximately $0.3 million with a corresponding decrease in our net income and cash flows for the year. Conversely, if market interest rates decreased 1.0%, our annual interest expense would decrease by approximately $0.3 million with a corresponding increase in our net income and cash flows for the year. Upon the November 2018 expiration of the two interest rate swaps that fix the rate on our term loan, we will have an additional $275.0 million of variable rate debt. The incremental impact on annual interest expense of a 1% increase in market rates once the swaps have expired would be a $2.8 million increase, while the incremental impact on annual interest expense of a 1% decrease in market rates would be a $2.8 million decrease.</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2018. Based on this evaluation, our management, including our Chief Executive Officer and Chief Financial Officer, concluded that our disclosure controls and procedures were effective as of September 30, 2018 to provide reasonable assurance that information required to be disclosed in our reports filed or submitted under the Securities Exchange Act of 1934 is (i) recorded, processed, summarized and reported within the time periods specified in the rules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forms of the SEC and (ii) accumulated and communicated to the Trust’s management including its principal executive and principal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2017.</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2017 filed with the SEC on February 13, 2018.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6"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shares, at our option. During the three months ended September 30, 2018, we redeemed 12,000 downREIT operating partnership units for cash and 749 downREIT operating partnership units for common shares.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180" w:hanging="1165"/>
        <w:spacing w:after="0" w:line="259" w:lineRule="auto"/>
        <w:tabs>
          <w:tab w:leader="none" w:pos="1200" w:val="left"/>
        </w:tabs>
        <w:numPr>
          <w:ilvl w:val="0"/>
          <w:numId w:val="28"/>
        </w:numPr>
        <w:rPr>
          <w:rFonts w:ascii="Arial" w:cs="Arial" w:eastAsia="Arial" w:hAnsi="Arial"/>
          <w:sz w:val="18"/>
          <w:szCs w:val="18"/>
          <w:u w:val="single" w:color="auto"/>
          <w:color w:val="0000FF"/>
        </w:rPr>
      </w:pPr>
      <w:r>
        <w:rPr>
          <w:rFonts w:ascii="Arial" w:cs="Arial" w:eastAsia="Arial" w:hAnsi="Arial"/>
          <w:sz w:val="18"/>
          <w:szCs w:val="18"/>
          <w:color w:val="auto"/>
        </w:rPr>
        <w:t>The following materials from Federal Realty Investment Trust’s Quarterly Report on Form 10-Q for the quarter ended September 30, 2018,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6"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2018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2018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2019-12-28T18:38:34Z</dcterms:created>
  <dcterms:modified xsi:type="dcterms:W3CDTF">2019-12-28T18:38:34Z</dcterms:modified>
</cp:coreProperties>
</file>