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As filed with the Securities and Exchange Commission on May 3, 2017</w:t>
      </w:r>
    </w:p>
    <w:p>
      <w:pPr>
        <w:spacing w:after="0" w:line="27" w:lineRule="exact"/>
        <w:rPr>
          <w:sz w:val="24"/>
          <w:szCs w:val="24"/>
          <w:color w:val="auto"/>
        </w:rPr>
      </w:pPr>
    </w:p>
    <w:p>
      <w:pPr>
        <w:ind w:left="90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REGISTRATION STATEMENT</w:t>
      </w:r>
    </w:p>
    <w:p>
      <w:pPr>
        <w:jc w:val="center"/>
        <w:ind w:right="-5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52-0782497</w:t>
            </w:r>
          </w:p>
        </w:tc>
      </w:tr>
      <w:tr>
        <w:trPr>
          <w:trHeight w:val="149"/>
        </w:trPr>
        <w:tc>
          <w:tcPr>
            <w:tcW w:w="400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1626 East Jefferson Street</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Dawn M. Becker, Executive Vice President, General Counsel and Secretary</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1626 East Jefferson Street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Justin J. Bintrim, Esq.</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20036</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Approximate date of commencement of proposed sale of the securities to the public: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From time to time following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68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58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ectPr>
          <w:pgSz w:w="11900" w:h="16838" w:orient="portrait"/>
          <w:cols w:equalWidth="0" w:num="1">
            <w:col w:w="11380"/>
          </w:cols>
          <w:pgMar w:left="240" w:top="230" w:right="279" w:bottom="0" w:gutter="0" w:footer="0" w:header="0"/>
        </w:sectPr>
      </w:pPr>
    </w:p>
    <w:bookmarkStart w:id="1" w:name="page2"/>
    <w:bookmarkEnd w:id="1"/>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Large accelerated filer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Non-accelerated filer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207" w:lineRule="exact"/>
        <w:tabs>
          <w:tab w:leader="none" w:pos="6460" w:val="left"/>
          <w:tab w:leader="none" w:pos="88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51" w:lineRule="exact"/>
        <w:rPr>
          <w:sz w:val="20"/>
          <w:szCs w:val="20"/>
          <w:color w:val="auto"/>
        </w:rPr>
      </w:pPr>
    </w:p>
    <w:p>
      <w:pPr>
        <w:spacing w:after="0" w:line="207" w:lineRule="exact"/>
        <w:tabs>
          <w:tab w:leader="none" w:pos="6460" w:val="left"/>
          <w:tab w:leader="none" w:pos="88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9"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8" w:lineRule="exact"/>
        <w:rPr>
          <w:sz w:val="20"/>
          <w:szCs w:val="20"/>
          <w:color w:val="auto"/>
        </w:rPr>
      </w:pPr>
    </w:p>
    <w:p>
      <w:pPr>
        <w:sectPr>
          <w:pgSz w:w="11900" w:h="16838" w:orient="portrait"/>
          <w:cols w:equalWidth="0" w:num="2">
            <w:col w:w="1980" w:space="400"/>
            <w:col w:w="9040"/>
          </w:cols>
          <w:pgMar w:left="240" w:top="125" w:right="239" w:bottom="1440" w:gutter="0" w:footer="0" w:header="0"/>
          <w:type w:val="continuous"/>
        </w:sectPr>
      </w:pPr>
    </w:p>
    <w:p>
      <w:pPr>
        <w:spacing w:after="0" w:line="34"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210820</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0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Title of Each Class of</w:t>
            </w: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6"/>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6"/>
              <w:spacing w:after="0" w:line="158"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tcPr>
          <w:p>
            <w:pPr>
              <w:jc w:val="center"/>
              <w:ind w:left="22"/>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5"/>
              </w:rPr>
              <w:t>Per Unit(1)</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4"/>
              </w:rPr>
              <w:t>Offering Price(1)</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3"/>
              </w:rPr>
              <w:t>Registration Fee(2)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Shares of Beneficial Interest, $0.01 par value</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913,482</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8"/>
                <w:szCs w:val="18"/>
                <w:color w:val="auto"/>
                <w:w w:val="89"/>
              </w:rPr>
              <w:t>$131.50</w:t>
            </w:r>
          </w:p>
        </w:tc>
        <w:tc>
          <w:tcPr>
            <w:tcW w:w="1600" w:type="dxa"/>
            <w:vAlign w:val="bottom"/>
            <w:tcBorders>
              <w:bottom w:val="single" w:sz="8" w:color="auto"/>
              <w:right w:val="single" w:sz="8" w:color="auto"/>
            </w:tcBorders>
          </w:tcPr>
          <w:p>
            <w:pPr>
              <w:jc w:val="center"/>
              <w:ind w:left="26"/>
              <w:spacing w:after="0"/>
              <w:rPr>
                <w:sz w:val="20"/>
                <w:szCs w:val="20"/>
                <w:color w:val="auto"/>
              </w:rPr>
            </w:pPr>
            <w:r>
              <w:rPr>
                <w:rFonts w:ascii="Arial" w:cs="Arial" w:eastAsia="Arial" w:hAnsi="Arial"/>
                <w:sz w:val="18"/>
                <w:szCs w:val="18"/>
                <w:color w:val="auto"/>
                <w:w w:val="88"/>
              </w:rPr>
              <w:t>$120,112,883</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8"/>
                <w:szCs w:val="18"/>
                <w:color w:val="auto"/>
                <w:w w:val="89"/>
              </w:rPr>
              <w:t>$13,923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300" w:hanging="452"/>
        <w:spacing w:after="0" w:line="25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based upon the average of the high and low prices of the common shares as reported on the New York Stock Exchange on April 28, 2017.</w:t>
      </w:r>
    </w:p>
    <w:p>
      <w:pPr>
        <w:ind w:left="460" w:right="20" w:hanging="452"/>
        <w:spacing w:after="0" w:line="290"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common shares of beneficial interest being registered pursuant to this registration statement consist, in part, of unsold common shares of beneficial interest that were previously registered on an automatic shelf registration statement on Form S-3 (File No. 333-204103), filed with the Securities and Exchange Commission on May 12, 2015 (the “Prior Registration Statement”). Pursuant to Rule 415(a)(6) under the Securities Act of 1933, as amended, the aggregate filing fee of $14,402 paid by the registrant in connection with the Prior Registration Statement (or credited with respect thereto) shall be applied to the 738,940 common shares of beneficial interest that were previously registered and unsold under the Prior Registration Statement. Accordingly, an incremental registration fee of $2,661 shall be paid by the registrant in connection with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172085</wp:posOffset>
            </wp:positionV>
            <wp:extent cx="2341245" cy="900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4124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913,482 Common Shares of Beneficial Interest</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This prospectus relates to the offer and sale from time to time by the selling shareholders named in this prospectus or their pledgees of up to 913,482 of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common shares of beneficial interest, par value $0.01 per share, which we refer to as our common shares, comprised of (i) common shares issuable upon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conversion of our 5.417% Series 1 Cumulative Convertible Preferred Shares of Beneficial Interest, par value $0.01 per share and liquidation preference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$25.00 per share, which we refer to as our preferred shares, if and to the extent that selling shareholders tender preferred shares for conversion and offer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sell any of the common shares issued in respect thereof and (ii) common shares issuable upon redemption of units of (A) NVI-Avenue, LLC, a Maryland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limited liability company, (B) Route 35 Shrewsbury Limited Partnership, a New Jersey limited partnership, (C) Shrewsbury Commons L.P., a Washington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limited partnership, (D) Sea Girt Limited Partnership, a Washington limited partnership, (E) 35 West, LLC, a Washington limited liability company, and</w:t>
      </w:r>
    </w:p>
    <w:p>
      <w:pPr>
        <w:spacing w:after="0" w:line="21" w:lineRule="exact"/>
        <w:rPr>
          <w:sz w:val="20"/>
          <w:szCs w:val="20"/>
          <w:color w:val="auto"/>
        </w:rPr>
      </w:pPr>
    </w:p>
    <w:p>
      <w:pPr>
        <w:ind w:right="80" w:firstLine="8"/>
        <w:spacing w:after="0" w:line="281" w:lineRule="auto"/>
        <w:tabs>
          <w:tab w:leader="none" w:pos="265" w:val="left"/>
        </w:tabs>
        <w:numPr>
          <w:ilvl w:val="0"/>
          <w:numId w:val="2"/>
        </w:numPr>
        <w:rPr>
          <w:rFonts w:ascii="Arial" w:cs="Arial" w:eastAsia="Arial" w:hAnsi="Arial"/>
          <w:sz w:val="16"/>
          <w:szCs w:val="16"/>
          <w:color w:val="auto"/>
        </w:rPr>
      </w:pPr>
      <w:r>
        <w:rPr>
          <w:rFonts w:ascii="Arial" w:cs="Arial" w:eastAsia="Arial" w:hAnsi="Arial"/>
          <w:sz w:val="16"/>
          <w:szCs w:val="16"/>
          <w:color w:val="auto"/>
        </w:rPr>
        <w:t>Federal Realty Partners L.P., a Delaware limited partnership, if and to the extent that redeeming unitholders tender such units for redemption, receive common shares for such redemption and offer or sell any of the common shares issued in respect thereof. We refer to the entities named in items (A) through</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above as the downREIT entities and the units therein as downREIT units.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will not receive any proceeds from the sale of common shares by the selling shareholders or their pledgees.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holders of preferred shares may convert their outstanding preferred shares into a number of common shares determined by dividing (i) the product obtained by multiplying (A) the number of preferred shares being converted by (B) the liquidation price of $25.00 per preferred share; by (ii) the optional conversion price (which conversion price is calculated as provided for in the Articles Supplementary Establishing and Fixing the Rights and Preferences of the preferred shares, which we refer to as the Articles Supplementary) as in effect immediately prior to the close of business on the date of conversion. Conversions are subject to (a) limitations on real estate investment trust share ownership, (b) a minimum conversion amount, (c) conversion frequency limits and (d) black-out periods after public offerings of the registrant. At any time at which the trailing 200 consecutive trading day average closing price of the common shares as reported on the New York Stock Exchange is greater than the mandatory conversion trigger price (which price is calculated as provided for in the Articles Supplementary), the registrant may convert all or any outstanding preferred shares into a number of fully paid and nonassessable common shares determined by dividing (i) the product obtained by multiplying (A) the number of preferred shares being converted by (B) the liquidation price of $25.00 per preferred share; by (ii) the optional conversion price (which conversion price is calculated as provided for in the Articles Supplementary) as in effect immediately prior to the close of business on the conversion date set by the registrant in accordance with the Articles Supplementary.</w:t>
      </w:r>
    </w:p>
    <w:p>
      <w:pPr>
        <w:spacing w:after="0" w:line="1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Each holder of downREIT units has the right to require the applicable downREIT entity to redeem his, her or its downREIT units for cash. At the registrant’s election, the downREIT units tendered for redemption may be redeemed for common shares instead of cash.</w:t>
      </w:r>
    </w:p>
    <w:p>
      <w:pPr>
        <w:spacing w:after="0" w:line="17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some cases, we are registering the common shares being offered under this prospectus pursuant to contractual obligations under registration rights agreements in order to permit the selling shareholders or their permissible transferees to offer or sell such shares without restriction, in the open market or otherwise. However, the registration of such common shares does not necessarily mean that any of the preferred shares will be tendered for conversion, that any of the downREIT units will be tendered for redemption, that any common shares will be issued upon redemption of downREIT units, or that the selling shareholders or their permissible transferees will offer or sell any common shares.</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will pay all expenses incident to the registration of the common shares offered herein (other than brokerage fees and sales commissions, fees and disbursements of the selling shareholders’ counsel, accountants and other advisors and transfer taxes, if any, relating to the sale or disposition of the offered shares).</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common shares are listed on the New York Stock Exchange under the symbol “FRT.” On May 1, 2017, the last reported sales price of our common shares, as reported on the New York Stock Exchange, was $133.16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line="301" w:lineRule="auto"/>
        <w:rPr>
          <w:rFonts w:ascii="Arial" w:cs="Arial" w:eastAsia="Arial" w:hAnsi="Arial"/>
          <w:sz w:val="19"/>
          <w:szCs w:val="19"/>
          <w:b w:val="1"/>
          <w:bCs w:val="1"/>
          <w:color w:val="auto"/>
        </w:rPr>
      </w:pPr>
      <w:r>
        <w:rPr>
          <w:rFonts w:ascii="Arial" w:cs="Arial" w:eastAsia="Arial" w:hAnsi="Arial"/>
          <w:sz w:val="19"/>
          <w:szCs w:val="19"/>
          <w:b w:val="1"/>
          <w:bCs w:val="1"/>
          <w:color w:val="auto"/>
        </w:rPr>
        <w:t>Please read this prospectus and any supplement hereto carefully before you invest. Investing in our common shares involves risks. See “</w:t>
      </w:r>
      <w:hyperlink w:anchor="page6">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2 of our Annual Report on Form 10-K for the fiscal year ended December 31, 2016, and on page 2 of this prospectus, for risks relating to an investment in our common shares.</w:t>
      </w:r>
    </w:p>
    <w:p>
      <w:pPr>
        <w:spacing w:after="0" w:line="13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complete or accurate.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May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59" w:right="279" w:bottom="428"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0" w:type="dxa"/>
            <w:vAlign w:val="bottom"/>
            <w:gridSpan w:val="3"/>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3980" w:type="dxa"/>
            <w:vAlign w:val="bottom"/>
            <w:gridSpan w:val="11"/>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708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3980" w:type="dxa"/>
            <w:vAlign w:val="bottom"/>
            <w:gridSpan w:val="11"/>
            <w:vMerge w:val="continue"/>
          </w:tcPr>
          <w:p>
            <w:pPr>
              <w:spacing w:after="0"/>
              <w:rPr>
                <w:sz w:val="13"/>
                <w:szCs w:val="13"/>
                <w:color w:val="auto"/>
              </w:rPr>
            </w:pPr>
          </w:p>
        </w:tc>
        <w:tc>
          <w:tcPr>
            <w:tcW w:w="708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20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Forward-Looking Information</w:t>
              </w:r>
            </w:hyperlink>
          </w:p>
        </w:tc>
        <w:tc>
          <w:tcPr>
            <w:tcW w:w="1780" w:type="dxa"/>
            <w:vAlign w:val="bottom"/>
            <w:gridSpan w:val="3"/>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Risk Factors</w:t>
              </w:r>
            </w:hyperlink>
          </w:p>
        </w:tc>
        <w:tc>
          <w:tcPr>
            <w:tcW w:w="3060" w:type="dxa"/>
            <w:vAlign w:val="bottom"/>
            <w:gridSpan w:val="8"/>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3980" w:type="dxa"/>
            <w:vAlign w:val="bottom"/>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The Trust</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8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Use of Proceeds</w:t>
              </w:r>
            </w:hyperlink>
          </w:p>
        </w:tc>
        <w:tc>
          <w:tcPr>
            <w:tcW w:w="2800" w:type="dxa"/>
            <w:vAlign w:val="bottom"/>
            <w:gridSpan w:val="6"/>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3980" w:type="dxa"/>
            <w:vAlign w:val="bottom"/>
            <w:gridSpan w:val="1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Selling Shareholders</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980" w:type="dxa"/>
            <w:vAlign w:val="bottom"/>
            <w:gridSpan w:val="11"/>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Material Federal Income Tax Considerations</w:t>
              </w:r>
            </w:hyperlink>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15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6"/>
              </w:rPr>
            </w:pPr>
            <w:hyperlink w:anchor="page33">
              <w:r>
                <w:rPr>
                  <w:rFonts w:ascii="Arial" w:cs="Arial" w:eastAsia="Arial" w:hAnsi="Arial"/>
                  <w:sz w:val="18"/>
                  <w:szCs w:val="18"/>
                  <w:color w:val="0000EE"/>
                  <w:w w:val="96"/>
                </w:rPr>
                <w:t>Plan of Distribution</w:t>
              </w:r>
            </w:hyperlink>
          </w:p>
        </w:tc>
        <w:tc>
          <w:tcPr>
            <w:tcW w:w="1720" w:type="dxa"/>
            <w:vAlign w:val="bottom"/>
            <w:tcBorders>
              <w:top w:val="single" w:sz="8" w:color="0000EE"/>
            </w:tcBorders>
            <w:gridSpan w:val="4"/>
          </w:tcPr>
          <w:p>
            <w:pPr>
              <w:spacing w:after="0"/>
              <w:rPr>
                <w:sz w:val="24"/>
                <w:szCs w:val="24"/>
                <w:color w:val="auto"/>
              </w:rPr>
            </w:pPr>
          </w:p>
        </w:tc>
        <w:tc>
          <w:tcPr>
            <w:tcW w:w="760" w:type="dxa"/>
            <w:vAlign w:val="bottom"/>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Experts</w:t>
              </w:r>
            </w:hyperlink>
          </w:p>
        </w:tc>
        <w:tc>
          <w:tcPr>
            <w:tcW w:w="3420" w:type="dxa"/>
            <w:vAlign w:val="bottom"/>
            <w:gridSpan w:val="10"/>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0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Legal Matters</w:t>
              </w:r>
            </w:hyperlink>
          </w:p>
        </w:tc>
        <w:tc>
          <w:tcPr>
            <w:tcW w:w="2960" w:type="dxa"/>
            <w:vAlign w:val="bottom"/>
            <w:gridSpan w:val="7"/>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288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Where You Can Find More Information</w:t>
              </w:r>
            </w:hyperlink>
          </w:p>
        </w:tc>
        <w:tc>
          <w:tcPr>
            <w:tcW w:w="1100" w:type="dxa"/>
            <w:vAlign w:val="bottom"/>
            <w:gridSpan w:val="2"/>
          </w:tcPr>
          <w:p>
            <w:pPr>
              <w:spacing w:after="0"/>
              <w:rPr>
                <w:sz w:val="24"/>
                <w:szCs w:val="24"/>
                <w:color w:val="auto"/>
              </w:rPr>
            </w:pPr>
          </w:p>
        </w:tc>
        <w:tc>
          <w:tcPr>
            <w:tcW w:w="740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selling shareholders or their pledgees may sell the securities described in this prospectus either separately or in units, in one or more offerings. Our prospectus provides you with a general description of these securities.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You should read this prospectus together with any additional information you may need to make your investment decision. You should also read and carefully consider the information in the documents we have referred you to in “Where to Find Additional Information” below. Information incorporated by reference after the date of this prospectus may add, update or change information contained in this prospectus. Any information in such subsequent filings that is inconsistent with this prospectus will supersede the information in this prospectus or any earlier prospectus supplement.</w:t>
      </w:r>
    </w:p>
    <w:p>
      <w:pPr>
        <w:spacing w:after="0" w:line="17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References to “we,” “us” or “our” refer to Federal Realty Investment Trust and its directly or indirectly owned subsidiaries, unless the context otherwise requires. References to the “Trust” refer to Federal Realty Investment Trust. The term “you” refers to a prospective investor.</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This prospectus contains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incorporated by reference in this prospectus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information, or to publicly release the results if we revise any of them.</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Investing in our securities involves risks. Before making an investment decision, please consider the risks described under the caption “Risk Factors” in our Annual Report on Form 10-K for the fiscal year ended December 31, 2016,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and South Florida. As of December 31, 2016, we owned or had a majority interest in community and neighborhood shopping centers and mixed-use properties which are operated as 96 predominantly retail real estate projects comprising approximately 22.6 million square feet. In total, the real estate projects were 94.4% leased and 93.3% occupied at December 31, 2016. We have paid quarterly dividends to our shareholders continuously since our founding in 1962 and have increased our dividends per common share for 49 consecutive years.</w:t>
      </w:r>
    </w:p>
    <w:p>
      <w:pPr>
        <w:spacing w:after="0" w:line="16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 is (301) 998-8100. Our website address is www.federalrealty.com. The information contained on our website is not a part of this prospectus and is not incorporated herein by reference.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will not receive any proceeds from the sale of the common shares by the selling shareholders or their pledgees. We will pay all costs and expenses incident to the registration of the offered shares, other than brokerage fees and sales commissions, fees and disbursements of the selling shareholders’ counsel, accountants and other advisors, and share transfer and other taxes attributable the sale of the offered shares, which will be paid by the selling shareholders. See “Selling Shareholders.”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selling shareholders hold an aggregate of 399,896 preferred shares and 817,992 downREIT units, which they acquired in exchange for their interests in certain entities owning real properties. We may issue the common shares to the selling shareholders or their pledgees in exchange for (i) the preferred shares if and to the extent that the selling shareholders or their pledgees tender their preferred shares for conversion or (ii) the downREIT units if and to the extent that the selling shareholders or their pledgees tender their downREIT units for redemption and the registrant elects to issue common shares in exchange for such downREIT units. The common shares offered by this prospectus may be offered from time to time by the selling shareholders named below and by any additional selling shareholders who may be named in a supplement to this prospectus. The following table sets forth the name of each selling shareholder and the number of our common shares that may be offered by each selling shareholder. The selling shareholders may pledge common shares, preferred shares or downREIT units to secure financing or for other purposes. As a result, pledgees or other permitted transferees of the selling shareholders may use this registration statement to sell common shares issued to them in connection with such pledges in the event the selling shareholder defaults.</w:t>
      </w:r>
    </w:p>
    <w:p>
      <w:pPr>
        <w:spacing w:after="0" w:line="16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None of the selling shareholders has had any position, office or other material relationship with us, or any of our predecessors or affiliates, during the past three years. Since the selling shareholders may sell all, some or none of the common shares covered by this prospectus, no estimate can be made of the number of common shares that will be sold by the selling shareholders pursuant to this prospectus or that will be owned by the selling shareholders upon completion of the offering. Assuming the conversion (upon the election of the preferred shareholders) of all outstanding preferred shares and the redemption (upon the election of the holders of downREIT units to tender their downREIT units for redemption and the election of the registrant to issue common shares in exchange for all such tendered downREIT units) of all outstanding downREIT units owned by all of the selling shareholders as of the date hereof, no selling shareholder would hold 1% or more of the total number of our common shares outstanding as of May 1, 2017.</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Number of</w:t>
            </w: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1120" w:type="dxa"/>
            <w:vAlign w:val="bottom"/>
          </w:tcPr>
          <w:p>
            <w:pPr>
              <w:spacing w:after="0"/>
              <w:rPr>
                <w:sz w:val="14"/>
                <w:szCs w:val="14"/>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30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0" w:type="dxa"/>
            <w:vAlign w:val="bottom"/>
          </w:tcPr>
          <w:p>
            <w:pPr>
              <w:spacing w:after="0"/>
              <w:rPr>
                <w:sz w:val="1"/>
                <w:szCs w:val="1"/>
                <w:color w:val="auto"/>
              </w:rPr>
            </w:pPr>
          </w:p>
        </w:tc>
      </w:tr>
      <w:tr>
        <w:trPr>
          <w:trHeight w:val="149"/>
        </w:trPr>
        <w:tc>
          <w:tcPr>
            <w:tcW w:w="3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Selling Shareholder</w:t>
            </w:r>
          </w:p>
        </w:tc>
        <w:tc>
          <w:tcPr>
            <w:tcW w:w="1860" w:type="dxa"/>
            <w:vAlign w:val="bottom"/>
          </w:tcPr>
          <w:p>
            <w:pPr>
              <w:spacing w:after="0"/>
              <w:rPr>
                <w:sz w:val="12"/>
                <w:szCs w:val="12"/>
                <w:color w:val="auto"/>
              </w:rPr>
            </w:pPr>
          </w:p>
        </w:tc>
        <w:tc>
          <w:tcPr>
            <w:tcW w:w="18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120" w:type="dxa"/>
            <w:vAlign w:val="bottom"/>
          </w:tcPr>
          <w:p>
            <w:pPr>
              <w:spacing w:after="0"/>
              <w:rPr>
                <w:sz w:val="12"/>
                <w:szCs w:val="12"/>
                <w:color w:val="auto"/>
              </w:rPr>
            </w:pPr>
          </w:p>
        </w:tc>
        <w:tc>
          <w:tcPr>
            <w:tcW w:w="13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71"/>
        </w:trPr>
        <w:tc>
          <w:tcPr>
            <w:tcW w:w="3940" w:type="dxa"/>
            <w:vAlign w:val="bottom"/>
            <w:gridSpan w:val="2"/>
            <w:vMerge w:val="continue"/>
          </w:tcPr>
          <w:p>
            <w:pPr>
              <w:spacing w:after="0"/>
              <w:rPr>
                <w:sz w:val="14"/>
                <w:szCs w:val="14"/>
                <w:color w:val="auto"/>
              </w:rPr>
            </w:pPr>
          </w:p>
        </w:tc>
        <w:tc>
          <w:tcPr>
            <w:tcW w:w="1860" w:type="dxa"/>
            <w:vAlign w:val="bottom"/>
          </w:tcPr>
          <w:p>
            <w:pPr>
              <w:spacing w:after="0"/>
              <w:rPr>
                <w:sz w:val="14"/>
                <w:szCs w:val="14"/>
                <w:color w:val="auto"/>
              </w:rPr>
            </w:pPr>
          </w:p>
        </w:tc>
        <w:tc>
          <w:tcPr>
            <w:tcW w:w="18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Prior to Offering (1)</w:t>
            </w: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Being Offered(2)</w:t>
            </w:r>
          </w:p>
        </w:tc>
        <w:tc>
          <w:tcPr>
            <w:tcW w:w="1120" w:type="dxa"/>
            <w:vAlign w:val="bottom"/>
          </w:tcPr>
          <w:p>
            <w:pPr>
              <w:spacing w:after="0"/>
              <w:rPr>
                <w:sz w:val="14"/>
                <w:szCs w:val="14"/>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After the Offering (3)</w:t>
            </w:r>
          </w:p>
        </w:tc>
        <w:tc>
          <w:tcPr>
            <w:tcW w:w="0" w:type="dxa"/>
            <w:vAlign w:val="bottom"/>
          </w:tcPr>
          <w:p>
            <w:pPr>
              <w:spacing w:after="0"/>
              <w:rPr>
                <w:sz w:val="1"/>
                <w:szCs w:val="1"/>
                <w:color w:val="auto"/>
              </w:rPr>
            </w:pPr>
          </w:p>
        </w:tc>
      </w:tr>
      <w:tr>
        <w:trPr>
          <w:trHeight w:val="210"/>
        </w:trPr>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 Thomas Campbell</w:t>
            </w:r>
          </w:p>
        </w:tc>
        <w:tc>
          <w:tcPr>
            <w:tcW w:w="216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(4)</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Bruce S. Campbell, III</w:t>
            </w:r>
          </w:p>
        </w:tc>
        <w:tc>
          <w:tcPr>
            <w:tcW w:w="3680" w:type="dxa"/>
            <w:vAlign w:val="bottom"/>
            <w:gridSpan w:val="3"/>
          </w:tcPr>
          <w:p>
            <w:pPr>
              <w:jc w:val="right"/>
              <w:ind w:right="56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16,780</w:t>
            </w:r>
          </w:p>
        </w:tc>
        <w:tc>
          <w:tcPr>
            <w:tcW w:w="1120" w:type="dxa"/>
            <w:vAlign w:val="bottom"/>
          </w:tcPr>
          <w:p>
            <w:pPr>
              <w:ind w:left="280"/>
              <w:spacing w:after="0"/>
              <w:rPr>
                <w:sz w:val="20"/>
                <w:szCs w:val="20"/>
                <w:color w:val="auto"/>
              </w:rPr>
            </w:pPr>
            <w:r>
              <w:rPr>
                <w:rFonts w:ascii="Arial" w:cs="Arial" w:eastAsia="Arial" w:hAnsi="Arial"/>
                <w:sz w:val="18"/>
                <w:szCs w:val="18"/>
                <w:color w:val="auto"/>
              </w:rPr>
              <w:t>(5)</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S. Campbell, IV</w:t>
            </w:r>
          </w:p>
        </w:tc>
        <w:tc>
          <w:tcPr>
            <w:tcW w:w="3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1,025</w:t>
            </w:r>
          </w:p>
        </w:tc>
        <w:tc>
          <w:tcPr>
            <w:tcW w:w="1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(6)</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Carol C. Haislip</w:t>
            </w:r>
          </w:p>
        </w:tc>
        <w:tc>
          <w:tcPr>
            <w:tcW w:w="3680" w:type="dxa"/>
            <w:vAlign w:val="bottom"/>
            <w:gridSpan w:val="3"/>
          </w:tcPr>
          <w:p>
            <w:pPr>
              <w:jc w:val="right"/>
              <w:ind w:right="56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5,306</w:t>
            </w:r>
          </w:p>
        </w:tc>
        <w:tc>
          <w:tcPr>
            <w:tcW w:w="1120" w:type="dxa"/>
            <w:vAlign w:val="bottom"/>
          </w:tcPr>
          <w:p>
            <w:pPr>
              <w:ind w:left="280"/>
              <w:spacing w:after="0"/>
              <w:rPr>
                <w:sz w:val="20"/>
                <w:szCs w:val="20"/>
                <w:color w:val="auto"/>
              </w:rPr>
            </w:pPr>
            <w:r>
              <w:rPr>
                <w:rFonts w:ascii="Arial" w:cs="Arial" w:eastAsia="Arial" w:hAnsi="Arial"/>
                <w:sz w:val="18"/>
                <w:szCs w:val="18"/>
                <w:color w:val="auto"/>
              </w:rPr>
              <w:t>(7)</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Caroline Campbell Hill</w:t>
            </w:r>
          </w:p>
        </w:tc>
        <w:tc>
          <w:tcPr>
            <w:tcW w:w="3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656</w:t>
            </w:r>
          </w:p>
        </w:tc>
        <w:tc>
          <w:tcPr>
            <w:tcW w:w="1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(8)</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Carolyn C. Beall</w:t>
            </w:r>
          </w:p>
        </w:tc>
        <w:tc>
          <w:tcPr>
            <w:tcW w:w="3680" w:type="dxa"/>
            <w:vAlign w:val="bottom"/>
            <w:gridSpan w:val="3"/>
          </w:tcPr>
          <w:p>
            <w:pPr>
              <w:jc w:val="right"/>
              <w:ind w:right="560"/>
              <w:spacing w:after="0"/>
              <w:rPr>
                <w:sz w:val="20"/>
                <w:szCs w:val="20"/>
                <w:color w:val="auto"/>
              </w:rPr>
            </w:pPr>
            <w:r>
              <w:rPr>
                <w:rFonts w:ascii="Arial" w:cs="Arial" w:eastAsia="Arial" w:hAnsi="Arial"/>
                <w:sz w:val="18"/>
                <w:szCs w:val="18"/>
                <w:color w:val="auto"/>
              </w:rPr>
              <w:t>1,672</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7,332</w:t>
            </w:r>
          </w:p>
        </w:tc>
        <w:tc>
          <w:tcPr>
            <w:tcW w:w="1120" w:type="dxa"/>
            <w:vAlign w:val="bottom"/>
          </w:tcPr>
          <w:p>
            <w:pPr>
              <w:ind w:left="280"/>
              <w:spacing w:after="0"/>
              <w:rPr>
                <w:sz w:val="20"/>
                <w:szCs w:val="20"/>
                <w:color w:val="auto"/>
              </w:rPr>
            </w:pPr>
            <w:r>
              <w:rPr>
                <w:rFonts w:ascii="Arial" w:cs="Arial" w:eastAsia="Arial" w:hAnsi="Arial"/>
                <w:sz w:val="18"/>
                <w:szCs w:val="18"/>
                <w:color w:val="auto"/>
              </w:rPr>
              <w:t>(9)</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Charlton G. Campbell Hughes</w:t>
            </w:r>
          </w:p>
        </w:tc>
        <w:tc>
          <w:tcPr>
            <w:tcW w:w="3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33,585</w:t>
            </w:r>
          </w:p>
        </w:tc>
        <w:tc>
          <w:tcPr>
            <w:tcW w:w="1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(10)</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Douglas Franklin Campbell</w:t>
            </w:r>
          </w:p>
        </w:tc>
        <w:tc>
          <w:tcPr>
            <w:tcW w:w="3680" w:type="dxa"/>
            <w:vAlign w:val="bottom"/>
            <w:gridSpan w:val="3"/>
          </w:tcPr>
          <w:p>
            <w:pPr>
              <w:jc w:val="right"/>
              <w:ind w:right="560"/>
              <w:spacing w:after="0"/>
              <w:rPr>
                <w:sz w:val="20"/>
                <w:szCs w:val="20"/>
                <w:color w:val="auto"/>
              </w:rPr>
            </w:pPr>
            <w:r>
              <w:rPr>
                <w:rFonts w:ascii="Arial" w:cs="Arial" w:eastAsia="Arial" w:hAnsi="Arial"/>
                <w:sz w:val="18"/>
                <w:szCs w:val="18"/>
                <w:color w:val="auto"/>
              </w:rPr>
              <w:t>1,101</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6,020</w:t>
            </w:r>
          </w:p>
        </w:tc>
        <w:tc>
          <w:tcPr>
            <w:tcW w:w="1120" w:type="dxa"/>
            <w:vAlign w:val="bottom"/>
          </w:tcPr>
          <w:p>
            <w:pPr>
              <w:ind w:left="280"/>
              <w:spacing w:after="0"/>
              <w:rPr>
                <w:sz w:val="20"/>
                <w:szCs w:val="20"/>
                <w:color w:val="auto"/>
              </w:rPr>
            </w:pPr>
            <w:r>
              <w:rPr>
                <w:rFonts w:ascii="Arial" w:cs="Arial" w:eastAsia="Arial" w:hAnsi="Arial"/>
                <w:sz w:val="18"/>
                <w:szCs w:val="18"/>
                <w:color w:val="auto"/>
              </w:rPr>
              <w:t>(11)</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Gregg T. Campbell</w:t>
            </w:r>
          </w:p>
        </w:tc>
        <w:tc>
          <w:tcPr>
            <w:tcW w:w="3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3,008</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36,515</w:t>
            </w:r>
          </w:p>
        </w:tc>
        <w:tc>
          <w:tcPr>
            <w:tcW w:w="1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(12)</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Judith F. Campbell</w:t>
            </w:r>
          </w:p>
        </w:tc>
        <w:tc>
          <w:tcPr>
            <w:tcW w:w="3680" w:type="dxa"/>
            <w:vAlign w:val="bottom"/>
            <w:gridSpan w:val="3"/>
          </w:tcPr>
          <w:p>
            <w:pPr>
              <w:jc w:val="right"/>
              <w:ind w:right="56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232</w:t>
            </w:r>
          </w:p>
        </w:tc>
        <w:tc>
          <w:tcPr>
            <w:tcW w:w="1120" w:type="dxa"/>
            <w:vAlign w:val="bottom"/>
          </w:tcPr>
          <w:p>
            <w:pPr>
              <w:ind w:left="280"/>
              <w:spacing w:after="0"/>
              <w:rPr>
                <w:sz w:val="20"/>
                <w:szCs w:val="20"/>
                <w:color w:val="auto"/>
              </w:rPr>
            </w:pPr>
            <w:r>
              <w:rPr>
                <w:rFonts w:ascii="Arial" w:cs="Arial" w:eastAsia="Arial" w:hAnsi="Arial"/>
                <w:sz w:val="18"/>
                <w:szCs w:val="18"/>
                <w:color w:val="auto"/>
              </w:rPr>
              <w:t>(13)</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Kathleen Campbell Ackerman</w:t>
            </w:r>
          </w:p>
        </w:tc>
        <w:tc>
          <w:tcPr>
            <w:tcW w:w="36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656</w:t>
            </w:r>
          </w:p>
        </w:tc>
        <w:tc>
          <w:tcPr>
            <w:tcW w:w="1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(14)</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65"/>
        </w:trPr>
        <w:tc>
          <w:tcPr>
            <w:tcW w:w="17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w:t>
            </w: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00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5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Madeline C. Modica</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90</w:t>
            </w: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7,679</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Marcie C. McHale</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1,090</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6,020</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(16)</w:t>
            </w:r>
          </w:p>
        </w:tc>
        <w:tc>
          <w:tcPr>
            <w:tcW w:w="840" w:type="dxa"/>
            <w:vAlign w:val="bottom"/>
          </w:tcPr>
          <w:p>
            <w:pPr>
              <w:jc w:val="right"/>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Bruce Campbell</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7,177</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Russell Tyler Campbell</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0</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6,020</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(18)</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 James Campbell, Jr.</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404</w:t>
            </w: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5,306</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Sarah T. Campbell</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0</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1,025</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(20)</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Taber C. Hook</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9,007</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Thomas M. Campbell</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0</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20,822</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(22)</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 of the Richard L. Campbell, Jr. Residuary Trust</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2,566</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w w:val="96"/>
              </w:rPr>
              <w:t>Trustees of the Generation Skipping Transfer Tax Exempt Trust u/w of S. James Campbell</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0</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9,550</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(24)</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Trustees of the Laurence Thomsen Trust u/a 10/16/67</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25,467</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Paul D. Dollenberg, Jr.</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0</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1,500</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(26)</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Jamie N. Campbell</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21,339</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Virginia T. Campbell</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0</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6,136</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(28)</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Kathleen B. Dollenberg</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1,201</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Brett Campbell Alcarese</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0</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1,756</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(30)</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Kristin D. Chottiner</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3,548</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Douglas F. Campbell, Custodian for Connor M. Campbell under OR-UGMA</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0</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386</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(32)</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F. Campbell, Custodian for Mitchell W. Campbell under OR-UGMA</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386</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Douglas F. Campbell, Custodian for Sarah A. Campbell under OR-UGMA</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0</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386</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(34)</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 Mills Dancy</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348</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George Beall</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0</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174</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(36)</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Alban, IV</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348</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Jesse R. Modica</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0</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348</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(38)</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Jessica C. Hughes</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9,647</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Marcie C. McHale, Custodian for Claire J. McHale under WA-UGMA</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0</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386</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(40)</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Marcie C. McHale, Custodian for Madeline C. McHale under WA-UGMA</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0</w:t>
            </w:r>
          </w:p>
        </w:tc>
        <w:tc>
          <w:tcPr>
            <w:tcW w:w="12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386</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Marcie C. McHale, Custodian for Samuel H. McHale under WA-UGMA</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0</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386</w:t>
            </w: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(42)</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0"/>
        </w:trPr>
        <w:tc>
          <w:tcPr>
            <w:tcW w:w="7000" w:type="dxa"/>
            <w:vAlign w:val="bottom"/>
            <w:gridSpan w:val="3"/>
          </w:tcPr>
          <w:p>
            <w:pPr>
              <w:jc w:val="right"/>
              <w:ind w:right="1240"/>
              <w:spacing w:after="0"/>
              <w:rPr>
                <w:sz w:val="20"/>
                <w:szCs w:val="20"/>
                <w:color w:val="auto"/>
              </w:rPr>
            </w:pPr>
            <w:r>
              <w:rPr>
                <w:rFonts w:ascii="Arial" w:cs="Arial" w:eastAsia="Arial" w:hAnsi="Arial"/>
                <w:sz w:val="18"/>
                <w:szCs w:val="18"/>
                <w:color w:val="auto"/>
              </w:rPr>
              <w:t>4</w:t>
            </w: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6" w:right="2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60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42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Meredith McLean Alcarese</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1,756</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Mitchell W. Hook</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348</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(44)</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 Modica</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348</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Richard E. Hook, IV</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174</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(46)</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Russell T. Campbell, Custodian for Jessica J. Campbell under OR-UGMA</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290</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w w:val="95"/>
              </w:rPr>
              <w:t>Russell T. Campbell, Custodian for Kelsey N. Campbell under OR-UGMA</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290</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(48)</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Russell T. Campbell, Custodian for Lindsey M. Campbell under OR-UGMA</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290</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w w:val="96"/>
              </w:rPr>
              <w:t>Russell T. Campbell, Custodian for Tyler W. Campbell under OR-UGMA</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290</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(50)</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Trustees u/a dated 4/23/85 (Richard E. Hook, IV, Grantor)</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348</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Taber A. Frederick</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348</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(52)</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 Douglas Dollenberg, Sr.</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1,200</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Terranomics</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8,850</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(54)</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Merritt &amp; Pamela Sher Living Trust (Merritt &amp; Pamela Sher, Trustees)</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178,885</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Ronald Sher</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141,405</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(56)</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B. Kabat</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36,148</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VT Trust (J. Victor Fandel, Trustee)</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13,711</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(58)</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Castillo</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2,569</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Ralph and Eliana Kuhn Family Trust (Ralph Kuhn, Trustee)</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10,000</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(60)</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Cori Linn</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2,377</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David Beckerman</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529</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(62)</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A. Bloch</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4,360</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Joseph D. Blum</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864</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(64)</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Bomar</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864</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Cohen Family Trust (George Cohen, Trustee)</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864</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(66)</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 Culbertson Revocable Trust (B.L. Culbertson, Trustee)</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864</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The Fazekas Living Trust (Thomas Fazekas, Trustee)</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864</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(68)</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 &amp; S.M. Javaras Trust (A.N. Javaras, Trustee)</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864</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L.H. &amp; M.R. Miller Trust (Lindley H. Miller, Trustee)</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864</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(70)</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Morse</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2,292</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David Naggar</w:t>
            </w:r>
          </w:p>
        </w:tc>
        <w:tc>
          <w:tcPr>
            <w:tcW w:w="2380" w:type="dxa"/>
            <w:vAlign w:val="bottom"/>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tcPr>
          <w:p>
            <w:pPr>
              <w:jc w:val="right"/>
              <w:ind w:right="370"/>
              <w:spacing w:after="0"/>
              <w:rPr>
                <w:sz w:val="20"/>
                <w:szCs w:val="20"/>
                <w:color w:val="auto"/>
              </w:rPr>
            </w:pPr>
            <w:r>
              <w:rPr>
                <w:rFonts w:ascii="Arial" w:cs="Arial" w:eastAsia="Arial" w:hAnsi="Arial"/>
                <w:sz w:val="18"/>
                <w:szCs w:val="18"/>
                <w:color w:val="auto"/>
              </w:rPr>
              <w:t>864</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(72)</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Bruce C. Spikell Trust, UDT 9/13/10 (Bruce C. Spikell, Trustee)</w:t>
            </w:r>
          </w:p>
        </w:tc>
        <w:tc>
          <w:tcPr>
            <w:tcW w:w="2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w:t>
            </w:r>
          </w:p>
        </w:tc>
        <w:tc>
          <w:tcPr>
            <w:tcW w:w="1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864</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380" w:type="dxa"/>
            <w:vAlign w:val="bottom"/>
          </w:tcPr>
          <w:p>
            <w:pPr>
              <w:jc w:val="right"/>
              <w:ind w:right="2130"/>
              <w:spacing w:after="0"/>
              <w:rPr>
                <w:sz w:val="20"/>
                <w:szCs w:val="20"/>
                <w:color w:val="auto"/>
              </w:rPr>
            </w:pPr>
            <w:r>
              <w:rPr>
                <w:rFonts w:ascii="Arial" w:cs="Arial" w:eastAsia="Arial" w:hAnsi="Arial"/>
                <w:sz w:val="18"/>
                <w:szCs w:val="18"/>
                <w:color w:val="auto"/>
              </w:rPr>
              <w:t>5</w:t>
            </w:r>
          </w:p>
        </w:tc>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6" w:right="2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00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0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5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&amp; P Steuart Trust dated 9/13/11 (William &amp; Pamela Steuart, Co-Trustees)</w:t>
            </w: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1,836</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Sandra Williamson</w:t>
            </w: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0</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3,749</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(75)</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Offel Trust Agreement (Mignon Offel, Trustee)</w:t>
            </w: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648</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Lynne Bremer</w:t>
            </w: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0</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216</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(77)</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 GP, Inc.</w:t>
            </w: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2,442</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(78)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Lacey Sher</w:t>
            </w: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0</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8,060</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(79)</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Justin Sher</w:t>
            </w: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8,060</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Mark L. Seiler</w:t>
            </w: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0</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718</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(81)</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Rachel Sher</w:t>
            </w: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6,048</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Rebecca Wellington</w:t>
            </w: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0</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6,048</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(83)</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Nigel Sher</w:t>
            </w: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5,286</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Seiler Family Revocable Trust</w:t>
            </w: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0</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718</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(85)</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Circe Sher</w:t>
            </w: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8,060</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Stephen V. Palevich and Kathleen J. Palevich Trust</w:t>
            </w: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0</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1,473</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(87)</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Antonio Center, LLC</w:t>
            </w: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52,598</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Alexander R. Buck</w:t>
            </w: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0</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3,601</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(89)</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Jeremy Buck</w:t>
            </w: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3,052</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Lindsay Buck</w:t>
            </w: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0</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11,255</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(91)</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Dorothy Beer Lodato as Trustee of The Frank J. Lodato Bypass Trust created under the</w:t>
            </w:r>
          </w:p>
        </w:tc>
        <w:tc>
          <w:tcPr>
            <w:tcW w:w="10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terms of The Frank J. Lodato Trust dated March 30, 1976, as amended</w:t>
            </w: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16,769</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80" w:type="dxa"/>
            <w:vAlign w:val="bottom"/>
            <w:gridSpan w:val="2"/>
          </w:tcPr>
          <w:p>
            <w:pPr>
              <w:spacing w:after="0" w:line="201" w:lineRule="exact"/>
              <w:rPr>
                <w:sz w:val="20"/>
                <w:szCs w:val="20"/>
                <w:color w:val="auto"/>
              </w:rPr>
            </w:pPr>
            <w:r>
              <w:rPr>
                <w:rFonts w:ascii="Arial" w:cs="Arial" w:eastAsia="Arial" w:hAnsi="Arial"/>
                <w:sz w:val="18"/>
                <w:szCs w:val="18"/>
                <w:color w:val="auto"/>
                <w:w w:val="96"/>
              </w:rPr>
              <w:t>Jane Bush Miller, Trustee of the Jane Buch Miiler Trust dated August 7, 1990 as amended</w:t>
            </w:r>
          </w:p>
        </w:tc>
        <w:tc>
          <w:tcPr>
            <w:tcW w:w="10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gridSpan w:val="2"/>
          </w:tcPr>
          <w:p>
            <w:pPr>
              <w:ind w:left="160"/>
              <w:spacing w:after="0"/>
              <w:rPr>
                <w:sz w:val="20"/>
                <w:szCs w:val="20"/>
                <w:color w:val="auto"/>
              </w:rPr>
            </w:pPr>
            <w:r>
              <w:rPr>
                <w:rFonts w:ascii="Arial" w:cs="Arial" w:eastAsia="Arial" w:hAnsi="Arial"/>
                <w:sz w:val="18"/>
                <w:szCs w:val="18"/>
                <w:color w:val="auto"/>
              </w:rPr>
              <w:t>on December 23, 1996</w:t>
            </w: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0</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16,769</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(93)</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Janet M. Gunn and Karl Isacson, Co-Trustees of the Charles H. Gunn Revocable Trust</w:t>
            </w: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21,769</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Elizabeth M. McCarthy, a married women, as her separate property</w:t>
            </w: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0</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11,238</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(95)</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Lindley H. Miller, III, as Trustee under Declaration of Trust dated May 10, 1996</w:t>
            </w: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11,238</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Ernest M. Carter</w:t>
            </w: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0</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2,000</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(97)</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Benjamin Weiner</w:t>
            </w:r>
          </w:p>
        </w:tc>
        <w:tc>
          <w:tcPr>
            <w:tcW w:w="10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30,508</w:t>
            </w:r>
          </w:p>
        </w:tc>
        <w:tc>
          <w:tcPr>
            <w:tcW w:w="12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Elaine Price</w:t>
            </w: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0</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2,026</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(99)</w:t>
            </w: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80" w:right="100" w:hanging="572"/>
        <w:spacing w:after="0" w:line="254"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information set forth in this column is partially based on information in the records of the transfer agent and registrar for the common shares on or about May 1, 2017 with respect to the common shares held of record by certain of the selling shareholders. The amount of common shares beneficially owned by each selling shareholder is unknown and not reasonably available, and obtaining such information would require unreasonable effort.</w:t>
      </w:r>
    </w:p>
    <w:p>
      <w:pPr>
        <w:spacing w:after="0" w:line="2" w:lineRule="exact"/>
        <w:rPr>
          <w:rFonts w:ascii="Arial" w:cs="Arial" w:eastAsia="Arial" w:hAnsi="Arial"/>
          <w:sz w:val="18"/>
          <w:szCs w:val="18"/>
          <w:color w:val="auto"/>
        </w:rPr>
      </w:pPr>
    </w:p>
    <w:p>
      <w:pPr>
        <w:ind w:left="580" w:right="120" w:hanging="572"/>
        <w:spacing w:after="0" w:line="254"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the common shares issuable upon (i) conversion (upon the election of the preferred shareholders) as of the date hereof of all outstanding preferred shares and (ii) redemption (upon the election of the downREIT holders and the election of the registrant to acquire all tendered downREIT units in exchange for common shares) as of the date hereof of all outstanding downREIT units, at the conversion price and redemption price in effect as of the date hereof.</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46"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Assuming the sale of all of the common shares being offered under this registration statement.</w:t>
      </w:r>
    </w:p>
    <w:p>
      <w:pPr>
        <w:spacing w:after="0" w:line="23"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5,306 downREIT units of NVI-Avenue, LLC.</w:t>
      </w:r>
    </w:p>
    <w:p>
      <w:pPr>
        <w:spacing w:after="0" w:line="9" w:lineRule="exact"/>
        <w:rPr>
          <w:rFonts w:ascii="Arial" w:cs="Arial" w:eastAsia="Arial" w:hAnsi="Arial"/>
          <w:sz w:val="18"/>
          <w:szCs w:val="18"/>
          <w:color w:val="auto"/>
        </w:rPr>
      </w:pPr>
    </w:p>
    <w:p>
      <w:pPr>
        <w:ind w:left="580" w:right="220" w:hanging="572"/>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9,757 common shares that are issuable to the selling shareholder upon conversion of 40,860 preferred shares, and 7,023 common shares that are issuable to the selling shareholder upon redemption of 7,023 downREIT units of NVI-Avenue, LLC.</w:t>
      </w:r>
    </w:p>
    <w:p>
      <w:pPr>
        <w:ind w:left="580" w:hanging="572"/>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369 common shares that are issuable to the selling shareholder upon conversion of 1,547 preferred shares, and 656 common shares that are issuable to the selling shareholder upon redemption of 656 downREIT units of NVI-Avenue, LLC.</w:t>
      </w: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5,306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656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7,332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conversion of 140,644 preferred shares.</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6,020 downREIT units of NVI-Avenue, LLC.</w:t>
      </w:r>
    </w:p>
    <w:p>
      <w:pPr>
        <w:spacing w:after="0" w:line="9" w:lineRule="exact"/>
        <w:rPr>
          <w:rFonts w:ascii="Arial" w:cs="Arial" w:eastAsia="Arial" w:hAnsi="Arial"/>
          <w:sz w:val="18"/>
          <w:szCs w:val="18"/>
          <w:color w:val="auto"/>
        </w:rPr>
      </w:pPr>
    </w:p>
    <w:p>
      <w:pPr>
        <w:ind w:left="580" w:right="60" w:hanging="572"/>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26,868 common shares that are issuable to the selling shareholder upon conversion of 112,515 preferred shares, and 9,647 common shares that are issuable to the selling shareholder upon redemption of 9,647 downREIT units of NVI-Avenue, LLC.</w:t>
      </w: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232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656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7,679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6,020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7,177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6,020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5,306 downREIT units of NVI-Avenue, LLC.</w:t>
      </w:r>
    </w:p>
    <w:p>
      <w:pPr>
        <w:spacing w:after="0" w:line="9" w:lineRule="exact"/>
        <w:rPr>
          <w:rFonts w:ascii="Arial" w:cs="Arial" w:eastAsia="Arial" w:hAnsi="Arial"/>
          <w:sz w:val="18"/>
          <w:szCs w:val="18"/>
          <w:color w:val="auto"/>
        </w:rPr>
      </w:pPr>
    </w:p>
    <w:p>
      <w:pPr>
        <w:ind w:left="580" w:hanging="572"/>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369 common shares that are issuable to the selling shareholder upon conversion of 1,547 preferred shares, and 656 common shares that are issuable to the selling shareholder upon redemption of 656 downREIT units of NVI-Avenue, LLC.</w:t>
      </w:r>
    </w:p>
    <w:p>
      <w:pPr>
        <w:ind w:left="580" w:hanging="572"/>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1,675 common shares that are issuable to the selling shareholder upon conversion of 7,018 preferred shares, and 7,332 common shares that are issuable to the selling shareholder upon redemption of 7,332 downREIT units of NVI-Avenue, LLC.</w:t>
      </w:r>
    </w:p>
    <w:p>
      <w:pPr>
        <w:ind w:left="580" w:right="140" w:hanging="572"/>
        <w:spacing w:after="0" w:line="250"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11,175 common shares that are issuable to the selling shareholder upon conversion of 46,800 preferred shares, and 9,647 common shares that are issuable to the selling shareholder upon redemption of 9,647 downREIT units of NVI-Avenue, LLC.</w:t>
      </w: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2,566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9,550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25,467 downREIT units of NVI-Avenue, LLC.</w:t>
      </w:r>
    </w:p>
    <w:p>
      <w:pPr>
        <w:spacing w:after="0" w:line="20" w:lineRule="exact"/>
        <w:rPr>
          <w:rFonts w:ascii="Arial" w:cs="Arial" w:eastAsia="Arial" w:hAnsi="Arial"/>
          <w:sz w:val="17"/>
          <w:szCs w:val="17"/>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1,500 downREIT units of NVI-Avenue, LLC.</w:t>
      </w:r>
    </w:p>
    <w:p>
      <w:pPr>
        <w:spacing w:after="0" w:line="9" w:lineRule="exact"/>
        <w:rPr>
          <w:rFonts w:ascii="Arial" w:cs="Arial" w:eastAsia="Arial" w:hAnsi="Arial"/>
          <w:sz w:val="18"/>
          <w:szCs w:val="18"/>
          <w:color w:val="auto"/>
        </w:rPr>
      </w:pPr>
    </w:p>
    <w:p>
      <w:pPr>
        <w:ind w:left="580" w:right="140" w:hanging="572"/>
        <w:spacing w:after="0" w:line="261"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11,692 common shares that are issuable to the selling shareholder upon conversion of 48,965 preferred shares, and 9,647 common shares that are issuable to the selling shareholder upon redemption of 9,647 downREIT units of NVI-Avenue, LLC.</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6,136 downREIT units of NVI-Avenue, LLC.</w:t>
      </w:r>
    </w:p>
    <w:p>
      <w:pPr>
        <w:spacing w:after="0" w:line="34" w:lineRule="exact"/>
        <w:rPr>
          <w:rFonts w:ascii="Arial" w:cs="Arial" w:eastAsia="Arial" w:hAnsi="Arial"/>
          <w:sz w:val="17"/>
          <w:szCs w:val="17"/>
          <w:color w:val="auto"/>
        </w:rPr>
      </w:pPr>
    </w:p>
    <w:p>
      <w:pPr>
        <w:ind w:left="580" w:hanging="572"/>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1,201 downREIT units of NVI-Avenue, LLC.</w:t>
      </w:r>
    </w:p>
    <w:p>
      <w:pPr>
        <w:spacing w:after="0" w:line="20" w:lineRule="exact"/>
        <w:rPr>
          <w:rFonts w:ascii="Arial" w:cs="Arial" w:eastAsia="Arial" w:hAnsi="Arial"/>
          <w:sz w:val="17"/>
          <w:szCs w:val="17"/>
          <w:color w:val="auto"/>
        </w:rPr>
      </w:pPr>
    </w:p>
    <w:p>
      <w:pPr>
        <w:ind w:left="580" w:hanging="572"/>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1,756 downREIT units of NVI-Avenue, LLC.</w:t>
      </w:r>
    </w:p>
    <w:p>
      <w:pPr>
        <w:spacing w:after="0" w:line="20" w:lineRule="exact"/>
        <w:rPr>
          <w:rFonts w:ascii="Arial" w:cs="Arial" w:eastAsia="Arial" w:hAnsi="Arial"/>
          <w:sz w:val="17"/>
          <w:szCs w:val="17"/>
          <w:color w:val="auto"/>
        </w:rPr>
      </w:pPr>
    </w:p>
    <w:p>
      <w:pPr>
        <w:ind w:left="580" w:hanging="572"/>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3,548 downREIT units of NVI-Avenue, LLC.</w:t>
      </w:r>
    </w:p>
    <w:p>
      <w:pPr>
        <w:spacing w:after="0" w:line="20" w:lineRule="exact"/>
        <w:rPr>
          <w:rFonts w:ascii="Arial" w:cs="Arial" w:eastAsia="Arial" w:hAnsi="Arial"/>
          <w:sz w:val="17"/>
          <w:szCs w:val="17"/>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386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386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386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348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174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348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348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9,647 downREIT units of NVI-Avenue, LLC.</w:t>
      </w:r>
    </w:p>
    <w:p>
      <w:pPr>
        <w:spacing w:after="0" w:line="20" w:lineRule="exact"/>
        <w:rPr>
          <w:rFonts w:ascii="Arial" w:cs="Arial" w:eastAsia="Arial" w:hAnsi="Arial"/>
          <w:sz w:val="17"/>
          <w:szCs w:val="17"/>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386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386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386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1,756 downREIT units of NVI-Avenue, LLC.</w:t>
      </w:r>
    </w:p>
    <w:p>
      <w:pPr>
        <w:spacing w:after="0" w:line="20" w:lineRule="exact"/>
        <w:rPr>
          <w:rFonts w:ascii="Arial" w:cs="Arial" w:eastAsia="Arial" w:hAnsi="Arial"/>
          <w:sz w:val="17"/>
          <w:szCs w:val="17"/>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348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348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174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290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290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290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290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348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348 downREIT units of NVI-Avenue, LLC</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1,200 downREIT units of NVI-Avenue, LLC.</w:t>
      </w:r>
    </w:p>
    <w:p>
      <w:pPr>
        <w:spacing w:after="0" w:line="20" w:lineRule="exact"/>
        <w:rPr>
          <w:rFonts w:ascii="Arial" w:cs="Arial" w:eastAsia="Arial" w:hAnsi="Arial"/>
          <w:sz w:val="17"/>
          <w:szCs w:val="17"/>
          <w:color w:val="auto"/>
        </w:rPr>
      </w:pPr>
    </w:p>
    <w:p>
      <w:pPr>
        <w:ind w:left="580" w:hanging="572"/>
        <w:spacing w:after="0" w:line="255"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5,653 downREIT units of Route 35 Shrewsbury Limited Partnership, (ii) 239 downREIT units of Shrewsbury Commons L.P., (iii) 1,964 downREIT units of Sea Girt Limited Partnership and (iv) 994 downREIT units of 35 West, LLC.</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hanging="572"/>
        <w:spacing w:after="0" w:line="256"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92,173 downREIT units of Route 35 Shrewsbury Limited Partnership, (ii) 16,238 downREIT units of Shrewsbury Commons L.P., (iii) 68,238 downREIT units of Sea Girt Limited Partnership and (iv) 2,236 downREIT units of 35 West, LLC.</w:t>
      </w:r>
    </w:p>
    <w:p>
      <w:pPr>
        <w:ind w:left="580" w:right="320" w:hanging="572"/>
        <w:spacing w:after="0" w:line="281"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(i) 65,433 downREIT units of Route 35 Shrewsbury Limited Partnership, (ii) 11,663 downREIT units of Shrewsbury Commons L.P. and (iii) 64,309 downREIT units of Sea Girt Limited Partnership.</w:t>
      </w:r>
    </w:p>
    <w:p>
      <w:pPr>
        <w:spacing w:after="0" w:line="1" w:lineRule="exact"/>
        <w:rPr>
          <w:rFonts w:ascii="Arial" w:cs="Arial" w:eastAsia="Arial" w:hAnsi="Arial"/>
          <w:sz w:val="16"/>
          <w:szCs w:val="16"/>
          <w:color w:val="auto"/>
        </w:rPr>
      </w:pPr>
    </w:p>
    <w:p>
      <w:pPr>
        <w:ind w:left="580" w:right="120" w:hanging="572"/>
        <w:spacing w:after="0" w:line="250"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36,148 downREIT units of Route 35 Shrewsbury Limited Partnership.</w:t>
      </w:r>
    </w:p>
    <w:p>
      <w:pPr>
        <w:ind w:left="580" w:right="120" w:hanging="572"/>
        <w:spacing w:after="0" w:line="250"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13,711 downREIT units of Route 35 Shrewsbury Limited Partnership.</w:t>
      </w:r>
    </w:p>
    <w:p>
      <w:pPr>
        <w:ind w:left="580" w:right="220" w:hanging="572"/>
        <w:spacing w:after="0" w:line="250"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2,569 downREIT units of Route 35 Shrewsbury Limited Partnership.</w:t>
      </w:r>
    </w:p>
    <w:p>
      <w:pPr>
        <w:ind w:left="580" w:right="120" w:hanging="572"/>
        <w:spacing w:after="0" w:line="250"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10,000 downREIT units of Route 35 Shrewsbury Limited Partnership</w:t>
      </w:r>
    </w:p>
    <w:p>
      <w:pPr>
        <w:ind w:left="580" w:right="220" w:hanging="572"/>
        <w:spacing w:after="0" w:line="250"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2,377 downREIT units of Route 35 Shrewsbury Limited Partnership.</w:t>
      </w:r>
    </w:p>
    <w:p>
      <w:pPr>
        <w:ind w:left="580" w:hanging="572"/>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(i) 269 downREIT units of Shrewsbury Commons L.P. and</w:t>
      </w:r>
    </w:p>
    <w:p>
      <w:pPr>
        <w:spacing w:after="0" w:line="32" w:lineRule="exact"/>
        <w:rPr>
          <w:rFonts w:ascii="Arial" w:cs="Arial" w:eastAsia="Arial" w:hAnsi="Arial"/>
          <w:sz w:val="16"/>
          <w:szCs w:val="16"/>
          <w:color w:val="auto"/>
        </w:rPr>
      </w:pPr>
    </w:p>
    <w:p>
      <w:pPr>
        <w:ind w:left="840" w:hanging="265"/>
        <w:spacing w:after="0"/>
        <w:tabs>
          <w:tab w:leader="none" w:pos="840" w:val="left"/>
        </w:tabs>
        <w:numPr>
          <w:ilvl w:val="1"/>
          <w:numId w:val="7"/>
        </w:numPr>
        <w:rPr>
          <w:rFonts w:ascii="Arial" w:cs="Arial" w:eastAsia="Arial" w:hAnsi="Arial"/>
          <w:sz w:val="18"/>
          <w:szCs w:val="18"/>
          <w:color w:val="auto"/>
        </w:rPr>
      </w:pPr>
      <w:r>
        <w:rPr>
          <w:rFonts w:ascii="Arial" w:cs="Arial" w:eastAsia="Arial" w:hAnsi="Arial"/>
          <w:sz w:val="18"/>
          <w:szCs w:val="18"/>
          <w:color w:val="auto"/>
        </w:rPr>
        <w:t>260 downREIT units of Sea Girt Limited Partnership.</w:t>
      </w:r>
    </w:p>
    <w:p>
      <w:pPr>
        <w:spacing w:after="0" w:line="9" w:lineRule="exact"/>
        <w:rPr>
          <w:rFonts w:ascii="Arial" w:cs="Arial" w:eastAsia="Arial" w:hAnsi="Arial"/>
          <w:sz w:val="18"/>
          <w:szCs w:val="18"/>
          <w:color w:val="auto"/>
        </w:rPr>
      </w:pPr>
    </w:p>
    <w:p>
      <w:pPr>
        <w:ind w:left="580" w:right="140" w:hanging="572"/>
        <w:spacing w:after="0" w:line="250"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432 downREIT units of Route 35 Shrewsbury Limited Partnership and (ii) 3,928 downREIT units of Sea Girt Limited Partnership.</w:t>
      </w:r>
    </w:p>
    <w:p>
      <w:pPr>
        <w:ind w:left="580" w:right="340" w:hanging="572"/>
        <w:spacing w:after="0" w:line="250"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580" w:right="340" w:hanging="572"/>
        <w:spacing w:after="0" w:line="250"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580" w:right="340" w:hanging="572"/>
        <w:spacing w:after="0" w:line="250"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580" w:right="340" w:hanging="572"/>
        <w:spacing w:after="0" w:line="250"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580" w:right="340" w:hanging="572"/>
        <w:spacing w:after="0" w:line="250"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580" w:right="340" w:hanging="572"/>
        <w:spacing w:after="0" w:line="250"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580" w:right="340" w:hanging="572"/>
        <w:spacing w:after="0" w:line="250"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580" w:right="220" w:hanging="572"/>
        <w:spacing w:after="0" w:line="250"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1,728 downREIT units of Route 35 Shrewsbury Limited Partnership and (ii) 564 downREIT units of Sea Girt Limited Partnership.</w:t>
      </w:r>
    </w:p>
    <w:p>
      <w:pPr>
        <w:ind w:left="580" w:right="340" w:hanging="572"/>
        <w:spacing w:after="0" w:line="250"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580" w:right="340" w:hanging="572"/>
        <w:spacing w:after="0" w:line="250"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864 downREIT units of Route 35 Shrewsbury Limited Partnership.</w:t>
      </w:r>
    </w:p>
    <w:p>
      <w:pPr>
        <w:ind w:left="580" w:right="220" w:hanging="572"/>
        <w:spacing w:after="0" w:line="250"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1,836 downREIT units of Route 35 Shrewsbury Limited Partnership.</w:t>
      </w:r>
    </w:p>
    <w:p>
      <w:pPr>
        <w:ind w:left="580" w:right="140" w:hanging="572"/>
        <w:spacing w:after="0" w:line="250"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432 downREIT units of Route 35 Shrewsbury Limited Partnership, (ii) 359 downREIT units of Shrewsbury Commons L.P., (iii) 1,964 downREIT units of Sea Girt Limited Partnership and (iv) 994 downREIT units of 35 West, LLC.</w:t>
      </w:r>
    </w:p>
    <w:p>
      <w:pPr>
        <w:spacing w:after="0" w:line="1" w:lineRule="exact"/>
        <w:rPr>
          <w:rFonts w:ascii="Arial" w:cs="Arial" w:eastAsia="Arial" w:hAnsi="Arial"/>
          <w:sz w:val="18"/>
          <w:szCs w:val="18"/>
          <w:color w:val="auto"/>
        </w:rPr>
      </w:pPr>
    </w:p>
    <w:p>
      <w:pPr>
        <w:ind w:left="580" w:right="340" w:hanging="572"/>
        <w:spacing w:after="0" w:line="250"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648 downREIT units of Route 35 Shrewsbury Limited Partnership.</w:t>
      </w:r>
    </w:p>
    <w:p>
      <w:pPr>
        <w:ind w:left="580" w:right="340" w:hanging="572"/>
        <w:spacing w:after="0" w:line="250"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216 downREIT units of Route 35 Shrewsbury Limited Partnership.</w:t>
      </w:r>
    </w:p>
    <w:p>
      <w:pPr>
        <w:ind w:left="580" w:hanging="572"/>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(i) 478 downREIT units of Shrewsbury Commons L.P. and</w:t>
      </w:r>
    </w:p>
    <w:p>
      <w:pPr>
        <w:spacing w:after="0" w:line="32" w:lineRule="exact"/>
        <w:rPr>
          <w:rFonts w:ascii="Arial" w:cs="Arial" w:eastAsia="Arial" w:hAnsi="Arial"/>
          <w:sz w:val="16"/>
          <w:szCs w:val="16"/>
          <w:color w:val="auto"/>
        </w:rPr>
      </w:pPr>
    </w:p>
    <w:p>
      <w:pPr>
        <w:ind w:left="840" w:hanging="265"/>
        <w:spacing w:after="0"/>
        <w:tabs>
          <w:tab w:leader="none" w:pos="840" w:val="left"/>
        </w:tabs>
        <w:numPr>
          <w:ilvl w:val="1"/>
          <w:numId w:val="7"/>
        </w:numPr>
        <w:rPr>
          <w:rFonts w:ascii="Arial" w:cs="Arial" w:eastAsia="Arial" w:hAnsi="Arial"/>
          <w:sz w:val="18"/>
          <w:szCs w:val="18"/>
          <w:color w:val="auto"/>
        </w:rPr>
      </w:pPr>
      <w:r>
        <w:rPr>
          <w:rFonts w:ascii="Arial" w:cs="Arial" w:eastAsia="Arial" w:hAnsi="Arial"/>
          <w:sz w:val="18"/>
          <w:szCs w:val="18"/>
          <w:color w:val="auto"/>
        </w:rPr>
        <w:t>1,964 downREIT units of Sea Girt Limited Partnership.</w:t>
      </w:r>
    </w:p>
    <w:p>
      <w:pPr>
        <w:spacing w:after="0" w:line="9" w:lineRule="exact"/>
        <w:rPr>
          <w:rFonts w:ascii="Arial" w:cs="Arial" w:eastAsia="Arial" w:hAnsi="Arial"/>
          <w:sz w:val="18"/>
          <w:szCs w:val="18"/>
          <w:color w:val="auto"/>
        </w:rPr>
      </w:pPr>
    </w:p>
    <w:p>
      <w:pPr>
        <w:ind w:left="580" w:right="20" w:hanging="572"/>
        <w:spacing w:after="0" w:line="261"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897 downREIT units of Shrewsbury Commons L.P., (ii) 3,437 downREIT units of Sea Girt Limited Partnership and (iii) 3,726 downREIT units of 35 West, LLC.</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hanging="572"/>
        <w:spacing w:after="0" w:line="258"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897 downREIT units of Shrewsbury Commons L.P., (ii) 3,437 downREIT units of Sea Girt Limited Partnership, and (iii) 3,726 downREIT units of 35 West, LLC.</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718 downREIT units of Shrewsbury Commons L.P.</w:t>
      </w:r>
    </w:p>
    <w:p>
      <w:pPr>
        <w:spacing w:after="0" w:line="20" w:lineRule="exact"/>
        <w:rPr>
          <w:rFonts w:ascii="Arial" w:cs="Arial" w:eastAsia="Arial" w:hAnsi="Arial"/>
          <w:sz w:val="17"/>
          <w:szCs w:val="17"/>
          <w:color w:val="auto"/>
        </w:rPr>
      </w:pPr>
    </w:p>
    <w:p>
      <w:pPr>
        <w:ind w:left="580" w:hanging="572"/>
        <w:spacing w:after="0" w:line="250"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359 downREIT units of Shrewsbury Commons L.P., (ii) 4,199 downREIT units of Sea Girt Limited Partnership and (iii) 1,490 downREIT units of 35 West, LLC.</w:t>
      </w:r>
    </w:p>
    <w:p>
      <w:pPr>
        <w:ind w:left="580" w:hanging="572"/>
        <w:spacing w:after="0" w:line="250"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359 downREIT units of Shrewsbury Commons L.P., (ii) 4,199 downREIT units of Sea Girt Limited Partnership and (iii) 1,490 downREIT units of 35 West, LLC.</w:t>
      </w:r>
    </w:p>
    <w:p>
      <w:pPr>
        <w:ind w:left="580" w:hanging="572"/>
        <w:spacing w:after="0" w:line="250"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359 downREIT units of Shrewsbury Commons L.P., (ii) 3,437 downREIT units of Sea Girt Limited Partnership and (iii) 1,490 downREIT units of 35 West, LLC.</w:t>
      </w:r>
    </w:p>
    <w:p>
      <w:pPr>
        <w:ind w:left="580" w:hanging="572"/>
        <w:spacing w:after="0"/>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common shares that are issuable to the selling shareholder upon redemption of 718 downREIT units of Shrewsbury Commons L.P.</w:t>
      </w:r>
    </w:p>
    <w:p>
      <w:pPr>
        <w:spacing w:after="0" w:line="20" w:lineRule="exact"/>
        <w:rPr>
          <w:rFonts w:ascii="Arial" w:cs="Arial" w:eastAsia="Arial" w:hAnsi="Arial"/>
          <w:sz w:val="17"/>
          <w:szCs w:val="17"/>
          <w:color w:val="auto"/>
        </w:rPr>
      </w:pPr>
    </w:p>
    <w:p>
      <w:pPr>
        <w:ind w:left="580" w:hanging="572"/>
        <w:spacing w:after="0" w:line="250"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common shares that are issuable to the selling shareholder upon redemption of (i) 897 downREIT units of Shrewsbury Commons L.P., (ii) 3,437 downREIT units of Sea Girt Limited Partnership and (iii) 3,726 downREIT units of 35 West, LLC.</w:t>
      </w:r>
    </w:p>
    <w:p>
      <w:pPr>
        <w:ind w:left="580" w:hanging="572"/>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1,473 downREIT units of Sea Girt Limited Partnership.</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52,598 downREIT units of Federal Realty Partners L.P.</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3,601 downREIT units of Federal Realty Partners L.P.</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3,052 downREIT units of Federal Realty Partners L.P.</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11,255 downREIT units of Federal Realty Partners L.P.</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16,769 downREIT units of Federal Realty Partners L.P.</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16,769 downREIT units of Federal Realty Partners L.P.</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21,769 downREIT units of Federal Realty Partners L.P.</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11,238 downREIT units of Federal Realty Partners L.P.</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11,238 downREIT units of Federal Realty Partners L.P.</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2,000 downREIT units of Federal Realty Partners L.P.</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30,508 downREIT units of Federal Realty Partners L.P.</w:t>
      </w:r>
    </w:p>
    <w:p>
      <w:pPr>
        <w:spacing w:after="0" w:line="32" w:lineRule="exact"/>
        <w:rPr>
          <w:rFonts w:ascii="Arial" w:cs="Arial" w:eastAsia="Arial" w:hAnsi="Arial"/>
          <w:sz w:val="16"/>
          <w:szCs w:val="16"/>
          <w:color w:val="auto"/>
        </w:rPr>
      </w:pPr>
    </w:p>
    <w:p>
      <w:pPr>
        <w:ind w:left="580" w:hanging="572"/>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common shares that are issuable to the selling shareholder upon redemption of 2,026 downREIT units of Federal Realty Partners L.P.</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section summarizes the material federal income tax issues that you may consider relevant relating to our taxation as a REIT under the Code, and the acquisition, ownership, and disposition of our common shares. Because this section is a summary, it does not address all of the tax issues that may be important to you. For example, the discussion of the tax treatment of our shareholders addresses only common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69" w:lineRule="exact"/>
        <w:rPr>
          <w:sz w:val="20"/>
          <w:szCs w:val="20"/>
          <w:color w:val="auto"/>
        </w:rPr>
      </w:pPr>
    </w:p>
    <w:p>
      <w:pPr>
        <w:ind w:right="980"/>
        <w:spacing w:after="0" w:line="342" w:lineRule="auto"/>
        <w:rPr>
          <w:sz w:val="20"/>
          <w:szCs w:val="20"/>
          <w:color w:val="auto"/>
        </w:rPr>
      </w:pPr>
      <w:r>
        <w:rPr>
          <w:rFonts w:ascii="Arial" w:cs="Arial" w:eastAsia="Arial" w:hAnsi="Arial"/>
          <w:sz w:val="16"/>
          <w:szCs w:val="16"/>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2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w:t>
      </w:r>
    </w:p>
    <w:p>
      <w:pPr>
        <w:spacing w:after="0" w:line="187"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COMMON SHARES, OUR ELECTION TO BE TAXED AS A REIT AND THE EFFECT OF POTENTIAL CHANGES IN APPLICABLE TAX LAWS.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opinion of our tax counsel, Pillsbury Winthrop Shaw Pittman LLP, (i) we qualified as a REIT under Sections 856 through 860 of the Code with respect to each of our taxable years ended through December 31, 2016;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ownership, business, properties and operations. We may not, however, have met or continue to meet such requirements. You 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6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as a result of a deduction we receive for such distributions (the “dividends paid deduction”).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92" w:lineRule="exact"/>
        <w:rPr>
          <w:sz w:val="20"/>
          <w:szCs w:val="20"/>
          <w:color w:val="auto"/>
        </w:rPr>
      </w:pPr>
    </w:p>
    <w:p>
      <w:pPr>
        <w:ind w:left="900" w:right="34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be subject to the “alternative minimum tax” on any items of tax preference that we do not distribute or allocate to our shareholders;</w:t>
      </w:r>
    </w:p>
    <w:p>
      <w:pPr>
        <w:spacing w:after="0" w:line="142"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46" w:lineRule="exact"/>
        <w:rPr>
          <w:rFonts w:ascii="Arial" w:cs="Arial" w:eastAsia="Arial" w:hAnsi="Arial"/>
          <w:sz w:val="16"/>
          <w:szCs w:val="16"/>
          <w:color w:val="auto"/>
        </w:rPr>
      </w:pPr>
    </w:p>
    <w:p>
      <w:pPr>
        <w:ind w:left="90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5" w:lineRule="exact"/>
        <w:rPr>
          <w:rFonts w:ascii="Arial" w:cs="Arial" w:eastAsia="Arial" w:hAnsi="Arial"/>
          <w:sz w:val="16"/>
          <w:szCs w:val="16"/>
          <w:color w:val="auto"/>
        </w:rPr>
      </w:pPr>
    </w:p>
    <w:p>
      <w:pPr>
        <w:ind w:left="900" w:right="4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if we fail, in more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92" w:lineRule="exact"/>
        <w:rPr>
          <w:rFonts w:ascii="Arial" w:cs="Arial" w:eastAsia="Arial" w:hAnsi="Arial"/>
          <w:sz w:val="18"/>
          <w:szCs w:val="18"/>
          <w:color w:val="auto"/>
        </w:rPr>
      </w:pPr>
    </w:p>
    <w:p>
      <w:pPr>
        <w:ind w:left="900" w:right="160" w:hanging="325"/>
        <w:spacing w:after="0" w:line="286"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5-year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900" w:right="94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our Annual Report on Form 10-K for the fiscal year ended December 31, 2016 under the caption “Risk Factors — To maintain our status as a REIT, we limit the amount of shares any one shareholder can own.”</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 We must satisfy two gross income tests annually to maintain our qualification as a REIT:</w:t>
      </w:r>
    </w:p>
    <w:p>
      <w:pPr>
        <w:spacing w:after="0" w:line="131" w:lineRule="exact"/>
        <w:rPr>
          <w:sz w:val="20"/>
          <w:szCs w:val="20"/>
          <w:color w:val="auto"/>
        </w:rPr>
      </w:pPr>
    </w:p>
    <w:p>
      <w:pPr>
        <w:ind w:left="900" w:right="60" w:hanging="325"/>
        <w:spacing w:after="0" w:line="271"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other than debt instruments of “publicly offered” REITs (REITs that are required to file annual and periodic reports with the Securities and Exchange Commission under the Securities Exchange Act of 1934) that qualify as real estate assets solely for that reason, and dividends or other distributions on and gain from the sale of shares in other REITs; and</w:t>
      </w:r>
    </w:p>
    <w:p>
      <w:pPr>
        <w:spacing w:after="0" w:line="84" w:lineRule="exact"/>
        <w:rPr>
          <w:rFonts w:ascii="Arial" w:cs="Arial" w:eastAsia="Arial" w:hAnsi="Arial"/>
          <w:sz w:val="17"/>
          <w:szCs w:val="17"/>
          <w:color w:val="auto"/>
        </w:rPr>
      </w:pPr>
    </w:p>
    <w:p>
      <w:pPr>
        <w:ind w:left="900" w:right="100" w:hanging="325"/>
        <w:spacing w:after="0" w:line="279"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87" w:lineRule="exact"/>
        <w:rPr>
          <w:sz w:val="20"/>
          <w:szCs w:val="20"/>
          <w:color w:val="auto"/>
        </w:rPr>
      </w:pPr>
    </w:p>
    <w:p>
      <w:pPr>
        <w:ind w:left="900" w:hanging="325"/>
        <w:spacing w:after="0" w:line="297"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63" w:lineRule="exact"/>
        <w:rPr>
          <w:rFonts w:ascii="Arial" w:cs="Arial" w:eastAsia="Arial" w:hAnsi="Arial"/>
          <w:sz w:val="16"/>
          <w:szCs w:val="16"/>
          <w:color w:val="auto"/>
        </w:rPr>
      </w:pPr>
    </w:p>
    <w:p>
      <w:pPr>
        <w:ind w:left="900" w:hanging="325"/>
        <w:spacing w:after="0" w:line="269"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85" w:lineRule="exact"/>
        <w:rPr>
          <w:rFonts w:ascii="Arial" w:cs="Arial" w:eastAsia="Arial" w:hAnsi="Arial"/>
          <w:sz w:val="17"/>
          <w:szCs w:val="17"/>
          <w:color w:val="auto"/>
        </w:rPr>
      </w:pPr>
    </w:p>
    <w:p>
      <w:pPr>
        <w:ind w:left="900" w:right="100" w:hanging="325"/>
        <w:spacing w:after="0" w:line="273"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83" w:lineRule="exact"/>
        <w:rPr>
          <w:rFonts w:ascii="Arial" w:cs="Arial" w:eastAsia="Arial" w:hAnsi="Arial"/>
          <w:sz w:val="17"/>
          <w:szCs w:val="17"/>
          <w:color w:val="auto"/>
        </w:rPr>
      </w:pPr>
    </w:p>
    <w:p>
      <w:pPr>
        <w:ind w:left="900" w:right="60" w:hanging="325"/>
        <w:spacing w:after="0" w:line="272"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 and</w:t>
      </w:r>
    </w:p>
    <w:p>
      <w:pPr>
        <w:spacing w:after="0" w:line="83" w:lineRule="exact"/>
        <w:rPr>
          <w:rFonts w:ascii="Arial" w:cs="Arial" w:eastAsia="Arial" w:hAnsi="Arial"/>
          <w:sz w:val="17"/>
          <w:szCs w:val="17"/>
          <w:color w:val="auto"/>
        </w:rPr>
      </w:pPr>
    </w:p>
    <w:p>
      <w:pPr>
        <w:ind w:left="900" w:right="220" w:hanging="325"/>
        <w:spacing w:after="0" w:line="272"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480"/>
        <w:spacing w:after="0" w:line="264" w:lineRule="auto"/>
        <w:rPr>
          <w:sz w:val="20"/>
          <w:szCs w:val="20"/>
          <w:color w:val="auto"/>
        </w:rPr>
      </w:pPr>
      <w:r>
        <w:rPr>
          <w:rFonts w:ascii="Arial" w:cs="Arial" w:eastAsia="Arial" w:hAnsi="Arial"/>
          <w:sz w:val="18"/>
          <w:szCs w:val="18"/>
          <w:color w:val="auto"/>
        </w:rPr>
        <w:t>ongoing basis in the future, we will use our best efforts to determine in our discretion that any services provided will not cause rents to be disqualified as rents from real property, unless, in either instance, we have determined or we determine in our discretion that the amount of disqualified rent resulting from such services will not jeopardize our status as a REIT.</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 indirectly, if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Interest on debt secured by a mortgage on both real and personal property is qualifying income for purposes of both the 95% and 75% gross income tests if the fair market value of the personal property securing the debt does not exceed 15% of the total fair market value of all property securing the debt. However, in the case of acquisition of an existing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principal exceeds the value of the real estate that is security for the loan as of the date we agreed to acquire the loan.</w:t>
      </w:r>
    </w:p>
    <w:p>
      <w:pPr>
        <w:spacing w:after="0" w:line="183"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Our share of any dividends received from any corporation (including any taxable REIT subsidiary, but excluding any REIT) in which we own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equity interest will qualify for purposes of the 95% gross income test but not for purposes of the 75% gross income test. Our share of any dividends received from any other REIT in which we own an equity interest will be qualifying income for purposes of both gross income tests.</w:t>
      </w:r>
    </w:p>
    <w:p>
      <w:pPr>
        <w:spacing w:after="0" w:line="16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Tax on Income From Property Acquired in Foreclosure</w:t>
      </w:r>
      <w:r>
        <w:rPr>
          <w:rFonts w:ascii="Arial" w:cs="Arial" w:eastAsia="Arial" w:hAnsi="Arial"/>
          <w:sz w:val="17"/>
          <w:szCs w:val="17"/>
          <w:color w:val="auto"/>
        </w:rPr>
        <w:t>. We will be subject to tax at the maximum corporate rate on any income from foreclosure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than income that would be qualifying income for purposes of the 75% gross income test), less expenses directly connected to the production of such income. However, gross income from foreclosure property will qualify under the 75% and 95% gross income tests. “Foreclosure property” is any real property (including interests in real property) and any personal property incident to such real property:</w:t>
      </w:r>
    </w:p>
    <w:p>
      <w:pPr>
        <w:spacing w:after="0" w:line="77" w:lineRule="exact"/>
        <w:rPr>
          <w:sz w:val="20"/>
          <w:szCs w:val="20"/>
          <w:color w:val="auto"/>
        </w:rPr>
      </w:pPr>
    </w:p>
    <w:p>
      <w:pPr>
        <w:ind w:left="900" w:right="120" w:hanging="325"/>
        <w:spacing w:after="0" w:line="308"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7" w:lineRule="exact"/>
        <w:rPr>
          <w:sz w:val="20"/>
          <w:szCs w:val="20"/>
          <w:color w:val="auto"/>
        </w:rPr>
      </w:pPr>
    </w:p>
    <w:p>
      <w:pPr>
        <w:ind w:left="900" w:right="1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200" w:hanging="325"/>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86" w:lineRule="exact"/>
        <w:rPr>
          <w:rFonts w:ascii="Arial" w:cs="Arial" w:eastAsia="Arial" w:hAnsi="Arial"/>
          <w:sz w:val="18"/>
          <w:szCs w:val="18"/>
          <w:color w:val="auto"/>
        </w:rPr>
      </w:pPr>
    </w:p>
    <w:p>
      <w:pPr>
        <w:ind w:left="900" w:right="40" w:hanging="325"/>
        <w:spacing w:after="0" w:line="308"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900" w:right="120" w:hanging="325"/>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 or through a taxable REIT subsidiary).</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Tax on Prohibited Transactions</w:t>
      </w:r>
      <w:r>
        <w:rPr>
          <w:rFonts w:ascii="Arial" w:cs="Arial" w:eastAsia="Arial" w:hAnsi="Arial"/>
          <w:sz w:val="18"/>
          <w:szCs w:val="18"/>
          <w:color w:val="auto"/>
        </w:rPr>
        <w:t>. A REIT will incur a 100% tax on net income (taking into account foreign currency gains and losses) derived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Code provides a safe harbor that, if met by us, allows us to avoid being treated as engaged in a prohibited transaction. In order to meet the safe harbor,</w:t>
      </w:r>
    </w:p>
    <w:p>
      <w:pPr>
        <w:spacing w:after="0" w:line="46" w:lineRule="exact"/>
        <w:rPr>
          <w:sz w:val="20"/>
          <w:szCs w:val="20"/>
          <w:color w:val="auto"/>
        </w:rPr>
      </w:pPr>
    </w:p>
    <w:p>
      <w:pPr>
        <w:ind w:firstLine="8"/>
        <w:spacing w:after="0" w:line="285" w:lineRule="auto"/>
        <w:tabs>
          <w:tab w:leader="none" w:pos="2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With respect to clause (iii) above, if we rely on one of the alternative percentage tests rather than the 7-sale limitation, (A) we are permitted to sell properties with an aggregate adjusted basis (or fair market value) of up to 20% of the aggregate bases in (or fair market value of) our assets as long as the 10% standard is satisfied on average over the three-year period comprised of the taxable year at issue and the two immediately preceding taxable years, and (B) substantially all of the marketing and development expenditures with respect to the property must be made through a taxable REIT subsidiary or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 harbor provision and may sell or dispose of property that could be characterized as property held “primarily for sale to customers in the ordinary course of a trade or business.”</w:t>
      </w:r>
    </w:p>
    <w:p>
      <w:pPr>
        <w:spacing w:after="0" w:line="17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 REIT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 entering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interest rate swaps, caps, and floors, options to purchase these items, and futures and forward contracts) which (i) is clearly identified as such as specified in the Code and Treasury regulations, and (ii) hedges indebtedness incurred or to be incurred by us to acquire or carry real estate assets or is entered into primarily to manage the risk of foreign currency fluctuations with respect to qualifying income under the 75% or 95% gross income test, including gain from the sale or disposition of such a transaction and certain income from hedging transactions entered into to hedge existing hedging positions after any portion of the hedged indebtedness or property is disposed of, will not constitute gross income for purposes of either the 75% or 95% gross income test, and therefore will be exempt from these tests. Income from any hedging transaction not described above will likely be treated as nonqualifying for both the 75% and 95% gross income tests.</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 exchanges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 year,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Tests</w:t>
      </w:r>
      <w:r>
        <w:rPr>
          <w:rFonts w:ascii="Arial" w:cs="Arial" w:eastAsia="Arial" w:hAnsi="Arial"/>
          <w:sz w:val="17"/>
          <w:szCs w:val="17"/>
          <w:color w:val="auto"/>
        </w:rPr>
        <w:t>. To maintain our qualification as a REIT, we also must satisfy the following asset tests at the close of each quarter of each taxable year:</w:t>
      </w:r>
    </w:p>
    <w:p>
      <w:pPr>
        <w:spacing w:after="0" w:line="142" w:lineRule="exact"/>
        <w:rPr>
          <w:sz w:val="20"/>
          <w:szCs w:val="20"/>
          <w:color w:val="auto"/>
        </w:rPr>
      </w:pPr>
    </w:p>
    <w:p>
      <w:pPr>
        <w:ind w:left="900" w:right="40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75" w:lineRule="exact"/>
        <w:rPr>
          <w:rFonts w:ascii="Arial" w:cs="Arial" w:eastAsia="Arial" w:hAnsi="Arial"/>
          <w:sz w:val="18"/>
          <w:szCs w:val="18"/>
          <w:color w:val="auto"/>
        </w:rPr>
      </w:pPr>
    </w:p>
    <w:p>
      <w:pPr>
        <w:ind w:left="1480" w:right="20" w:hanging="446"/>
        <w:spacing w:after="0" w:line="259" w:lineRule="auto"/>
        <w:tabs>
          <w:tab w:leader="none" w:pos="14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on interests in real property, stock in other REITs, and debt instruments of publicly offered REITs. Real estate assets also include personal property to the extent that rent attributable to such personal property qualifies as rents from real property because it does not exceed 15% of the total rent received under the lease. We believe that our properties qualify as real estate assets.</w:t>
      </w:r>
    </w:p>
    <w:p>
      <w:pPr>
        <w:spacing w:after="0" w:line="92" w:lineRule="exact"/>
        <w:rPr>
          <w:rFonts w:ascii="Arial" w:cs="Arial" w:eastAsia="Arial" w:hAnsi="Arial"/>
          <w:sz w:val="18"/>
          <w:szCs w:val="18"/>
          <w:color w:val="auto"/>
        </w:rPr>
      </w:pPr>
    </w:p>
    <w:p>
      <w:pPr>
        <w:jc w:val="both"/>
        <w:ind w:left="1480" w:right="60" w:hanging="446"/>
        <w:spacing w:after="0" w:line="264" w:lineRule="auto"/>
        <w:tabs>
          <w:tab w:leader="none" w:pos="14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6" w:lineRule="exact"/>
        <w:rPr>
          <w:rFonts w:ascii="Arial" w:cs="Arial" w:eastAsia="Arial" w:hAnsi="Arial"/>
          <w:sz w:val="18"/>
          <w:szCs w:val="18"/>
          <w:color w:val="auto"/>
        </w:rPr>
      </w:pPr>
    </w:p>
    <w:p>
      <w:pPr>
        <w:ind w:left="1480" w:right="180" w:hanging="446"/>
        <w:spacing w:after="0" w:line="277" w:lineRule="auto"/>
        <w:tabs>
          <w:tab w:leader="none" w:pos="14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75" w:lineRule="exact"/>
        <w:rPr>
          <w:rFonts w:ascii="Arial" w:cs="Arial" w:eastAsia="Arial" w:hAnsi="Arial"/>
          <w:sz w:val="18"/>
          <w:szCs w:val="18"/>
          <w:color w:val="auto"/>
        </w:rPr>
      </w:pPr>
    </w:p>
    <w:p>
      <w:pPr>
        <w:ind w:left="900" w:hanging="325"/>
        <w:spacing w:after="0" w:line="284"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and (C)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w:t>
      </w:r>
    </w:p>
    <w:p>
      <w:pPr>
        <w:spacing w:after="0" w:line="4" w:lineRule="exact"/>
        <w:rPr>
          <w:rFonts w:ascii="Arial" w:cs="Arial" w:eastAsia="Arial" w:hAnsi="Arial"/>
          <w:sz w:val="16"/>
          <w:szCs w:val="16"/>
          <w:color w:val="auto"/>
        </w:rPr>
      </w:pPr>
    </w:p>
    <w:p>
      <w:pPr>
        <w:ind w:left="900" w:right="100" w:hanging="1"/>
        <w:spacing w:after="0" w:line="261" w:lineRule="auto"/>
        <w:tabs>
          <w:tab w:leader="none" w:pos="1115" w:val="left"/>
        </w:tabs>
        <w:numPr>
          <w:ilvl w:val="1"/>
          <w:numId w:val="19"/>
        </w:numPr>
        <w:rPr>
          <w:rFonts w:ascii="Arial" w:cs="Arial" w:eastAsia="Arial" w:hAnsi="Arial"/>
          <w:sz w:val="18"/>
          <w:szCs w:val="18"/>
          <w:color w:val="auto"/>
        </w:rPr>
      </w:pPr>
      <w:r>
        <w:rPr>
          <w:rFonts w:ascii="Arial" w:cs="Arial" w:eastAsia="Arial" w:hAnsi="Arial"/>
          <w:sz w:val="18"/>
          <w:szCs w:val="18"/>
          <w:color w:val="auto"/>
        </w:rPr>
        <w:t>loans to individuals and estates, (ii) securities issued by REITs, (iii) accrued obligations to pay rent; (iv) certain debt meeting the definition of “straight debt” if neither we nor a taxable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40"/>
        <w:spacing w:after="0" w:line="302" w:lineRule="auto"/>
        <w:rPr>
          <w:sz w:val="20"/>
          <w:szCs w:val="20"/>
          <w:color w:val="auto"/>
        </w:rPr>
      </w:pPr>
      <w:r>
        <w:rPr>
          <w:rFonts w:ascii="Arial" w:cs="Arial" w:eastAsia="Arial" w:hAnsi="Arial"/>
          <w:sz w:val="16"/>
          <w:szCs w:val="16"/>
          <w:color w:val="auto"/>
        </w:rPr>
        <w:t>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60" w:lineRule="exact"/>
        <w:rPr>
          <w:sz w:val="20"/>
          <w:szCs w:val="20"/>
          <w:color w:val="auto"/>
        </w:rPr>
      </w:pPr>
    </w:p>
    <w:p>
      <w:pPr>
        <w:ind w:left="900" w:hanging="325"/>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value of our securities in one or more taxable REIT subsidiaries (unless they would otherwise be treated as real estate assets) may not exceed 25% of the value of our total assets (for taxable years beginning after 2017, the percentage of our total assets that may be represented by such securities of one or more taxable REIT subsidiaries is reduced from 25% to 20%).</w:t>
      </w:r>
    </w:p>
    <w:p>
      <w:pPr>
        <w:spacing w:after="0" w:line="86"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value of our holdings in debt instruments of publicly offered REITs (unless they would otherwise be treated as real estate assets) may not exceed 25% of the value of our total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described above, we may from time to time hold mortgage debt. Mortgage loans will generally qualify as real estate assets for purposes of the 75% asset test to the extent that they are secured by real property. Further, a loan secured by a mortgage on both real and personal property qualifies as a real estate asset for purposes of the 75% asset test if the fair market value of the personal property securing the loan does not exceed 15% of the total fair market value of all property securing the loan. However, for a loan secured by both real property and other property that does not meet the requirements of the previous sentence, if the highest principal amount of the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property on the date the REIT acquires the loan, or (ii) the fair market value of the loan.</w:t>
      </w:r>
    </w:p>
    <w:p>
      <w:pPr>
        <w:spacing w:after="0" w:line="16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w:t>
      </w:r>
    </w:p>
    <w:p>
      <w:pPr>
        <w:ind w:right="260" w:firstLine="8"/>
        <w:spacing w:after="0" w:line="261" w:lineRule="auto"/>
        <w:tabs>
          <w:tab w:leader="none" w:pos="2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 the preceding sentence, we still could avoid disqualification as a REIT by eliminating any discrepancy within 30 days after the close of the calendar quarter in which the discrepancy arose.</w:t>
      </w:r>
    </w:p>
    <w:p>
      <w:pPr>
        <w:spacing w:after="0" w:line="184"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 nevertheless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right="40" w:firstLine="8"/>
        <w:spacing w:after="0" w:line="288" w:lineRule="auto"/>
        <w:tabs>
          <w:tab w:leader="none" w:pos="26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6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Further, with respect to our 2014 and prior taxable years, in order for distributions to have been counted as satisfying the annual distribution requirements for REITs and to provide us with a dividends paid deduction, our distributions must not have been “preferential dividends.” A dividend is not a preferential dividend if that distribution is (1) pro rata among all outstanding shares within a particular class and (2) in accordance with the preferences among different classes of shares as set forth in our organizational documents. For taxable years beginning after December 31, 2014, the preferential dividend rule does not apply to publicly offered REITs. We are a publicly offered REIT. Thus, so long as we continue to qualify as a publicly offered REIT, the preferential dividend rule does not apply to our 2015 and subsequent taxable years.</w:t>
      </w:r>
    </w:p>
    <w:p>
      <w:pPr>
        <w:spacing w:after="0" w:line="19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6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shares or debt securities.</w:t>
      </w:r>
    </w:p>
    <w:p>
      <w:pPr>
        <w:spacing w:after="0" w:line="16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In addition, the IRS previously issued a revenue procedure authorizing publicly traded REITs to make elective cash/share dividends, but that revenue procedure’s effectiveness has expired and does not apply to our current and future taxable years. Accordingly, it is unclear whether and to what extent we will be able to make taxable dividends payable in cash and shares. We have no current intention to make a taxable dividend payable in our shares or debt securities.</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in order to qualify as a REIT. In addition, to avoid a monetary penalty, we must request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annual basis certain information from our shareholders designed to disclose the actual ownership of our outstanding shares. We have complied, and intend to continue to comply, with such requirements.</w:t>
      </w:r>
    </w:p>
    <w:p>
      <w:pPr>
        <w:spacing w:after="0" w:line="18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i w:val="1"/>
          <w:iCs w:val="1"/>
          <w:color w:val="auto"/>
        </w:rPr>
        <w:t>Revised Partnership Audit Rules</w:t>
      </w:r>
      <w:r>
        <w:rPr>
          <w:rFonts w:ascii="Arial" w:cs="Arial" w:eastAsia="Arial" w:hAnsi="Arial"/>
          <w:sz w:val="16"/>
          <w:szCs w:val="16"/>
          <w:color w:val="auto"/>
        </w:rPr>
        <w:t>. Recent changes to the rules applicable to federal income tax audits of partnerships (including partnerships in which we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partner) and the collection of any tax resulting from such audits or other tax proceedings require the partnership itself to pay any “imputed underpayments,” consisting of delinquent taxes, interest, and penalties deemed to arise out of an audit of the partnership, unless certain alternative methods are available and the partnership elects to utilize them. The new rules generally do not apply to audits of taxable years beginning before January 1, 2018, and many of the details, including the means by which a partnership can avail itself of the alternative methods and the manner in which the alternative methods may apply to REITs, have not yet been determined. Therefore, it is not clear at this time what effect these new rules will have on us or our partnerships. However, it is possible that in the future, we and/or any partnership in which we are a partner could be subject to, or otherwise bear the economic burden of, federal income tax, interest, and penalties resulting from a federal income tax audit as a result of the partnership audit rule changes.</w:t>
      </w:r>
    </w:p>
    <w:p>
      <w:pPr>
        <w:spacing w:after="0" w:line="16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Failure to Qualify. </w:t>
      </w:r>
      <w:r>
        <w:rPr>
          <w:rFonts w:ascii="Arial" w:cs="Arial" w:eastAsia="Arial" w:hAnsi="Arial"/>
          <w:sz w:val="17"/>
          <w:szCs w:val="17"/>
          <w:color w:val="auto"/>
        </w:rPr>
        <w:t>If we fail to qualify as a REIT in any taxable year, and no relief provision applied, we would be subject to federal income tax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used herein, the term “taxable U.S. shareholder” means a taxable beneficial owner of our common shares that for U.S. federal income tax purposes is:</w:t>
      </w:r>
    </w:p>
    <w:p>
      <w:pPr>
        <w:spacing w:after="0" w:line="154"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900" w:right="420" w:hanging="325"/>
        <w:spacing w:after="0" w:line="308"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147" w:lineRule="exact"/>
        <w:rPr>
          <w:sz w:val="20"/>
          <w:szCs w:val="20"/>
          <w:color w:val="auto"/>
        </w:rPr>
      </w:pPr>
    </w:p>
    <w:p>
      <w:pPr>
        <w:ind w:right="600"/>
        <w:spacing w:after="0" w:line="257"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shares out of our current and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shares. Instead, such distribution in excess of earnings and profits will reduce the adjusted basis of such common shares. To the extent a distribution exceeds both our current and accumulated earnings and profits and the taxable U.S. shareholder’s adjusted basis in its common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6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 xml:space="preserve">Taxation of Taxable U.S. Shareholders on the Disposition of Our Shares. </w:t>
      </w:r>
      <w:r>
        <w:rPr>
          <w:rFonts w:ascii="Arial" w:cs="Arial" w:eastAsia="Arial" w:hAnsi="Arial"/>
          <w:sz w:val="17"/>
          <w:szCs w:val="17"/>
          <w:color w:val="auto"/>
        </w:rPr>
        <w:t>In general, a taxable U.S. shareholder must treat any gain or loss realized upon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taxable disposition of our common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82"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 xml:space="preserve">Passive Activity and Investment Income Limitations. </w:t>
      </w:r>
      <w:r>
        <w:rPr>
          <w:rFonts w:ascii="Arial" w:cs="Arial" w:eastAsia="Arial" w:hAnsi="Arial"/>
          <w:sz w:val="17"/>
          <w:szCs w:val="17"/>
          <w:color w:val="auto"/>
        </w:rPr>
        <w:t>Distributions from us and gain from the disposition of our common shares will not be treated as passive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shares generally will be treated as investment income for purposes of the investment income limitation.</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 xml:space="preserve">Medicare Tax on Unearned Income. </w:t>
      </w:r>
      <w:r>
        <w:rPr>
          <w:rFonts w:ascii="Arial" w:cs="Arial" w:eastAsia="Arial" w:hAnsi="Arial"/>
          <w:sz w:val="18"/>
          <w:szCs w:val="18"/>
          <w:color w:val="auto"/>
        </w:rPr>
        <w:t>Certain taxable U.S. shareholders who are individuals, estates or trusts are subject to a 3.8% Medicare tax on all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their “net investment income,” which may include all or a portion of their dividends on our common shares and net gains from the taxable disposition of their shares. Taxable U.S. shareholders that are individuals, estates or trusts should consult their tax advisors regarding the applicability of the Medicare tax to any of their income or gains in respect of our common shares.</w:t>
      </w:r>
    </w:p>
    <w:p>
      <w:pPr>
        <w:spacing w:after="0" w:line="18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20%. The maximum tax rate on “qualified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lower qualified dividend income/capital gains tax rate (at a maximum of 20%) does generally apply to:</w:t>
      </w:r>
    </w:p>
    <w:p>
      <w:pPr>
        <w:spacing w:after="0" w:line="64"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 not be subject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U.S. backup withholding and related information reporting on payments of dividends on, and the proceeds from the disposition of, our common shares unless, when required, they fail to demonstrate their status as exempt recipients. In general, we will report to our other shareholders and to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77"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900" w:right="220" w:hanging="325"/>
        <w:spacing w:after="0" w:line="308"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4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i w:val="1"/>
          <w:iCs w:val="1"/>
          <w:color w:val="auto"/>
        </w:rPr>
        <w:t>Ordinary Dividends</w:t>
      </w:r>
      <w:r>
        <w:rPr>
          <w:rFonts w:ascii="Arial" w:cs="Arial" w:eastAsia="Arial" w:hAnsi="Arial"/>
          <w:sz w:val="17"/>
          <w:szCs w:val="17"/>
          <w:color w:val="auto"/>
        </w:rPr>
        <w:t>. A non-U.S. shareholder that receives a distribution that is not attributable to gain from our sale or exchange of “U.S. real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Return of Capital</w:t>
      </w:r>
      <w:r>
        <w:rPr>
          <w:rFonts w:ascii="Arial" w:cs="Arial" w:eastAsia="Arial" w:hAnsi="Arial"/>
          <w:sz w:val="18"/>
          <w:szCs w:val="18"/>
          <w:color w:val="auto"/>
        </w:rPr>
        <w:t>. A non-U.S. shareholder will not incur tax on a distribution to the extent it exceeds our current and accumulated earnings and profits if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does not exceed the adjusted basis of its common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9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If we are treated as a “United States real property holding corporation,” we will be required to withhold 15% of any distribution that exceeds our current and accumulated earnings and profits, unless the non-U.S. shareholder is a “qualified foreign pension fund” (or is wholly-owned by one or more qualified foreign pension funds) or a non-U.S. shareholder that is publicly-traded and meets certain record-keeping and other requirements (a “qualified shareholder”), each as defined in the Code. Consequently, although we intend to withhold at a rate of 30% on the entire amount of any distribution, to the extent we do not do so, we may withhold at a rate of 15% on any portion of a distribution not subject to withholding at a rate of 30% that is not made to a qualified foreign pension fund or a qualified shareholder.</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Non-U.S. shareholders are urged to consult their tax advisors as to their qualification as a “qualified foreign pension fund” or a “qualified shareholder.” The qualified shareholder provisions do not apply to the extent owners of such qualified shareholders that are not also qualified shareholders own, actually or constructively, more than 10% of the class of stock of the REIT held by the qualified shareholders (“applicable investors”). To the extent distributions not allocable to an applicable investor exceed both our current and accumulated earnings and profits and the adjusted basis of the qualified shareholder’s common shares, or result from certain redemptions or liquidating distributions, such distributions are treated as ordinary dividends taxable as described above under “— Ordinary Dividends.”</w:t>
      </w:r>
    </w:p>
    <w:p>
      <w:pPr>
        <w:spacing w:after="0" w:line="19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Capital Gain Dividends</w:t>
      </w:r>
      <w:r>
        <w:rPr>
          <w:rFonts w:ascii="Arial" w:cs="Arial" w:eastAsia="Arial" w:hAnsi="Arial"/>
          <w:sz w:val="17"/>
          <w:szCs w:val="17"/>
          <w:color w:val="auto"/>
        </w:rPr>
        <w:t>. Provided that a particular class of our shares is “regularly traded” on an established securities market in the United States,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non-U.S. shareholder does not own more than 10%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7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10%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(“FIRPTA”). The FIRPTA rules described in this paragraph do not apply to such distributions to a qualified foreign pension fund or a qualified shareholder (other than distributions allocable to an applicable investor), although such distributions to a qualified shareholder not allocable to an applicable investor are treated as ordinary dividends taxable as described above under “— Ordinary Dividends.”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8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 xml:space="preserve">Retention of Net Capital Gains. </w:t>
      </w:r>
      <w:r>
        <w:rPr>
          <w:rFonts w:ascii="Arial" w:cs="Arial" w:eastAsia="Arial" w:hAnsi="Arial"/>
          <w:sz w:val="17"/>
          <w:szCs w:val="17"/>
          <w:color w:val="auto"/>
        </w:rPr>
        <w:t>Although the law is not clear on the matter, it appears that amounts we designate as retained capital gains in respect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Sale of Shares</w:t>
      </w:r>
      <w:r>
        <w:rPr>
          <w:rFonts w:ascii="Arial" w:cs="Arial" w:eastAsia="Arial" w:hAnsi="Arial"/>
          <w:sz w:val="17"/>
          <w:szCs w:val="17"/>
          <w:color w:val="auto"/>
        </w:rPr>
        <w:t>. A non-U.S. shareholder generally will not incur tax under FIRPTA on gain from the sale of its common shares as long as we are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However, even if we are not, or cease to be, a domestically controlled REIT, a non-U.S. shareholder that owns, actually or constructively, 10% or less of a class of our of outstanding shares at all times during a specified testing period will not incur tax under FIRPTA on a sale of such shares if shares of such class are “regularly traded” on an established securities market. If neither of these exceptions were to apply, a non-U.S. shareholder that is not a qualified foreign pension fund or a qualified shareholder (other than with respect to an applicable investor) would be taxed under FIRPTA on the gain on the sale of the common shares, in which case such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15% of the purchase price.</w:t>
      </w:r>
    </w:p>
    <w:p>
      <w:pPr>
        <w:spacing w:after="0" w:line="18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shares avoids a taxable distribution of gain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 paid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shares effected at a foreign office of a foreign broker. Information reporting (but not backup withholding) will apply, however, to a payment of the proceeds of a sale of common shares by a foreign office of a broker that:</w:t>
      </w:r>
    </w:p>
    <w:p>
      <w:pPr>
        <w:spacing w:after="0" w:line="84"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5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i w:val="1"/>
          <w:iCs w:val="1"/>
          <w:color w:val="auto"/>
        </w:rPr>
        <w:t xml:space="preserve">Reporting and Withholding on Foreign Financial Accounts. </w:t>
      </w:r>
      <w:r>
        <w:rPr>
          <w:rFonts w:ascii="Arial" w:cs="Arial" w:eastAsia="Arial" w:hAnsi="Arial"/>
          <w:sz w:val="18"/>
          <w:szCs w:val="18"/>
          <w:color w:val="auto"/>
        </w:rPr>
        <w:t>Certain foreign financial institutions and non-financial foreign entities are subject to a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federal withholding tax on dividends on our common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shares by such</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foreign financial institutions and non-financial foreign entities will generally begin after December 31, 2018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shares. We will not pay any additional amounts in respect of any amounts withheld.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i w:val="1"/>
          <w:iCs w:val="1"/>
          <w:color w:val="auto"/>
        </w:rPr>
        <w:t>State and Local Taxes</w:t>
      </w:r>
      <w:r>
        <w:rPr>
          <w:rFonts w:ascii="Arial" w:cs="Arial" w:eastAsia="Arial" w:hAnsi="Arial"/>
          <w:sz w:val="16"/>
          <w:szCs w:val="16"/>
          <w:color w:val="auto"/>
        </w:rPr>
        <w:t>. We and/or you may be subject to state and local tax in various states and localities, including those states and localities in which we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will not receive any of the proceeds from the sale of the common shares covered by this prospectus.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sale or distribution of all or any portion of the common shares covered by this prospectus may be effected from time to time by the selling shareholders, or any of their permissible transferees or pledgees (including, but not limited to, Morgan Stanley Private Bank, National Association). The sales may be made directly, indirectly through brokers or dealers, or in a distribution by one or more underwriters on a firm commitment or best efforts basis, in the over-the-counter market, on any national securities exchange or automated quotation system on which the common shares covered by this prospectus may be listed or traded, in privately negotiated transactions, to or through a market maker, or through any other legally available means. In addition, the sales may be made at market prices prevailing at the time of sale, at prices related to such prevailing market prices or at negotiated prices.</w:t>
      </w:r>
    </w:p>
    <w:p>
      <w:pPr>
        <w:spacing w:after="0" w:line="16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selling shareholders or their successors in interest may from time to time pledge or grant a security interest in some or all of the common shares, preferred shares or downREIT units, and, if the selling shareholders default in the performance of their secured obligations, the pledgees or secured parties may offer and sell the applicable common shares from time to time under this prospectus; however, in the event of a pledge or the default on the performance of a secured obligation by a selling shareholder, in order for the common shares to be sold under this registration statement, unless permitted by law, we must file an amendment to this registration statement under applicable provisions of the Securities Act amending the list of selling shareholders to include the pledgee, transferee, secured party or other successors in interest as a selling shareholder under this prospectus.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methods by which the common shares covered by this prospectus may be sold or distributed include any one or more of the following:</w:t>
      </w:r>
    </w:p>
    <w:p>
      <w:pPr>
        <w:spacing w:after="0" w:line="131" w:lineRule="exact"/>
        <w:rPr>
          <w:sz w:val="20"/>
          <w:szCs w:val="20"/>
          <w:color w:val="auto"/>
        </w:rPr>
      </w:pPr>
    </w:p>
    <w:p>
      <w:pPr>
        <w:ind w:left="900" w:right="50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broker or dealer so engaged will attempt to sell the common shares covered by this prospectus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purchases by a broker or dealer as principal and resale by such broker or dealer for its account pursuant to this prospectus;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 rata distributions as part of the liquidation and winding up of the affairs of the selling shareholders or successor in interest that is an entity;</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pledges to a lender as collateral to secure loans, credit or other financing arrangements and any subsequent foreclosure thereunder; or</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effecting sales, brokers or dealers engaged by the selling shareholders may arrange for other brokers or dealers to participate. Any public offering price and any discount, concession or commission allowed or reallowed or paid to dealers may be changed from time to time and, as to any particular underwriter, broker, dealer or agent, may be in excess of those customary in the types of transactions involved.</w:t>
      </w:r>
    </w:p>
    <w:p>
      <w:pPr>
        <w:spacing w:after="0" w:line="18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selling shareholders may from time to time sell all or a portion of the common shares covered by this prospectus short and deliver those securities to cover the short sale or sales, or may deliver the common shares covered by this prospectus upon the exercise, settlement or closing of a call equivalent position or a put equivalent position. The selling shareholders also may enter into hedging transactions with brokers, dealers or other financial institutions, which may in turn engage in short sales of the common shares covered by this prospectus in the course of hedging the positions they assume.</w:t>
      </w:r>
    </w:p>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selling shareholders and the brokers or dealers participating in the distribution of the common shares covered by this prospectus may be deemed “underwriters” within the meaning of the Securities Act. Any profit on the sale of the common shares covered by this prospectus by the selling shareholders and any discounts, concessions or commissions received by any such brokers or dealers may be regarded as underwriting commissions under the Securities Act.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connection with the sale or distribution of the common shares covered by this prospectus, the rules of the SEC permit any underwriter to engage in certain transactions that stabilize the price of the common shares covered by this prospectus. These transactions may consist of bids or purchases for the purpose of pegging, fixing or maintaining the price of the common shares covered by this prospectus.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Underwriters, brokers, dealers or agents may be entitled, under agreements with us, to indemnification against the contribution toward certain civil liabilities, including liabilities under the Securities Act.</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will pay all expenses in connection with the registration of the common shares covered by this prospectus. The selling shareholders will pay for any brokerage or underwriting commissions and taxes of any kind (including, without limitation, transfer taxes) with respect to any disposition, sale or transfer of the common shares covered by this prospectus.</w:t>
      </w:r>
    </w:p>
    <w:p>
      <w:pPr>
        <w:spacing w:after="0" w:line="18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common shares covered by this prospectus not sold pursuant to the registration statement on Form S-3 of which this prospectus is a part may be subject to certain restrictions under the Securities Act and could be sold, if at all, only pursuant to Rule 144 or another exemption from the registration requirements of the Securities Act. In general, under Rule 144, a person who is not, and has not been within the preceding three months, an affiliate of ours and also has satisfied a six-month holding period may, under certain circumstances, sell the common shares covered by this prospectus. Therefore, both during and after the effectiveness of the registration statement, the selling shareholders may sell the common shares covered by this prospectus pursuant to Rule 144.</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consolidated financial statements, schedules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validity of the offered common shares and the accuracy of the discussion under “Material Federal Income Tax Considerations” will be passed upon for us by Pillsbury Winthrop Shaw Pittman LLP, Washington, D.C.</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We file annual, quarterly and special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them, which means we can disclose important information to you by referring you to those documents. The information we incorporate by reference is an important part of our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modified or superseded will not be deemed, except as so modified or superseded, to constitute a part of this prospectus. We incorporate by reference the documents listed below (to the extent deemed filed and not furnished) as well as any future filings made with the SEC under Sections 13(a), 13(c), 14, or 15(d) of the Exchange Act (Exchange Act File No. 1-07533) made from the date of this prospectus until the selling shareholders sell all of the securities under this prospectus as supplemented or until the earlier termination of the offering described herein.</w:t>
      </w:r>
    </w:p>
    <w:p>
      <w:pPr>
        <w:spacing w:after="0" w:line="92"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2016;</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Definitive Proxy Statement for our 2017 Annual Meeting of Shareholders, filed with the SEC on March 23, 2017;</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February 10, 2017;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June 6, 2002.</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(301) 998-8100</w:t>
      </w:r>
    </w:p>
    <w:p>
      <w:pPr>
        <w:spacing w:after="0" w:line="2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prospectus does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our prospectus and any accompanying prospectus supplement about the provisions or contents of any contract, agreement or any other document referred to are not necessarily complete. Please refer to the actual exhibit for a more complete description of the matters involved. You may get copies of the exhibits by contacting the person named above.</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623570</wp:posOffset>
            </wp:positionV>
            <wp:extent cx="2341245" cy="900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41245" cy="90043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913,482 Common Shares of Beneficial Interest</w:t>
      </w:r>
    </w:p>
    <w:p>
      <w:pPr>
        <w:spacing w:after="0" w:line="72"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388620</wp:posOffset>
            </wp:positionV>
            <wp:extent cx="15176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May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Set forth below are the amounts of fees and expenses (other than underwriting discounts and commissions) we will pay in connection with the offering of our securities.</w:t>
      </w:r>
    </w:p>
    <w:p>
      <w:pPr>
        <w:spacing w:after="0" w:line="211" w:lineRule="exact"/>
        <w:rPr>
          <w:sz w:val="20"/>
          <w:szCs w:val="20"/>
          <w:color w:val="auto"/>
        </w:rPr>
      </w:pPr>
    </w:p>
    <w:tbl>
      <w:tblPr>
        <w:tblLayout w:type="fixed"/>
        <w:tblInd w:w="1840" w:type="dxa"/>
        <w:tblCellMar>
          <w:top w:w="0" w:type="dxa"/>
          <w:left w:w="0" w:type="dxa"/>
          <w:bottom w:w="0" w:type="dxa"/>
          <w:right w:w="0" w:type="dxa"/>
        </w:tblCellMar>
      </w:tblPr>
      <w:tr>
        <w:trPr>
          <w:trHeight w:val="23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2,661</w:t>
            </w:r>
          </w:p>
        </w:tc>
        <w:tc>
          <w:tcPr>
            <w:tcW w:w="160" w:type="dxa"/>
            <w:vAlign w:val="bottom"/>
            <w:shd w:val="clear" w:color="auto" w:fill="CCEEFF"/>
          </w:tcPr>
          <w:p>
            <w:pPr>
              <w:spacing w:after="0"/>
              <w:rPr>
                <w:sz w:val="20"/>
                <w:szCs w:val="20"/>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Printing and Duplicating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37"/>
        </w:trPr>
        <w:tc>
          <w:tcPr>
            <w:tcW w:w="694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8"/>
              </w:rPr>
              <w:t>28,661</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Estimated</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Trustees and Officers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limited liability company,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registrant’s bylaws obligate it, without requiring a preliminary determination of the ultimate entitlement to indemnification, to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from such trustee or officer (i) a written affirmation by the trustee or officer of his good faith belief that he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or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9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6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as noted, are filed herewith, previously have been filed, or will be filed by amendment.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20" w:type="dxa"/>
            <w:vAlign w:val="bottom"/>
          </w:tcPr>
          <w:p>
            <w:pPr>
              <w:spacing w:after="0"/>
              <w:rPr>
                <w:sz w:val="14"/>
                <w:szCs w:val="14"/>
                <w:color w:val="auto"/>
              </w:rPr>
            </w:pPr>
          </w:p>
        </w:tc>
      </w:tr>
      <w:tr>
        <w:trPr>
          <w:trHeight w:val="185"/>
        </w:trPr>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No.</w:t>
            </w:r>
          </w:p>
        </w:tc>
        <w:tc>
          <w:tcPr>
            <w:tcW w:w="10940" w:type="dxa"/>
            <w:vAlign w:val="bottom"/>
            <w:gridSpan w:val="3"/>
          </w:tcPr>
          <w:p>
            <w:pPr>
              <w:ind w:left="54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277"/>
        </w:trPr>
        <w:tc>
          <w:tcPr>
            <w:tcW w:w="460" w:type="dxa"/>
            <w:vAlign w:val="bottom"/>
          </w:tcPr>
          <w:p>
            <w:pPr>
              <w:jc w:val="right"/>
              <w:ind w:right="59"/>
              <w:spacing w:after="0"/>
              <w:rPr>
                <w:sz w:val="20"/>
                <w:szCs w:val="20"/>
                <w:color w:val="auto"/>
              </w:rPr>
            </w:pPr>
            <w:r>
              <w:rPr>
                <w:rFonts w:ascii="Arial" w:cs="Arial" w:eastAsia="Arial" w:hAnsi="Arial"/>
                <w:sz w:val="18"/>
                <w:szCs w:val="18"/>
                <w:color w:val="auto"/>
              </w:rPr>
              <w:t>3.1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 Trust</w:t>
            </w: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1"/>
              </w:rPr>
              <w:t>of Federal Realty Investment Trust dated May 6, 2004, as corrected by the Certificate of Correction of Articles of Amendment of Declaration of</w:t>
            </w: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3"/>
              </w:rPr>
              <w:t>Trust of Federal Realty Investment Trust dated June 17, 2004, as amended by the Articles of Amendment of Declaration of Trust of Federal</w:t>
            </w: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1"/>
              </w:rPr>
              <w:t>Realty Investment Trust dated May 6, 2009 (previously filed as Exhibit 3.1 to the Trust’s Registration Statement on Form S-3, filed on June 16,</w:t>
            </w: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2009 (File No. 333-160009) and incorporated herein by reference)</w:t>
            </w:r>
          </w:p>
        </w:tc>
      </w:tr>
      <w:tr>
        <w:trPr>
          <w:trHeight w:val="310"/>
        </w:trPr>
        <w:tc>
          <w:tcPr>
            <w:tcW w:w="460" w:type="dxa"/>
            <w:vAlign w:val="bottom"/>
          </w:tcPr>
          <w:p>
            <w:pPr>
              <w:jc w:val="right"/>
              <w:ind w:right="59"/>
              <w:spacing w:after="0"/>
              <w:rPr>
                <w:sz w:val="20"/>
                <w:szCs w:val="20"/>
                <w:color w:val="auto"/>
              </w:rPr>
            </w:pPr>
            <w:r>
              <w:rPr>
                <w:rFonts w:ascii="Arial" w:cs="Arial" w:eastAsia="Arial" w:hAnsi="Arial"/>
                <w:sz w:val="18"/>
                <w:szCs w:val="18"/>
                <w:color w:val="auto"/>
              </w:rPr>
              <w:t>3.2</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4"/>
              </w:rPr>
              <w:t>Amended and Restated Bylaws of Federal Realty Investment Trust dated February 12, 2003, as amended October 29, 2003, May 5, 2004,</w:t>
            </w: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4"/>
              </w:rPr>
              <w:t>February 17, 2006, May 6, 2009, and November 2, 2016 (previously filed as Exhibit 3.2 to the Trust’s Annual Report on Form 10-K for the</w:t>
            </w: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fiscal year ended December 31, 2016, filed on February 13, 2017 (File No. 001-07533) and incorporated herein by reference)</w:t>
            </w:r>
          </w:p>
        </w:tc>
      </w:tr>
      <w:tr>
        <w:trPr>
          <w:trHeight w:val="365"/>
        </w:trPr>
        <w:tc>
          <w:tcPr>
            <w:tcW w:w="460" w:type="dxa"/>
            <w:vAlign w:val="bottom"/>
          </w:tcPr>
          <w:p>
            <w:pPr>
              <w:spacing w:after="0"/>
              <w:rPr>
                <w:sz w:val="24"/>
                <w:szCs w:val="24"/>
                <w:color w:val="auto"/>
              </w:rPr>
            </w:pPr>
          </w:p>
        </w:tc>
        <w:tc>
          <w:tcPr>
            <w:tcW w:w="10940" w:type="dxa"/>
            <w:vAlign w:val="bottom"/>
            <w:gridSpan w:val="3"/>
          </w:tcPr>
          <w:p>
            <w:pPr>
              <w:ind w:left="5120"/>
              <w:spacing w:after="0"/>
              <w:rPr>
                <w:sz w:val="20"/>
                <w:szCs w:val="20"/>
                <w:color w:val="auto"/>
              </w:rPr>
            </w:pPr>
            <w:r>
              <w:rPr>
                <w:rFonts w:ascii="Arial" w:cs="Arial" w:eastAsia="Arial" w:hAnsi="Arial"/>
                <w:sz w:val="18"/>
                <w:szCs w:val="18"/>
                <w:color w:val="auto"/>
              </w:rPr>
              <w:t>II-2</w:t>
            </w:r>
          </w:p>
        </w:tc>
      </w:tr>
    </w:tbl>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Common Share certificate (previously filed as Exhibit 4(i) to the Trust’s Annual Report on Form 10-K for the year ended December 31,</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1999 (File No. 1-07533) and incorporated herein by reference)</w:t>
      </w:r>
    </w:p>
    <w:p>
      <w:pPr>
        <w:spacing w:after="0" w:line="103"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Pillsbury Winthrop Shaw Pittman LLP regarding the legality of the securities being registered</w:t>
      </w:r>
    </w:p>
    <w:p>
      <w:pPr>
        <w:spacing w:after="0" w:line="117"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Opinion of Pillsbury Winthrop Shaw Pittman LLP regarding certain federal income tax matters</w:t>
      </w:r>
    </w:p>
    <w:p>
      <w:pPr>
        <w:spacing w:after="0" w:line="11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Grant Thornton LLP</w:t>
      </w:r>
    </w:p>
    <w:p>
      <w:pPr>
        <w:spacing w:after="0" w:line="11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Pillsbury Winthrop Shaw Pittman LLP (included in Exhibits 5.1 and 8.1)</w:t>
      </w:r>
    </w:p>
    <w:p>
      <w:pPr>
        <w:spacing w:after="0" w:line="11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Included with this filing.</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 of 1933, as amended;</w:t>
      </w:r>
    </w:p>
    <w:p>
      <w:pPr>
        <w:spacing w:after="0" w:line="225" w:lineRule="exact"/>
        <w:rPr>
          <w:sz w:val="20"/>
          <w:szCs w:val="20"/>
          <w:color w:val="auto"/>
        </w:rPr>
      </w:pPr>
    </w:p>
    <w:p>
      <w:pPr>
        <w:ind w:right="40" w:firstLine="8"/>
        <w:spacing w:after="0" w:line="293" w:lineRule="auto"/>
        <w:tabs>
          <w:tab w:leader="none" w:pos="26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firstLine="8"/>
        <w:spacing w:after="0" w:line="277" w:lineRule="auto"/>
        <w:tabs>
          <w:tab w:leader="none" w:pos="3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provided, however, that paragraphs (a)(1)(i), (a)(1)(ii) and (a)(1)(iii) herein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jc w:val="both"/>
        <w:ind w:right="140" w:firstLine="8"/>
        <w:spacing w:after="0" w:line="264"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81" w:lineRule="exact"/>
        <w:rPr>
          <w:rFonts w:ascii="Arial" w:cs="Arial" w:eastAsia="Arial" w:hAnsi="Arial"/>
          <w:sz w:val="18"/>
          <w:szCs w:val="18"/>
          <w:color w:val="auto"/>
        </w:rPr>
      </w:pPr>
    </w:p>
    <w:p>
      <w:pPr>
        <w:ind w:right="100" w:firstLine="8"/>
        <w:spacing w:after="0" w:line="277"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(4) That, for the purpose of determining liability under the Securities Act of 1933, as amended, to any purchaser:</w:t>
      </w:r>
    </w:p>
    <w:p>
      <w:pPr>
        <w:spacing w:after="0" w:line="225" w:lineRule="exact"/>
        <w:rPr>
          <w:sz w:val="20"/>
          <w:szCs w:val="20"/>
          <w:color w:val="auto"/>
        </w:rPr>
      </w:pPr>
    </w:p>
    <w:p>
      <w:pPr>
        <w:ind w:right="20" w:firstLine="8"/>
        <w:spacing w:after="0" w:line="277" w:lineRule="auto"/>
        <w:tabs>
          <w:tab w:leader="none" w:pos="2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firstLine="8"/>
        <w:spacing w:after="0" w:line="288" w:lineRule="auto"/>
        <w:tabs>
          <w:tab w:leader="none" w:pos="265"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6"/>
          <w:szCs w:val="16"/>
          <w:i w:val="1"/>
          <w:iCs w:val="1"/>
          <w:color w:val="auto"/>
        </w:rPr>
        <w:t>bona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fide </w:t>
      </w:r>
      <w:r>
        <w:rPr>
          <w:rFonts w:ascii="Arial" w:cs="Arial" w:eastAsia="Arial" w:hAnsi="Arial"/>
          <w:sz w:val="16"/>
          <w:szCs w:val="16"/>
          <w:color w:val="auto"/>
        </w:rPr>
        <w:t>offering thereof.</w:t>
      </w:r>
      <w:r>
        <w:rPr>
          <w:rFonts w:ascii="Arial" w:cs="Arial" w:eastAsia="Arial" w:hAnsi="Arial"/>
          <w:sz w:val="16"/>
          <w:szCs w:val="16"/>
          <w:i w:val="1"/>
          <w:iCs w:val="1"/>
          <w:color w:val="auto"/>
        </w:rPr>
        <w:t xml:space="preserve"> Provided, however</w:t>
      </w:r>
      <w:r>
        <w:rPr>
          <w:rFonts w:ascii="Arial" w:cs="Arial" w:eastAsia="Arial" w:hAnsi="Arial"/>
          <w:sz w:val="16"/>
          <w:szCs w:val="16"/>
          <w:color w:val="auto"/>
        </w:rPr>
        <w:t>, that no statement made in a registration statement or prospectus that is part of the registration statement or made in a</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69" w:lineRule="exact"/>
        <w:rPr>
          <w:sz w:val="20"/>
          <w:szCs w:val="20"/>
          <w:color w:val="auto"/>
        </w:rPr>
      </w:pPr>
    </w:p>
    <w:p>
      <w:pPr>
        <w:ind w:right="120" w:firstLine="8"/>
        <w:spacing w:after="0" w:line="277"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as amended, to any purchaser in the initial distribution of the securities:</w:t>
      </w:r>
    </w:p>
    <w:p>
      <w:pPr>
        <w:spacing w:after="0" w:line="17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7" w:lineRule="exact"/>
        <w:rPr>
          <w:sz w:val="20"/>
          <w:szCs w:val="20"/>
          <w:color w:val="auto"/>
        </w:rPr>
      </w:pPr>
    </w:p>
    <w:p>
      <w:pPr>
        <w:ind w:left="220" w:hanging="212"/>
        <w:spacing w:after="0"/>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225" w:lineRule="exact"/>
        <w:rPr>
          <w:rFonts w:ascii="Arial" w:cs="Arial" w:eastAsia="Arial" w:hAnsi="Arial"/>
          <w:sz w:val="18"/>
          <w:szCs w:val="18"/>
          <w:color w:val="auto"/>
        </w:rPr>
      </w:pPr>
    </w:p>
    <w:p>
      <w:pPr>
        <w:ind w:right="580" w:firstLine="8"/>
        <w:spacing w:after="0" w:line="277" w:lineRule="auto"/>
        <w:tabs>
          <w:tab w:leader="none" w:pos="26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right="160" w:firstLine="8"/>
        <w:spacing w:after="0" w:line="277" w:lineRule="auto"/>
        <w:tabs>
          <w:tab w:leader="none" w:pos="3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right="140" w:firstLine="8"/>
        <w:spacing w:after="0" w:line="257"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as amended,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ind w:firstLine="8"/>
        <w:spacing w:after="0" w:line="271" w:lineRule="auto"/>
        <w:tabs>
          <w:tab w:leader="none" w:pos="245"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for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Rockville, State of Maryland, on May 3, 2017.</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Vice President-General</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Counsel and Secretary</w:t>
      </w:r>
    </w:p>
    <w:p>
      <w:pPr>
        <w:spacing w:after="0" w:line="2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68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5820" w:type="dxa"/>
            <w:vAlign w:val="bottom"/>
            <w:tcBorders>
              <w:bottom w:val="single" w:sz="8" w:color="auto"/>
            </w:tcBorders>
          </w:tcPr>
          <w:p>
            <w:pPr>
              <w:ind w:left="26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r>
      <w:tr>
        <w:trPr>
          <w:trHeight w:val="412"/>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C. Wood</w:t>
            </w:r>
          </w:p>
        </w:tc>
        <w:tc>
          <w:tcPr>
            <w:tcW w:w="6020" w:type="dxa"/>
            <w:vAlign w:val="bottom"/>
            <w:gridSpan w:val="3"/>
          </w:tcPr>
          <w:p>
            <w:pPr>
              <w:ind w:left="100"/>
              <w:spacing w:after="0"/>
              <w:rPr>
                <w:sz w:val="20"/>
                <w:szCs w:val="20"/>
                <w:color w:val="auto"/>
              </w:rPr>
            </w:pPr>
            <w:r>
              <w:rPr>
                <w:rFonts w:ascii="Arial" w:cs="Arial" w:eastAsia="Arial" w:hAnsi="Arial"/>
                <w:sz w:val="18"/>
                <w:szCs w:val="18"/>
                <w:color w:val="auto"/>
              </w:rPr>
              <w:t>President, Chief Executive</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May 3, 2017</w:t>
            </w:r>
          </w:p>
        </w:tc>
      </w:tr>
      <w:tr>
        <w:trPr>
          <w:trHeight w:val="224"/>
        </w:trPr>
        <w:tc>
          <w:tcPr>
            <w:tcW w:w="370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6020" w:type="dxa"/>
            <w:vAlign w:val="bottom"/>
            <w:gridSpan w:val="3"/>
          </w:tcPr>
          <w:p>
            <w:pPr>
              <w:ind w:left="100"/>
              <w:spacing w:after="0"/>
              <w:rPr>
                <w:sz w:val="20"/>
                <w:szCs w:val="20"/>
                <w:color w:val="auto"/>
              </w:rPr>
            </w:pPr>
            <w:r>
              <w:rPr>
                <w:rFonts w:ascii="Arial" w:cs="Arial" w:eastAsia="Arial" w:hAnsi="Arial"/>
                <w:sz w:val="18"/>
                <w:szCs w:val="18"/>
                <w:color w:val="auto"/>
              </w:rPr>
              <w:t>Officer and Trustee (principal executive officer)</w:t>
            </w:r>
          </w:p>
        </w:tc>
        <w:tc>
          <w:tcPr>
            <w:tcW w:w="1700" w:type="dxa"/>
            <w:vAlign w:val="bottom"/>
          </w:tcPr>
          <w:p>
            <w:pPr>
              <w:spacing w:after="0"/>
              <w:rPr>
                <w:sz w:val="19"/>
                <w:szCs w:val="19"/>
                <w:color w:val="auto"/>
              </w:rPr>
            </w:pPr>
          </w:p>
        </w:tc>
      </w:tr>
      <w:tr>
        <w:trPr>
          <w:trHeight w:val="431"/>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Guglielmone</w:t>
            </w:r>
          </w:p>
        </w:tc>
        <w:tc>
          <w:tcPr>
            <w:tcW w:w="6020" w:type="dxa"/>
            <w:vAlign w:val="bottom"/>
            <w:gridSpan w:val="3"/>
          </w:tcPr>
          <w:p>
            <w:pPr>
              <w:ind w:left="100"/>
              <w:spacing w:after="0"/>
              <w:rPr>
                <w:sz w:val="20"/>
                <w:szCs w:val="20"/>
                <w:color w:val="auto"/>
              </w:rPr>
            </w:pPr>
            <w:r>
              <w:rPr>
                <w:rFonts w:ascii="Arial" w:cs="Arial" w:eastAsia="Arial" w:hAnsi="Arial"/>
                <w:sz w:val="18"/>
                <w:szCs w:val="18"/>
                <w:color w:val="auto"/>
              </w:rPr>
              <w:t>Executive Vice President-Chief Financial Officer and Treasurer (principal</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May 3, 2017</w:t>
            </w:r>
          </w:p>
        </w:tc>
      </w:tr>
      <w:tr>
        <w:trPr>
          <w:trHeight w:val="224"/>
        </w:trPr>
        <w:tc>
          <w:tcPr>
            <w:tcW w:w="3700" w:type="dxa"/>
            <w:vAlign w:val="bottom"/>
            <w:gridSpan w:val="2"/>
          </w:tcPr>
          <w:p>
            <w:pPr>
              <w:spacing w:after="0"/>
              <w:rPr>
                <w:sz w:val="20"/>
                <w:szCs w:val="20"/>
                <w:color w:val="auto"/>
              </w:rPr>
            </w:pPr>
            <w:r>
              <w:rPr>
                <w:rFonts w:ascii="Arial" w:cs="Arial" w:eastAsia="Arial" w:hAnsi="Arial"/>
                <w:sz w:val="18"/>
                <w:szCs w:val="18"/>
                <w:color w:val="auto"/>
              </w:rPr>
              <w:t>Daniel Guglielmone</w:t>
            </w:r>
          </w:p>
        </w:tc>
        <w:tc>
          <w:tcPr>
            <w:tcW w:w="6020" w:type="dxa"/>
            <w:vAlign w:val="bottom"/>
            <w:gridSpan w:val="3"/>
          </w:tcPr>
          <w:p>
            <w:pPr>
              <w:ind w:left="100"/>
              <w:spacing w:after="0"/>
              <w:rPr>
                <w:sz w:val="20"/>
                <w:szCs w:val="20"/>
                <w:color w:val="auto"/>
              </w:rPr>
            </w:pPr>
            <w:r>
              <w:rPr>
                <w:rFonts w:ascii="Arial" w:cs="Arial" w:eastAsia="Arial" w:hAnsi="Arial"/>
                <w:sz w:val="18"/>
                <w:szCs w:val="18"/>
                <w:color w:val="auto"/>
              </w:rPr>
              <w:t>financial and accounting officer)</w:t>
            </w:r>
          </w:p>
        </w:tc>
        <w:tc>
          <w:tcPr>
            <w:tcW w:w="1700" w:type="dxa"/>
            <w:vAlign w:val="bottom"/>
          </w:tcPr>
          <w:p>
            <w:pPr>
              <w:spacing w:after="0"/>
              <w:rPr>
                <w:sz w:val="19"/>
                <w:szCs w:val="19"/>
                <w:color w:val="auto"/>
              </w:rPr>
            </w:pPr>
          </w:p>
        </w:tc>
      </w:tr>
      <w:tr>
        <w:trPr>
          <w:trHeight w:val="431"/>
        </w:trPr>
        <w:tc>
          <w:tcPr>
            <w:tcW w:w="370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6020" w:type="dxa"/>
            <w:vAlign w:val="bottom"/>
            <w:gridSpan w:val="3"/>
          </w:tcPr>
          <w:p>
            <w:pPr>
              <w:ind w:left="100"/>
              <w:spacing w:after="0"/>
              <w:rPr>
                <w:sz w:val="20"/>
                <w:szCs w:val="20"/>
                <w:color w:val="auto"/>
              </w:rPr>
            </w:pPr>
            <w:r>
              <w:rPr>
                <w:rFonts w:ascii="Arial" w:cs="Arial" w:eastAsia="Arial" w:hAnsi="Arial"/>
                <w:sz w:val="18"/>
                <w:szCs w:val="18"/>
                <w:color w:val="auto"/>
              </w:rPr>
              <w:t>Non-Executive Chairman</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May 3, 2017</w:t>
            </w:r>
          </w:p>
        </w:tc>
      </w:tr>
      <w:tr>
        <w:trPr>
          <w:trHeight w:val="224"/>
        </w:trPr>
        <w:tc>
          <w:tcPr>
            <w:tcW w:w="20" w:type="dxa"/>
            <w:vAlign w:val="bottom"/>
          </w:tcPr>
          <w:p>
            <w:pPr>
              <w:spacing w:after="0"/>
              <w:rPr>
                <w:sz w:val="19"/>
                <w:szCs w:val="19"/>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Joseph S. Vassalluzzo</w:t>
            </w:r>
          </w:p>
        </w:tc>
        <w:tc>
          <w:tcPr>
            <w:tcW w:w="10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370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602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May 3, 2017</w:t>
            </w:r>
          </w:p>
        </w:tc>
      </w:tr>
      <w:tr>
        <w:trPr>
          <w:trHeight w:val="224"/>
        </w:trPr>
        <w:tc>
          <w:tcPr>
            <w:tcW w:w="20" w:type="dxa"/>
            <w:vAlign w:val="bottom"/>
          </w:tcPr>
          <w:p>
            <w:pPr>
              <w:spacing w:after="0"/>
              <w:rPr>
                <w:sz w:val="19"/>
                <w:szCs w:val="19"/>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Jon E. Bortz</w:t>
            </w:r>
          </w:p>
        </w:tc>
        <w:tc>
          <w:tcPr>
            <w:tcW w:w="10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370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602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May 3, 2017</w:t>
            </w:r>
          </w:p>
        </w:tc>
      </w:tr>
      <w:tr>
        <w:trPr>
          <w:trHeight w:val="224"/>
        </w:trPr>
        <w:tc>
          <w:tcPr>
            <w:tcW w:w="20" w:type="dxa"/>
            <w:vAlign w:val="bottom"/>
          </w:tcPr>
          <w:p>
            <w:pPr>
              <w:spacing w:after="0"/>
              <w:rPr>
                <w:sz w:val="19"/>
                <w:szCs w:val="19"/>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W. Faeder</w:t>
            </w:r>
          </w:p>
        </w:tc>
        <w:tc>
          <w:tcPr>
            <w:tcW w:w="10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370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602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May 3, 2017</w:t>
            </w:r>
          </w:p>
        </w:tc>
      </w:tr>
      <w:tr>
        <w:trPr>
          <w:trHeight w:val="224"/>
        </w:trPr>
        <w:tc>
          <w:tcPr>
            <w:tcW w:w="20" w:type="dxa"/>
            <w:vAlign w:val="bottom"/>
          </w:tcPr>
          <w:p>
            <w:pPr>
              <w:spacing w:after="0"/>
              <w:rPr>
                <w:sz w:val="19"/>
                <w:szCs w:val="19"/>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Kristin Gamble</w:t>
            </w:r>
          </w:p>
        </w:tc>
        <w:tc>
          <w:tcPr>
            <w:tcW w:w="10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370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602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May 3, 2017</w:t>
            </w:r>
          </w:p>
        </w:tc>
      </w:tr>
      <w:tr>
        <w:trPr>
          <w:trHeight w:val="224"/>
        </w:trPr>
        <w:tc>
          <w:tcPr>
            <w:tcW w:w="20" w:type="dxa"/>
            <w:vAlign w:val="bottom"/>
          </w:tcPr>
          <w:p>
            <w:pPr>
              <w:spacing w:after="0"/>
              <w:rPr>
                <w:sz w:val="19"/>
                <w:szCs w:val="19"/>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Elizabeth I. Holland</w:t>
            </w:r>
          </w:p>
        </w:tc>
        <w:tc>
          <w:tcPr>
            <w:tcW w:w="10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370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602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May 3, 2017</w:t>
            </w:r>
          </w:p>
        </w:tc>
      </w:tr>
      <w:tr>
        <w:trPr>
          <w:trHeight w:val="224"/>
        </w:trPr>
        <w:tc>
          <w:tcPr>
            <w:tcW w:w="20" w:type="dxa"/>
            <w:vAlign w:val="bottom"/>
          </w:tcPr>
          <w:p>
            <w:pPr>
              <w:spacing w:after="0"/>
              <w:rPr>
                <w:sz w:val="19"/>
                <w:szCs w:val="19"/>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Gail P. Steinel</w:t>
            </w:r>
          </w:p>
        </w:tc>
        <w:tc>
          <w:tcPr>
            <w:tcW w:w="10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31"/>
        </w:trPr>
        <w:tc>
          <w:tcPr>
            <w:tcW w:w="370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602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May 3, 2017</w:t>
            </w:r>
          </w:p>
        </w:tc>
      </w:tr>
      <w:tr>
        <w:trPr>
          <w:trHeight w:val="224"/>
        </w:trPr>
        <w:tc>
          <w:tcPr>
            <w:tcW w:w="20" w:type="dxa"/>
            <w:vAlign w:val="bottom"/>
          </w:tcPr>
          <w:p>
            <w:pPr>
              <w:spacing w:after="0"/>
              <w:rPr>
                <w:sz w:val="19"/>
                <w:szCs w:val="19"/>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Warren M. Thompson</w:t>
            </w:r>
          </w:p>
        </w:tc>
        <w:tc>
          <w:tcPr>
            <w:tcW w:w="10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pacing w:after="0" w:line="20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14605</wp:posOffset>
            </wp:positionV>
            <wp:extent cx="20237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280"/>
          </w:cols>
          <w:pgMar w:left="240" w:top="459" w:right="37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914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Declaration of Trust of Federal Realty Investment Trust dated May 5, 1999 as amended by the Articles of Amendment of Declaration of Trust of Federal Realty Investment Trust dated May 6, 2004, as corrected by the Certificate of Correction of Articles of Amendment of Declaration of Trust of Federal Realty Investment Trust dated June 17, 2004, as amended by the Articles of Amendment of Declaration of Trust of Federal Realty Investment Trust dated May 6, 2009 (previously filed as Exhibit 3.1 to the Trust’s Registration Statement on Form S-3, filed on June 16, 2009 (File No. 333-160009) and incorporated herein by reference)</w:t>
      </w:r>
    </w:p>
    <w:p>
      <w:pPr>
        <w:spacing w:after="0" w:line="80" w:lineRule="exact"/>
        <w:rPr>
          <w:sz w:val="20"/>
          <w:szCs w:val="20"/>
          <w:color w:val="auto"/>
        </w:rPr>
      </w:pPr>
    </w:p>
    <w:p>
      <w:pPr>
        <w:sectPr>
          <w:pgSz w:w="11900" w:h="16838" w:orient="portrait"/>
          <w:cols w:equalWidth="0" w:num="2">
            <w:col w:w="460" w:space="200"/>
            <w:col w:w="10620"/>
          </w:cols>
          <w:pgMar w:left="240" w:top="459" w:right="379" w:bottom="1440" w:gutter="0" w:footer="0" w:header="0"/>
          <w:type w:val="continuous"/>
        </w:sectPr>
      </w:pPr>
    </w:p>
    <w:p>
      <w:pPr>
        <w:ind w:left="660" w:right="140" w:hanging="571"/>
        <w:spacing w:after="0" w:line="286"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Amended and Restated Bylaws of Federal Realty Investment Trust dated February 12, 2003, as amended October 29, 2003, May 5, 2004, February 17, 2006, May 6, 2009, and November 2, 2016 (previously filed as Exhibit 3.2 to the Trust’s Annual Report on Form 10-K for the fiscal year ended December 31, 2016, filed on February 13, 2017 (File No. 001-07533) and incorporated herein by reference)</w:t>
      </w:r>
    </w:p>
    <w:p>
      <w:pPr>
        <w:spacing w:after="0" w:line="57"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Common Share certificate (previously filed as Exhibit 4(i) to the Trust’s Annual Report on Form 10-K for the year ended December 31,</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1999 (File No. 1-07533) and incorporated herein by reference)</w:t>
      </w:r>
    </w:p>
    <w:p>
      <w:pPr>
        <w:spacing w:after="0" w:line="103"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Pillsbury Winthrop Shaw Pittman LLP regarding the legality of the securities being registered</w:t>
      </w:r>
    </w:p>
    <w:p>
      <w:pPr>
        <w:spacing w:after="0" w:line="117"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Opinion of Pillsbury Winthrop Shaw Pittman LLP regarding certain federal income tax matters</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Grant Thornton LLP</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Pillsbury Winthrop Shaw Pittman LLP (included in Exhibits 5.1 and 8.1)</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Included with this filing.</w:t>
      </w:r>
    </w:p>
    <w:p>
      <w:pPr>
        <w:sectPr>
          <w:pgSz w:w="11900" w:h="16838" w:orient="portrait"/>
          <w:cols w:equalWidth="0" w:num="1">
            <w:col w:w="11280"/>
          </w:cols>
          <w:pgMar w:left="240" w:top="459" w:right="37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38"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are acting as counsel for Federal Realty Investment Trust, a Maryland real estate investment trust (the “Company”), in connection with the Registration Statement on Form S-3 relating to the registration under the Securities Act of 1933 (the “Act”) of 913,482 common shares of beneficial interest, par value $0.01 per share (the “Common Shares”), of the Company, all of which are authorized but heretofore unissued shares to be offered and sold by certain shareholders of the Company (the “Selling Shareholder Shares”). (Such Registration Statement, as the same may be amended from time to time, is herein referred to as the “Registration Statement.”) The Selling Shareholder Shares are comprised of Common Shares issuable upon (i) the conversion of the Company’s outstanding 5.147% Series 1 Cumulative Convertible Preferred Shares of Beneficial Interest, par value $0.01 per share (the “Preferred Shares”), or (ii) the redemption of outstanding units (the “DownREIT Units”) of limited partnership interest or limited liability company interest, as the case may be, in each of (A) NVI-Avenue, LLC, (B) Route 35 Shrewsbury Limited Partnership, (C) Shrewsbury Commons L.P., (D) Sea Girt Limited Partnership, (E) 35 West, LLC and (F) Federal Realty Partners, L.P. (such entities in items (A) through (F), collectively the “DownREIT Entities”).</w:t>
      </w:r>
    </w:p>
    <w:p>
      <w:pPr>
        <w:spacing w:after="0" w:line="16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reviewed and are familiar with such documents, corporate proceedings and other matters as we have considered relevant or necessary as a basis for this opinion. On the basis of the foregoing and the assumptions set forth below, and subject to the other qualifications and limitations set forth herein, we are of the opinion that the Selling Shareholder Shares have been duly authorized and, upon (i) conversion of the Preferred Shares into Common Shares in accordance with the Articles Supplementary establishing and fixing the rights and preferences of the Preferred Shares and (ii) redemption of the DownREIT Units for Common Shares in accordance with the agreement of limited partnership or operating agreement, as applicable, of each of the DownREIT Entities, will be validly issued, fully paid and nonassessable.</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assumed that (a) at or prior to the time of the delivery of any of the Selling Shareholder Shares, the Registration Statement will be effective under the Act, (b) at the time of issuance, the Company has a sufficient number of authorized but unissued Common Shares under the Declaration of Trust of the Company, as amended and corrected, and (c) the Company’s Board of Trustees shall not have rescinded or otherwise modified the authorization of the Selling Shareholder Shares.</w:t>
      </w:r>
    </w:p>
    <w:p>
      <w:pPr>
        <w:sectPr>
          <w:pgSz w:w="11900" w:h="16838" w:orient="portrait"/>
          <w:cols w:equalWidth="0" w:num="1">
            <w:col w:w="11420"/>
          </w:cols>
          <w:pgMar w:left="240" w:top="12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opinion is limited to matters governed by the law of the State of Maryland.</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hereby consent to the filing of this opinion as Exhibit 5.1 to the Registration Statement and to the use of our name under the caption “Legal Matters” in the Registration Statement and in the Prospectus included therein. In giving this consent, we do not thereby admit that we are within the category of persons whose consent is required under Section 7 of the Act or the rules and regulations of the Securities and Exchange Commission promulgated thereunder.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274" w:right="39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8.1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3,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registration statement on Form S-3 (the “Registration Statement,” which term includes a prospectus (the “Prospectus”) and all documents incorporated and deemed to be incorporated by reference therein) with the Securities and Exchange Commission.</w:t>
      </w:r>
    </w:p>
    <w:p>
      <w:pPr>
        <w:spacing w:after="0" w:line="187"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ind w:left="260" w:hanging="252"/>
        <w:spacing w:after="0"/>
        <w:tabs>
          <w:tab w:leader="none" w:pos="2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certain written representations of the Company contained in a letter to us dated as of the date hereof, a copy of which is attached as Schedule 1 hereto,</w:t>
      </w:r>
    </w:p>
    <w:p>
      <w:pPr>
        <w:spacing w:after="0" w:line="32" w:lineRule="exact"/>
        <w:rPr>
          <w:rFonts w:ascii="Arial" w:cs="Arial" w:eastAsia="Arial" w:hAnsi="Arial"/>
          <w:sz w:val="16"/>
          <w:szCs w:val="16"/>
          <w:color w:val="auto"/>
        </w:rPr>
      </w:pPr>
    </w:p>
    <w:p>
      <w:pPr>
        <w:ind w:right="40" w:firstLine="8"/>
        <w:spacing w:after="0" w:line="290" w:lineRule="auto"/>
        <w:tabs>
          <w:tab w:leader="none" w:pos="2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6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 thereunder (the “Treasury Regulations”), we have reviewed with the individuals making</w:t>
      </w:r>
    </w:p>
    <w:p>
      <w:pPr>
        <w:sectPr>
          <w:pgSz w:w="11900" w:h="16838" w:orient="portrait"/>
          <w:cols w:equalWidth="0" w:num="1">
            <w:col w:w="11420"/>
          </w:cols>
          <w:pgMar w:left="240" w:top="121" w:right="239" w:bottom="1440" w:gutter="0" w:footer="0" w:header="0"/>
        </w:sectPr>
      </w:pPr>
    </w:p>
    <w:bookmarkStart w:id="45" w:name="page46"/>
    <w:bookmarkEnd w:id="45"/>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5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2017;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(2017) taxable year and for future taxable years, and (iii) the discussions in (x) the Prospectus under the caption “Material Federal Income Tax Considerations,” and (y) the Company’s Annual Report on Form 10-K for the year ended December 31, 2016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are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Prospectus under the caption “Material Federal Income Tax Considerations” are hereby confirmed.</w:t>
      </w:r>
    </w:p>
    <w:p>
      <w:pPr>
        <w:spacing w:after="0" w:line="18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6" w:name="page47"/>
    <w:bookmarkEnd w:id="46"/>
    <w:p>
      <w:pPr>
        <w:ind w:right="4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274" w:right="41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issued our reports dated February 13, 2017 with respect to the consolidated financial statements, schedules, and internal control over financial reporting of Federal Realty Investment Trust included in the Annual Report on Form 10-K for the year ended December 31, 2016, which are incorporated by reference in this Registration Statement. We consent to the incorporation by reference of the aforementioned reports in this Registration Statement, and to the use of our name as it appears under the caption “Experts.”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Arlington,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 2017</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the undersigned trustees and officers of Federal Realty Investment Trust, a Maryland real estate investment trust, do hereby constitute and appoint Donald C. Wood, Daniel Guglielmone and Dawn M. Becker, and each and either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462(b) under the Securities Act of 1933, including specifically, but without limitation, any and all amendments (including post-effective amendments) hereto and thereto; and we hereby ratify and confirm all that said attorneys and agents, or either of them, shall do or cause to be done by virtue thereof.</w:t>
      </w:r>
    </w:p>
    <w:p>
      <w:pPr>
        <w:sectPr>
          <w:pgSz w:w="11900" w:h="16838" w:orient="portrait"/>
          <w:cols w:equalWidth="0" w:num="1">
            <w:col w:w="11420"/>
          </w:cols>
          <w:pgMar w:left="240" w:top="121" w:right="239" w:bottom="1440" w:gutter="0" w:footer="0" w:header="0"/>
        </w:sectPr>
      </w:pPr>
    </w:p>
    <w:p>
      <w:pPr>
        <w:spacing w:after="0" w:line="185" w:lineRule="exact"/>
        <w:rPr>
          <w:sz w:val="20"/>
          <w:szCs w:val="20"/>
          <w:color w:val="auto"/>
        </w:rPr>
      </w:pPr>
    </w:p>
    <w:p>
      <w:pPr>
        <w:jc w:val="right"/>
        <w:ind w:right="108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5558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 Donald C. Wood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558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 Daniel Guglielmone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558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 Joseph S. Vassalluzzo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558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Jon E. Bortz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 E. Bortz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558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David W. Faeder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W. Faeder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558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Kristin Gamble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Kristin Gamble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558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Elizabeth I. Holland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Elizabeth I.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558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Gail P. Steinel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Gail P. Steinel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558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 Warren M. Thompson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Warren M.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5558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290"/>
        </w:trPr>
        <w:tc>
          <w:tcPr>
            <w:tcW w:w="3820" w:type="dxa"/>
            <w:vAlign w:val="bottom"/>
            <w:gridSpan w:val="2"/>
          </w:tcPr>
          <w:p>
            <w:pPr>
              <w:spacing w:after="0"/>
              <w:rPr>
                <w:sz w:val="20"/>
                <w:szCs w:val="20"/>
                <w:color w:val="auto"/>
              </w:rPr>
            </w:pPr>
            <w:r>
              <w:rPr>
                <w:rFonts w:ascii="Arial" w:cs="Arial" w:eastAsia="Arial" w:hAnsi="Arial"/>
                <w:sz w:val="18"/>
                <w:szCs w:val="18"/>
                <w:color w:val="auto"/>
              </w:rPr>
              <w:t>President, Chief Executive</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May 3, 2017</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Officer and Trustee (principal</w:t>
            </w:r>
          </w:p>
        </w:tc>
        <w:tc>
          <w:tcPr>
            <w:tcW w:w="3360" w:type="dxa"/>
            <w:vAlign w:val="bottom"/>
          </w:tcPr>
          <w:p>
            <w:pPr>
              <w:spacing w:after="0"/>
              <w:rPr>
                <w:sz w:val="18"/>
                <w:szCs w:val="18"/>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executive officer)</w:t>
            </w:r>
          </w:p>
        </w:tc>
        <w:tc>
          <w:tcPr>
            <w:tcW w:w="3360" w:type="dxa"/>
            <w:vAlign w:val="bottom"/>
          </w:tcPr>
          <w:p>
            <w:pPr>
              <w:spacing w:after="0"/>
              <w:rPr>
                <w:sz w:val="20"/>
                <w:szCs w:val="20"/>
                <w:color w:val="auto"/>
              </w:rPr>
            </w:pPr>
          </w:p>
        </w:tc>
      </w:tr>
      <w:tr>
        <w:trPr>
          <w:trHeight w:val="323"/>
        </w:trPr>
        <w:tc>
          <w:tcPr>
            <w:tcW w:w="3820" w:type="dxa"/>
            <w:vAlign w:val="bottom"/>
            <w:gridSpan w:val="2"/>
          </w:tcPr>
          <w:p>
            <w:pPr>
              <w:spacing w:after="0"/>
              <w:rPr>
                <w:sz w:val="20"/>
                <w:szCs w:val="20"/>
                <w:color w:val="auto"/>
              </w:rPr>
            </w:pPr>
            <w:r>
              <w:rPr>
                <w:rFonts w:ascii="Arial" w:cs="Arial" w:eastAsia="Arial" w:hAnsi="Arial"/>
                <w:sz w:val="18"/>
                <w:szCs w:val="18"/>
                <w:color w:val="auto"/>
              </w:rPr>
              <w:t>Executive Vice President and Chief</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May 3, 2017</w:t>
            </w: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Financial Officer and Treasurer</w:t>
            </w:r>
          </w:p>
        </w:tc>
        <w:tc>
          <w:tcPr>
            <w:tcW w:w="3360" w:type="dxa"/>
            <w:vAlign w:val="bottom"/>
          </w:tcPr>
          <w:p>
            <w:pPr>
              <w:spacing w:after="0"/>
              <w:rPr>
                <w:sz w:val="18"/>
                <w:szCs w:val="18"/>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3360" w:type="dxa"/>
            <w:vAlign w:val="bottom"/>
          </w:tcPr>
          <w:p>
            <w:pPr>
              <w:spacing w:after="0"/>
              <w:rPr>
                <w:sz w:val="20"/>
                <w:szCs w:val="20"/>
                <w:color w:val="auto"/>
              </w:rPr>
            </w:pPr>
          </w:p>
        </w:tc>
      </w:tr>
      <w:tr>
        <w:trPr>
          <w:trHeight w:val="338"/>
        </w:trPr>
        <w:tc>
          <w:tcPr>
            <w:tcW w:w="3820" w:type="dxa"/>
            <w:vAlign w:val="bottom"/>
            <w:gridSpan w:val="2"/>
          </w:tcPr>
          <w:p>
            <w:pPr>
              <w:spacing w:after="0"/>
              <w:rPr>
                <w:sz w:val="20"/>
                <w:szCs w:val="20"/>
                <w:color w:val="auto"/>
              </w:rPr>
            </w:pPr>
            <w:r>
              <w:rPr>
                <w:rFonts w:ascii="Arial" w:cs="Arial" w:eastAsia="Arial" w:hAnsi="Arial"/>
                <w:sz w:val="18"/>
                <w:szCs w:val="18"/>
                <w:color w:val="auto"/>
              </w:rPr>
              <w:t>Non-Executive Chairman</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May 3, 2017</w:t>
            </w:r>
          </w:p>
        </w:tc>
      </w:tr>
      <w:tr>
        <w:trPr>
          <w:trHeight w:val="567"/>
        </w:trPr>
        <w:tc>
          <w:tcPr>
            <w:tcW w:w="382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May 3, 2017</w:t>
            </w:r>
          </w:p>
        </w:tc>
      </w:tr>
      <w:tr>
        <w:trPr>
          <w:trHeight w:val="567"/>
        </w:trPr>
        <w:tc>
          <w:tcPr>
            <w:tcW w:w="382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May 3, 2017</w:t>
            </w:r>
          </w:p>
        </w:tc>
      </w:tr>
      <w:tr>
        <w:trPr>
          <w:trHeight w:val="567"/>
        </w:trPr>
        <w:tc>
          <w:tcPr>
            <w:tcW w:w="382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May 3, 2017</w:t>
            </w:r>
          </w:p>
        </w:tc>
      </w:tr>
      <w:tr>
        <w:trPr>
          <w:trHeight w:val="567"/>
        </w:trPr>
        <w:tc>
          <w:tcPr>
            <w:tcW w:w="382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May 3, 2017</w:t>
            </w:r>
          </w:p>
        </w:tc>
      </w:tr>
      <w:tr>
        <w:trPr>
          <w:trHeight w:val="567"/>
        </w:trPr>
        <w:tc>
          <w:tcPr>
            <w:tcW w:w="382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May 3, 2017</w:t>
            </w:r>
          </w:p>
        </w:tc>
      </w:tr>
      <w:tr>
        <w:trPr>
          <w:trHeight w:val="567"/>
        </w:trPr>
        <w:tc>
          <w:tcPr>
            <w:tcW w:w="3820" w:type="dxa"/>
            <w:vAlign w:val="bottom"/>
            <w:gridSpan w:val="2"/>
          </w:tcPr>
          <w:p>
            <w:pPr>
              <w:spacing w:after="0"/>
              <w:rPr>
                <w:sz w:val="20"/>
                <w:szCs w:val="20"/>
                <w:color w:val="auto"/>
              </w:rPr>
            </w:pPr>
            <w:r>
              <w:rPr>
                <w:rFonts w:ascii="Arial" w:cs="Arial" w:eastAsia="Arial" w:hAnsi="Arial"/>
                <w:sz w:val="18"/>
                <w:szCs w:val="18"/>
                <w:color w:val="auto"/>
              </w:rPr>
              <w:t>Trustee</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May 3, 2017</w:t>
            </w:r>
          </w:p>
        </w:tc>
      </w:tr>
    </w:tbl>
    <w:p>
      <w:pPr>
        <w:spacing w:after="0" w:line="1" w:lineRule="exact"/>
        <w:rPr>
          <w:sz w:val="20"/>
          <w:szCs w:val="20"/>
          <w:color w:val="auto"/>
        </w:rPr>
      </w:pPr>
    </w:p>
    <w:sectPr>
      <w:pgSz w:w="11900" w:h="16838" w:orient="portrait"/>
      <w:cols w:equalWidth="0" w:num="2">
        <w:col w:w="3520" w:space="720"/>
        <w:col w:w="718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upperLetter"/>
      <w:start w:val="6"/>
    </w:lvl>
  </w:abstractNum>
  <w:abstractNum w:abstractNumId="2">
    <w:nsid w:val="257130A3"/>
    <w:multiLevelType w:val="hybridMultilevel"/>
    <w:lvl w:ilvl="0">
      <w:lvlJc w:val="left"/>
      <w:lvlText w:val="(%1)"/>
      <w:numFmt w:val="upperLetter"/>
      <w:start w:val="6"/>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3"/>
    </w:lvl>
  </w:abstractNum>
  <w:abstractNum w:abstractNumId="5">
    <w:nsid w:val="628C895D"/>
    <w:multiLevelType w:val="hybridMultilevel"/>
    <w:lvl w:ilvl="0">
      <w:lvlJc w:val="left"/>
      <w:lvlText w:val="(%1)"/>
      <w:numFmt w:val="decimal"/>
      <w:start w:val="28"/>
    </w:lvl>
  </w:abstractNum>
  <w:abstractNum w:abstractNumId="6">
    <w:nsid w:val="333AB105"/>
    <w:multiLevelType w:val="hybridMultilevel"/>
    <w:lvl w:ilvl="0">
      <w:lvlJc w:val="left"/>
      <w:lvlText w:val="(%1)"/>
      <w:numFmt w:val="decimal"/>
      <w:start w:val="55"/>
    </w:lvl>
    <w:lvl w:ilvl="1">
      <w:lvlJc w:val="left"/>
      <w:lvlText w:val="(%2)"/>
      <w:numFmt w:val="lowerRoman"/>
      <w:start w:val="2"/>
    </w:lvl>
  </w:abstractNum>
  <w:abstractNum w:abstractNumId="7">
    <w:nsid w:val="721DA317"/>
    <w:multiLevelType w:val="hybridMultilevel"/>
    <w:lvl w:ilvl="0">
      <w:lvlJc w:val="left"/>
      <w:lvlText w:val="(%1)"/>
      <w:numFmt w:val="decimal"/>
      <w:start w:val="80"/>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lowerRoman"/>
      <w:start w:val="1"/>
    </w:lvl>
  </w:abstractNum>
  <w:abstractNum w:abstractNumId="17">
    <w:nsid w:val="54E49EB4"/>
    <w:multiLevelType w:val="hybridMultilevel"/>
    <w:lvl w:ilvl="0">
      <w:lvlJc w:val="left"/>
      <w:lvlText w:val="\emdash "/>
      <w:numFmt w:val="bullet"/>
      <w:start w:val="1"/>
    </w:lvl>
  </w:abstractNum>
  <w:abstractNum w:abstractNumId="18">
    <w:nsid w:val="71F32454"/>
    <w:multiLevelType w:val="hybridMultilevel"/>
    <w:lvl w:ilvl="0">
      <w:lvlJc w:val="left"/>
      <w:lvlText w:val="•"/>
      <w:numFmt w:val="bullet"/>
      <w:start w:val="1"/>
    </w:lvl>
    <w:lvl w:ilvl="1">
      <w:lvlJc w:val="left"/>
      <w:lvlText w:val="(%2)"/>
      <w:numFmt w:val="lowerRoman"/>
      <w:start w:val="1"/>
    </w:lvl>
    <w:lvl w:ilvl="2">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lowerRoman"/>
      <w:start w:val="2"/>
    </w:lvl>
  </w:abstractNum>
  <w:abstractNum w:abstractNumId="21">
    <w:nsid w:val="2901D82"/>
    <w:multiLevelType w:val="hybridMultilevel"/>
    <w:lvl w:ilvl="0">
      <w:lvlJc w:val="left"/>
      <w:lvlText w:val="(%1)"/>
      <w:numFmt w:val="lowerRoman"/>
      <w:start w:val="2"/>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lowerRoman"/>
      <w:start w:val="2"/>
    </w:lvl>
  </w:abstractNum>
  <w:abstractNum w:abstractNumId="30">
    <w:nsid w:val="3006C83E"/>
    <w:multiLevelType w:val="hybridMultilevel"/>
    <w:lvl w:ilvl="0">
      <w:lvlJc w:val="left"/>
      <w:lvlText w:val="(%1)"/>
      <w:numFmt w:val="decimal"/>
      <w:start w:val="2"/>
    </w:lvl>
  </w:abstractNum>
  <w:abstractNum w:abstractNumId="31">
    <w:nsid w:val="614FD4A1"/>
    <w:multiLevelType w:val="hybridMultilevel"/>
    <w:lvl w:ilvl="0">
      <w:lvlJc w:val="left"/>
      <w:lvlText w:val="(%1)"/>
      <w:numFmt w:val="lowerRoman"/>
      <w:start w:val="1"/>
    </w:lvl>
  </w:abstractNum>
  <w:abstractNum w:abstractNumId="32">
    <w:nsid w:val="419AC241"/>
    <w:multiLevelType w:val="hybridMultilevel"/>
    <w:lvl w:ilvl="0">
      <w:lvlJc w:val="left"/>
      <w:lvlText w:val="(%1)"/>
      <w:numFmt w:val="decimal"/>
      <w:start w:val="5"/>
    </w:lvl>
  </w:abstractNum>
  <w:abstractNum w:abstractNumId="33">
    <w:nsid w:val="5577F8E1"/>
    <w:multiLevelType w:val="hybridMultilevel"/>
    <w:lvl w:ilvl="0">
      <w:lvlJc w:val="left"/>
      <w:lvlText w:val="(%1)"/>
      <w:numFmt w:val="lowerRoman"/>
      <w:start w:val="1"/>
    </w:lvl>
  </w:abstractNum>
  <w:abstractNum w:abstractNumId="34">
    <w:nsid w:val="440BADFC"/>
    <w:multiLevelType w:val="hybridMultilevel"/>
    <w:lvl w:ilvl="0">
      <w:lvlJc w:val="left"/>
      <w:lvlText w:val="(%1)"/>
      <w:numFmt w:val="lowerLetter"/>
      <w:start w:val="2"/>
    </w:lvl>
  </w:abstractNum>
  <w:abstractNum w:abstractNumId="35">
    <w:nsid w:val="507236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2019-12-05T02:59:39Z</dcterms:created>
  <dcterms:modified xsi:type="dcterms:W3CDTF">2019-12-05T02:59:39Z</dcterms:modified>
</cp:coreProperties>
</file>