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8"/>
              </w:rPr>
              <w:t>Maryland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30" w:lineRule="exact"/>
        <w:rPr>
          <w:rFonts w:ascii="MS PGothic" w:cs="MS PGothic" w:eastAsia="MS PGothic" w:hAnsi="MS PGothic"/>
          <w:sz w:val="18"/>
          <w:szCs w:val="18"/>
          <w:color w:val="auto"/>
        </w:rPr>
      </w:pPr>
    </w:p>
    <w:p>
      <w:pPr>
        <w:ind w:left="460" w:hanging="452"/>
        <w:spacing w:after="0" w:line="277"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May 7, 2018, Federal Realty Investment Trust (the “Company”) entered into new Equity Distribution Agreements (the “New Agreements”) with each of Wells Fargo Securities, LLC, Merrill Lynch, Pierce, Fenner &amp; Smith Incorporated, and Citigroup Global Markets Inc. (collectively the “Agents”), under which the Company may issue and sell, from time to time, up to $400,000,000 aggregate offering price of its common shares of beneficial interest, par value $0.01 per share (“Shares”), through the Agents, acting as agents and/or principals. The New Agreements replace the existing Equity Distribution Agreements dated November 4, 2016 (the “Prior Agreements”) with each of the Agents, and no further issuances or sales may be made under the Prior Agreements. The Company issued and sold approximately $138,700,000 aggregate offering price of Shares of the $400,000,000 approved under the Prior Agreements.</w:t>
      </w:r>
    </w:p>
    <w:p>
      <w:pPr>
        <w:spacing w:after="0" w:line="16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Sales of Shares, if any, under the New Agreements will be made in transactions that are deemed to be “at the market” offerings, including sales made directly on the New York Stock Exchange or sales made to or through a market maker other than on an exchange, or in negotiated transactions, which may include block trades. The Company will pay the Agents compensation for sales of Shares at a mutually agreed rate that will not exceed, but may be lower than, 2.0% of the gross sales price of the Shares. Under the New Agreements, the Company may also sell Shares to the Agents for their own account.</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New Agreements are filed as Exhibits 1.1, 1.2 and 1.3 to this Current Report on Form 8-K and are incorporated herein by reference. The foregoing description of the material terms of the New Agreements is qualified in its entirety by reference to such exhibits.</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2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280" w:type="dxa"/>
            <w:vAlign w:val="bottom"/>
            <w:gridSpan w:val="6"/>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2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2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2"/>
                <w:szCs w:val="22"/>
                <w:color w:val="auto"/>
              </w:rPr>
            </w:pPr>
          </w:p>
        </w:tc>
        <w:tc>
          <w:tcPr>
            <w:tcW w:w="9840" w:type="dxa"/>
            <w:vAlign w:val="bottom"/>
            <w:gridSpan w:val="9"/>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Equity Distribution Agreement, dated May 7, 2018 between Federal Realty Investment Trust and Wells Fargo Securities, LLC</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8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4"/>
                <w:szCs w:val="24"/>
                <w:color w:val="auto"/>
              </w:rPr>
            </w:pPr>
          </w:p>
        </w:tc>
        <w:tc>
          <w:tcPr>
            <w:tcW w:w="98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Equity Distribution Agreement, dated May 7, 2018 between Federal Realty Investment Trust and Merrill Lynch, Pierce, Fenner &amp; Smith</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40" w:type="dxa"/>
            <w:vAlign w:val="bottom"/>
            <w:gridSpan w:val="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Incorporated</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24"/>
                <w:szCs w:val="24"/>
                <w:color w:val="auto"/>
              </w:rPr>
            </w:pPr>
          </w:p>
        </w:tc>
        <w:tc>
          <w:tcPr>
            <w:tcW w:w="92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Equity Distribution Agreement, dated May 7, 2018 between Federal Realty Investment Trust and Citigroup Global Markets Inc.</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59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38">
              <w:r>
                <w:rPr>
                  <w:rFonts w:ascii="Arial" w:cs="Arial" w:eastAsia="Arial" w:hAnsi="Arial"/>
                  <w:sz w:val="18"/>
                  <w:szCs w:val="18"/>
                  <w:color w:val="0000EE"/>
                  <w:w w:val="92"/>
                </w:rPr>
                <w:t>Opinion of Pillsbury Winthrop Shaw Pittman LLP relating to legality of the Shares</w:t>
              </w:r>
            </w:hyperlink>
          </w:p>
        </w:tc>
        <w:tc>
          <w:tcPr>
            <w:tcW w:w="3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rPr>
                <w:sz w:val="24"/>
                <w:szCs w:val="24"/>
                <w:color w:val="auto"/>
              </w:rPr>
            </w:pPr>
          </w:p>
        </w:tc>
        <w:tc>
          <w:tcPr>
            <w:tcW w:w="57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39">
              <w:r>
                <w:rPr>
                  <w:rFonts w:ascii="Arial" w:cs="Arial" w:eastAsia="Arial" w:hAnsi="Arial"/>
                  <w:sz w:val="18"/>
                  <w:szCs w:val="18"/>
                  <w:color w:val="0000EE"/>
                  <w:w w:val="92"/>
                </w:rPr>
                <w:t>Opinion of Pillsbury Winthrop Shaw Pittman LLP relating to certain tax matters</w:t>
              </w:r>
            </w:hyperlink>
          </w:p>
        </w:tc>
        <w:tc>
          <w:tcPr>
            <w:tcW w:w="40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9840" w:type="dxa"/>
            <w:vAlign w:val="bottom"/>
            <w:gridSpan w:val="9"/>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Consents of Pillsbury Winthrop Shaw Pittman LLP (contained in the opinions filed as Exhibits 5.1 and 8.1 hereto)</w:t>
              </w:r>
            </w:hyperlink>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40" w:type="dxa"/>
            <w:vAlign w:val="bottom"/>
            <w:tcBorders>
              <w:top w:val="single" w:sz="8" w:color="0000EE"/>
            </w:tcBorders>
            <w:gridSpan w:val="2"/>
          </w:tcPr>
          <w:p>
            <w:pPr>
              <w:ind w:left="4640"/>
              <w:spacing w:after="0"/>
              <w:rPr>
                <w:sz w:val="20"/>
                <w:szCs w:val="20"/>
                <w:color w:val="auto"/>
              </w:rPr>
            </w:pPr>
            <w:r>
              <w:rPr>
                <w:rFonts w:ascii="Arial" w:cs="Arial" w:eastAsia="Arial" w:hAnsi="Arial"/>
                <w:sz w:val="18"/>
                <w:szCs w:val="18"/>
                <w:color w:val="auto"/>
              </w:rPr>
              <w:t>2</w:t>
            </w:r>
          </w:p>
        </w:tc>
        <w:tc>
          <w:tcPr>
            <w:tcW w:w="7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2"/>
          </w:tcPr>
          <w:p>
            <w:pPr>
              <w:ind w:left="2340"/>
              <w:spacing w:after="0"/>
              <w:rPr>
                <w:sz w:val="20"/>
                <w:szCs w:val="20"/>
                <w:color w:val="auto"/>
              </w:rPr>
            </w:pPr>
            <w:r>
              <w:rPr>
                <w:rFonts w:ascii="Arial" w:cs="Arial" w:eastAsia="Arial" w:hAnsi="Arial"/>
                <w:sz w:val="18"/>
                <w:szCs w:val="18"/>
                <w:color w:val="auto"/>
              </w:rPr>
              <w:t>FEDERAL REALTY INVESTMENT TRUST</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10, 2018</w:t>
            </w:r>
          </w:p>
        </w:tc>
        <w:tc>
          <w:tcPr>
            <w:tcW w:w="7860" w:type="dxa"/>
            <w:vAlign w:val="bottom"/>
            <w:gridSpan w:val="2"/>
          </w:tcPr>
          <w:p>
            <w:pPr>
              <w:ind w:left="2340"/>
              <w:spacing w:after="0"/>
              <w:rPr>
                <w:sz w:val="20"/>
                <w:szCs w:val="20"/>
                <w:color w:val="auto"/>
              </w:rPr>
            </w:pPr>
            <w:r>
              <w:rPr>
                <w:rFonts w:ascii="Arial" w:cs="Arial" w:eastAsia="Arial" w:hAnsi="Arial"/>
                <w:sz w:val="18"/>
                <w:szCs w:val="18"/>
                <w:color w:val="auto"/>
              </w:rPr>
              <w:t>By:  /s/ Dawn M. Becker</w:t>
            </w:r>
          </w:p>
        </w:tc>
      </w:tr>
      <w:tr>
        <w:trPr>
          <w:trHeight w:val="195"/>
        </w:trPr>
        <w:tc>
          <w:tcPr>
            <w:tcW w:w="35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Dawn M. Becker</w:t>
            </w:r>
          </w:p>
        </w:tc>
      </w:tr>
      <w:tr>
        <w:trPr>
          <w:trHeight w:val="230"/>
        </w:trPr>
        <w:tc>
          <w:tcPr>
            <w:tcW w:w="3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President-General Counsel and Secretary</w:t>
            </w:r>
          </w:p>
        </w:tc>
      </w:tr>
      <w:tr>
        <w:trPr>
          <w:trHeight w:val="365"/>
        </w:trPr>
        <w:tc>
          <w:tcPr>
            <w:tcW w:w="3560" w:type="dxa"/>
            <w:vAlign w:val="bottom"/>
          </w:tcPr>
          <w:p>
            <w:pPr>
              <w:spacing w:after="0"/>
              <w:rPr>
                <w:sz w:val="24"/>
                <w:szCs w:val="24"/>
                <w:color w:val="auto"/>
              </w:rPr>
            </w:pPr>
          </w:p>
        </w:tc>
        <w:tc>
          <w:tcPr>
            <w:tcW w:w="262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Dated: May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80" w:type="dxa"/>
            <w:vAlign w:val="bottom"/>
            <w:gridSpan w:val="4"/>
          </w:tcPr>
          <w:p>
            <w:pPr>
              <w:jc w:val="center"/>
              <w:ind w:right="4240"/>
              <w:spacing w:after="0"/>
              <w:rPr>
                <w:sz w:val="20"/>
                <w:szCs w:val="20"/>
                <w:color w:val="auto"/>
              </w:rPr>
            </w:pPr>
            <w:r>
              <w:rPr>
                <w:rFonts w:ascii="Arial" w:cs="Arial" w:eastAsia="Arial" w:hAnsi="Arial"/>
                <w:sz w:val="18"/>
                <w:szCs w:val="18"/>
                <w:b w:val="1"/>
                <w:bCs w:val="1"/>
                <w:color w:val="auto"/>
                <w:w w:val="98"/>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134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1800" w:type="dxa"/>
            <w:vAlign w:val="bottom"/>
            <w:gridSpan w:val="11"/>
            <w:vMerge w:val="restart"/>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Description of Securities</w:t>
              </w:r>
            </w:hyperlink>
          </w:p>
        </w:tc>
        <w:tc>
          <w:tcPr>
            <w:tcW w:w="1620" w:type="dxa"/>
            <w:vAlign w:val="bottom"/>
            <w:gridSpan w:val="11"/>
            <w:vMerge w:val="restart"/>
          </w:tcPr>
          <w:p>
            <w:pPr>
              <w:spacing w:after="0"/>
              <w:rPr>
                <w:sz w:val="24"/>
                <w:szCs w:val="24"/>
                <w:color w:val="auto"/>
              </w:rPr>
            </w:pPr>
          </w:p>
        </w:tc>
        <w:tc>
          <w:tcPr>
            <w:tcW w:w="1920" w:type="dxa"/>
            <w:vAlign w:val="bottom"/>
            <w:tcBorders>
              <w:top w:val="single" w:sz="8" w:color="auto"/>
            </w:tcBorders>
            <w:gridSpan w:val="2"/>
            <w:vMerge w:val="restart"/>
          </w:tcPr>
          <w:p>
            <w:pPr>
              <w:spacing w:after="0"/>
              <w:rPr>
                <w:sz w:val="24"/>
                <w:szCs w:val="24"/>
                <w:color w:val="auto"/>
              </w:rPr>
            </w:pPr>
          </w:p>
        </w:tc>
        <w:tc>
          <w:tcPr>
            <w:tcW w:w="4400" w:type="dxa"/>
            <w:vAlign w:val="bottom"/>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7"/>
        </w:trPr>
        <w:tc>
          <w:tcPr>
            <w:tcW w:w="1340" w:type="dxa"/>
            <w:vAlign w:val="bottom"/>
            <w:vMerge w:val="continue"/>
          </w:tcPr>
          <w:p>
            <w:pPr>
              <w:spacing w:after="0"/>
              <w:rPr>
                <w:sz w:val="14"/>
                <w:szCs w:val="14"/>
                <w:color w:val="auto"/>
              </w:rPr>
            </w:pPr>
          </w:p>
        </w:tc>
        <w:tc>
          <w:tcPr>
            <w:tcW w:w="1800" w:type="dxa"/>
            <w:vAlign w:val="bottom"/>
            <w:tcBorders>
              <w:bottom w:val="single" w:sz="8" w:color="0000EE"/>
            </w:tcBorders>
            <w:gridSpan w:val="11"/>
            <w:vMerge w:val="continue"/>
          </w:tcPr>
          <w:p>
            <w:pPr>
              <w:spacing w:after="0"/>
              <w:rPr>
                <w:sz w:val="14"/>
                <w:szCs w:val="14"/>
                <w:color w:val="auto"/>
              </w:rPr>
            </w:pPr>
          </w:p>
        </w:tc>
        <w:tc>
          <w:tcPr>
            <w:tcW w:w="1620" w:type="dxa"/>
            <w:vAlign w:val="bottom"/>
            <w:gridSpan w:val="11"/>
            <w:vMerge w:val="continue"/>
          </w:tcPr>
          <w:p>
            <w:pPr>
              <w:spacing w:after="0"/>
              <w:rPr>
                <w:sz w:val="14"/>
                <w:szCs w:val="14"/>
                <w:color w:val="auto"/>
              </w:rPr>
            </w:pPr>
          </w:p>
        </w:tc>
        <w:tc>
          <w:tcPr>
            <w:tcW w:w="1920" w:type="dxa"/>
            <w:vAlign w:val="bottom"/>
            <w:tcBorders>
              <w:top w:val="single" w:sz="8" w:color="auto"/>
            </w:tcBorders>
            <w:gridSpan w:val="2"/>
            <w:vMerge w:val="continue"/>
          </w:tcPr>
          <w:p>
            <w:pPr>
              <w:spacing w:after="0"/>
              <w:rPr>
                <w:sz w:val="14"/>
                <w:szCs w:val="14"/>
                <w:color w:val="auto"/>
              </w:rPr>
            </w:pPr>
          </w:p>
        </w:tc>
        <w:tc>
          <w:tcPr>
            <w:tcW w:w="4400" w:type="dxa"/>
            <w:vAlign w:val="bottom"/>
            <w:vMerge w:val="continue"/>
          </w:tcPr>
          <w:p>
            <w:pPr>
              <w:spacing w:after="0"/>
              <w:rPr>
                <w:sz w:val="14"/>
                <w:szCs w:val="14"/>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SECTION 2.</w:t>
            </w:r>
          </w:p>
        </w:tc>
        <w:tc>
          <w:tcPr>
            <w:tcW w:w="84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Placements</w:t>
              </w:r>
            </w:hyperlink>
          </w:p>
        </w:tc>
        <w:tc>
          <w:tcPr>
            <w:tcW w:w="8900" w:type="dxa"/>
            <w:vAlign w:val="bottom"/>
            <w:gridSpan w:val="2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3.</w:t>
            </w:r>
          </w:p>
        </w:tc>
        <w:tc>
          <w:tcPr>
            <w:tcW w:w="320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Sale of Placement Securities by Wells Fargo</w:t>
              </w:r>
            </w:hyperlink>
          </w:p>
        </w:tc>
        <w:tc>
          <w:tcPr>
            <w:tcW w:w="654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4.</w:t>
            </w:r>
          </w:p>
        </w:tc>
        <w:tc>
          <w:tcPr>
            <w:tcW w:w="9740" w:type="dxa"/>
            <w:vAlign w:val="bottom"/>
            <w:gridSpan w:val="2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Suspension of Sales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5.</w:t>
            </w:r>
          </w:p>
        </w:tc>
        <w:tc>
          <w:tcPr>
            <w:tcW w:w="228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Representations and Warranties</w:t>
              </w:r>
            </w:hyperlink>
          </w:p>
        </w:tc>
        <w:tc>
          <w:tcPr>
            <w:tcW w:w="7460" w:type="dxa"/>
            <w:vAlign w:val="bottom"/>
            <w:gridSpan w:val="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6.</w:t>
            </w:r>
          </w:p>
        </w:tc>
        <w:tc>
          <w:tcPr>
            <w:tcW w:w="326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Sale and Delivery to Wells Fargo; Settlement</w:t>
              </w:r>
            </w:hyperlink>
          </w:p>
        </w:tc>
        <w:tc>
          <w:tcPr>
            <w:tcW w:w="648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7.</w:t>
            </w:r>
          </w:p>
        </w:tc>
        <w:tc>
          <w:tcPr>
            <w:tcW w:w="9740" w:type="dxa"/>
            <w:vAlign w:val="bottom"/>
            <w:gridSpan w:val="2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Covenants of the Company</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8.</w:t>
            </w:r>
          </w:p>
        </w:tc>
        <w:tc>
          <w:tcPr>
            <w:tcW w:w="15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Payment of Expenses</w:t>
              </w:r>
            </w:hyperlink>
          </w:p>
        </w:tc>
        <w:tc>
          <w:tcPr>
            <w:tcW w:w="400" w:type="dxa"/>
            <w:vAlign w:val="bottom"/>
            <w:tcBorders>
              <w:top w:val="single" w:sz="8" w:color="0000EE"/>
            </w:tcBorders>
            <w:gridSpan w:val="4"/>
          </w:tcPr>
          <w:p>
            <w:pPr>
              <w:spacing w:after="0"/>
              <w:rPr>
                <w:sz w:val="24"/>
                <w:szCs w:val="24"/>
                <w:color w:val="auto"/>
              </w:rPr>
            </w:pPr>
          </w:p>
        </w:tc>
        <w:tc>
          <w:tcPr>
            <w:tcW w:w="778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9.</w:t>
            </w:r>
          </w:p>
        </w:tc>
        <w:tc>
          <w:tcPr>
            <w:tcW w:w="9740" w:type="dxa"/>
            <w:vAlign w:val="bottom"/>
            <w:gridSpan w:val="2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Conditions of Wells Fargo’s Obligations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10.</w:t>
            </w:r>
          </w:p>
        </w:tc>
        <w:tc>
          <w:tcPr>
            <w:tcW w:w="11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Indemnification</w:t>
              </w:r>
            </w:hyperlink>
          </w:p>
        </w:tc>
        <w:tc>
          <w:tcPr>
            <w:tcW w:w="1740" w:type="dxa"/>
            <w:vAlign w:val="bottom"/>
            <w:tcBorders>
              <w:top w:val="single" w:sz="8" w:color="0000EE"/>
            </w:tcBorders>
            <w:gridSpan w:val="12"/>
          </w:tcPr>
          <w:p>
            <w:pPr>
              <w:spacing w:after="0"/>
              <w:rPr>
                <w:sz w:val="24"/>
                <w:szCs w:val="24"/>
                <w:color w:val="auto"/>
              </w:rPr>
            </w:pPr>
          </w:p>
        </w:tc>
        <w:tc>
          <w:tcPr>
            <w:tcW w:w="684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11.</w:t>
            </w:r>
          </w:p>
        </w:tc>
        <w:tc>
          <w:tcPr>
            <w:tcW w:w="9740" w:type="dxa"/>
            <w:vAlign w:val="bottom"/>
            <w:gridSpan w:val="2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Contribution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12.</w:t>
            </w:r>
          </w:p>
        </w:tc>
        <w:tc>
          <w:tcPr>
            <w:tcW w:w="9740" w:type="dxa"/>
            <w:vAlign w:val="bottom"/>
            <w:gridSpan w:val="2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Representations, Warranties and Agreements to Survive Delivery</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13.</w:t>
            </w:r>
          </w:p>
        </w:tc>
        <w:tc>
          <w:tcPr>
            <w:tcW w:w="4700" w:type="dxa"/>
            <w:vAlign w:val="bottom"/>
            <w:tcBorders>
              <w:top w:val="single" w:sz="8" w:color="0000EE"/>
            </w:tcBorders>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Termination of Agreement</w:t>
              </w:r>
            </w:hyperlink>
          </w:p>
        </w:tc>
        <w:tc>
          <w:tcPr>
            <w:tcW w:w="504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14.</w:t>
            </w:r>
          </w:p>
        </w:tc>
        <w:tc>
          <w:tcPr>
            <w:tcW w:w="5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Notices</w:t>
              </w:r>
            </w:hyperlink>
          </w:p>
        </w:tc>
        <w:tc>
          <w:tcPr>
            <w:tcW w:w="1360" w:type="dxa"/>
            <w:vAlign w:val="bottom"/>
            <w:tcBorders>
              <w:top w:val="single" w:sz="8" w:color="0000EE"/>
            </w:tcBorders>
            <w:gridSpan w:val="11"/>
          </w:tcPr>
          <w:p>
            <w:pPr>
              <w:spacing w:after="0"/>
              <w:rPr>
                <w:sz w:val="24"/>
                <w:szCs w:val="24"/>
                <w:color w:val="auto"/>
              </w:rPr>
            </w:pPr>
          </w:p>
        </w:tc>
        <w:tc>
          <w:tcPr>
            <w:tcW w:w="7820" w:type="dxa"/>
            <w:vAlign w:val="bottom"/>
            <w:gridSpan w:val="1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15.</w:t>
            </w:r>
          </w:p>
        </w:tc>
        <w:tc>
          <w:tcPr>
            <w:tcW w:w="500" w:type="dxa"/>
            <w:vAlign w:val="bottom"/>
            <w:tcBorders>
              <w:bottom w:val="single" w:sz="8" w:color="0000EE"/>
            </w:tcBorders>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Parties</w:t>
              </w:r>
            </w:hyperlink>
          </w:p>
        </w:tc>
        <w:tc>
          <w:tcPr>
            <w:tcW w:w="9240" w:type="dxa"/>
            <w:vAlign w:val="bottom"/>
            <w:gridSpan w:val="2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16.</w:t>
            </w:r>
          </w:p>
        </w:tc>
        <w:tc>
          <w:tcPr>
            <w:tcW w:w="9740" w:type="dxa"/>
            <w:vAlign w:val="bottom"/>
            <w:gridSpan w:val="2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Adjustments for Stock Splits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17.</w:t>
            </w:r>
          </w:p>
        </w:tc>
        <w:tc>
          <w:tcPr>
            <w:tcW w:w="2080" w:type="dxa"/>
            <w:vAlign w:val="bottom"/>
            <w:tcBorders>
              <w:top w:val="single" w:sz="8" w:color="0000EE"/>
            </w:tcBorders>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Governing Law and Time</w:t>
              </w:r>
            </w:hyperlink>
          </w:p>
        </w:tc>
        <w:tc>
          <w:tcPr>
            <w:tcW w:w="7660" w:type="dxa"/>
            <w:vAlign w:val="bottom"/>
            <w:gridSpan w:val="1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18.</w:t>
            </w:r>
          </w:p>
        </w:tc>
        <w:tc>
          <w:tcPr>
            <w:tcW w:w="9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Counterparts</w:t>
              </w:r>
            </w:hyperlink>
          </w:p>
        </w:tc>
        <w:tc>
          <w:tcPr>
            <w:tcW w:w="920" w:type="dxa"/>
            <w:vAlign w:val="bottom"/>
            <w:tcBorders>
              <w:top w:val="single" w:sz="8" w:color="0000EE"/>
            </w:tcBorders>
            <w:gridSpan w:val="6"/>
          </w:tcPr>
          <w:p>
            <w:pPr>
              <w:spacing w:after="0"/>
              <w:rPr>
                <w:sz w:val="24"/>
                <w:szCs w:val="24"/>
                <w:color w:val="auto"/>
              </w:rPr>
            </w:pPr>
          </w:p>
        </w:tc>
        <w:tc>
          <w:tcPr>
            <w:tcW w:w="7880" w:type="dxa"/>
            <w:vAlign w:val="bottom"/>
            <w:gridSpan w:val="1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19.</w:t>
            </w:r>
          </w:p>
        </w:tc>
        <w:tc>
          <w:tcPr>
            <w:tcW w:w="9740" w:type="dxa"/>
            <w:vAlign w:val="bottom"/>
            <w:gridSpan w:val="2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Effect of Headings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20.</w:t>
            </w:r>
          </w:p>
        </w:tc>
        <w:tc>
          <w:tcPr>
            <w:tcW w:w="8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Definitions</w:t>
              </w:r>
            </w:hyperlink>
          </w:p>
        </w:tc>
        <w:tc>
          <w:tcPr>
            <w:tcW w:w="540" w:type="dxa"/>
            <w:vAlign w:val="bottom"/>
            <w:tcBorders>
              <w:top w:val="single" w:sz="8" w:color="0000EE"/>
            </w:tcBorders>
            <w:gridSpan w:val="5"/>
          </w:tcPr>
          <w:p>
            <w:pPr>
              <w:spacing w:after="0"/>
              <w:rPr>
                <w:sz w:val="24"/>
                <w:szCs w:val="24"/>
                <w:color w:val="auto"/>
              </w:rPr>
            </w:pPr>
          </w:p>
        </w:tc>
        <w:tc>
          <w:tcPr>
            <w:tcW w:w="8380" w:type="dxa"/>
            <w:vAlign w:val="bottom"/>
            <w:gridSpan w:val="1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21.</w:t>
            </w:r>
          </w:p>
        </w:tc>
        <w:tc>
          <w:tcPr>
            <w:tcW w:w="9740" w:type="dxa"/>
            <w:vAlign w:val="bottom"/>
            <w:gridSpan w:val="2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Permitted Free Writing Prospectuses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22.</w:t>
            </w:r>
          </w:p>
        </w:tc>
        <w:tc>
          <w:tcPr>
            <w:tcW w:w="2640" w:type="dxa"/>
            <w:vAlign w:val="bottom"/>
            <w:tcBorders>
              <w:top w:val="single" w:sz="8" w:color="0000EE"/>
            </w:tcBorders>
            <w:gridSpan w:val="18"/>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Absence of Fiduciary Relationship</w:t>
              </w:r>
            </w:hyperlink>
          </w:p>
        </w:tc>
        <w:tc>
          <w:tcPr>
            <w:tcW w:w="710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85"/>
        </w:trPr>
        <w:tc>
          <w:tcPr>
            <w:tcW w:w="13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gridSpan w:val="3"/>
          </w:tcPr>
          <w:p>
            <w:pPr>
              <w:jc w:val="center"/>
              <w:ind w:right="442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60"/>
          </w:cols>
          <w:pgMar w:left="240" w:top="257"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80" w:type="dxa"/>
            <w:vAlign w:val="bottom"/>
            <w:gridSpan w:val="3"/>
          </w:tcPr>
          <w:p>
            <w:pPr>
              <w:jc w:val="center"/>
              <w:ind w:left="293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EXHIBITS</w:t>
            </w:r>
          </w:p>
        </w:tc>
        <w:tc>
          <w:tcPr>
            <w:tcW w:w="5680" w:type="dxa"/>
            <w:vAlign w:val="bottom"/>
            <w:gridSpan w:val="4"/>
            <w:vMerge w:val="restart"/>
          </w:tcPr>
          <w:p>
            <w:pPr>
              <w:ind w:left="260"/>
              <w:spacing w:after="0"/>
              <w:rPr>
                <w:sz w:val="20"/>
                <w:szCs w:val="20"/>
                <w:color w:val="auto"/>
              </w:rPr>
            </w:pPr>
            <w:r>
              <w:rPr>
                <w:rFonts w:ascii="Arial" w:cs="Arial" w:eastAsia="Arial" w:hAnsi="Arial"/>
                <w:sz w:val="18"/>
                <w:szCs w:val="18"/>
                <w:color w:val="auto"/>
              </w:rPr>
              <w:t>— Form of Placement Notice</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7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5"/>
              </w:rPr>
              <w:t>Exhibit A</w:t>
            </w:r>
          </w:p>
        </w:tc>
        <w:tc>
          <w:tcPr>
            <w:tcW w:w="300" w:type="dxa"/>
            <w:vAlign w:val="bottom"/>
          </w:tcPr>
          <w:p>
            <w:pPr>
              <w:spacing w:after="0"/>
              <w:rPr>
                <w:sz w:val="15"/>
                <w:szCs w:val="15"/>
                <w:color w:val="auto"/>
              </w:rPr>
            </w:pPr>
          </w:p>
        </w:tc>
        <w:tc>
          <w:tcPr>
            <w:tcW w:w="56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5680" w:type="dxa"/>
            <w:vAlign w:val="bottom"/>
            <w:gridSpan w:val="4"/>
          </w:tcPr>
          <w:p>
            <w:pPr>
              <w:ind w:left="260"/>
              <w:spacing w:after="0"/>
              <w:rPr>
                <w:sz w:val="20"/>
                <w:szCs w:val="20"/>
                <w:color w:val="auto"/>
              </w:rPr>
            </w:pPr>
            <w:r>
              <w:rPr>
                <w:rFonts w:ascii="Arial" w:cs="Arial" w:eastAsia="Arial" w:hAnsi="Arial"/>
                <w:sz w:val="18"/>
                <w:szCs w:val="18"/>
                <w:color w:val="auto"/>
              </w:rPr>
              <w:t>— Authorized Individuals for Placement Notices and Acceptances</w:t>
            </w:r>
          </w:p>
        </w:tc>
        <w:tc>
          <w:tcPr>
            <w:tcW w:w="0" w:type="dxa"/>
            <w:vAlign w:val="bottom"/>
          </w:tcPr>
          <w:p>
            <w:pPr>
              <w:spacing w:after="0"/>
              <w:rPr>
                <w:sz w:val="1"/>
                <w:szCs w:val="1"/>
                <w:color w:val="auto"/>
              </w:rPr>
            </w:pP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5680" w:type="dxa"/>
            <w:vAlign w:val="bottom"/>
            <w:gridSpan w:val="4"/>
          </w:tcPr>
          <w:p>
            <w:pPr>
              <w:ind w:left="260"/>
              <w:spacing w:after="0"/>
              <w:rPr>
                <w:sz w:val="20"/>
                <w:szCs w:val="20"/>
                <w:color w:val="auto"/>
              </w:rPr>
            </w:pPr>
            <w:r>
              <w:rPr>
                <w:rFonts w:ascii="Arial" w:cs="Arial" w:eastAsia="Arial" w:hAnsi="Arial"/>
                <w:sz w:val="18"/>
                <w:szCs w:val="18"/>
                <w:color w:val="auto"/>
              </w:rPr>
              <w:t>— Compensation</w:t>
            </w:r>
          </w:p>
        </w:tc>
        <w:tc>
          <w:tcPr>
            <w:tcW w:w="0" w:type="dxa"/>
            <w:vAlign w:val="bottom"/>
          </w:tcPr>
          <w:p>
            <w:pPr>
              <w:spacing w:after="0"/>
              <w:rPr>
                <w:sz w:val="1"/>
                <w:szCs w:val="1"/>
                <w:color w:val="auto"/>
              </w:rPr>
            </w:pP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D-1</w:t>
            </w:r>
          </w:p>
        </w:tc>
        <w:tc>
          <w:tcPr>
            <w:tcW w:w="5680" w:type="dxa"/>
            <w:vAlign w:val="bottom"/>
            <w:gridSpan w:val="4"/>
          </w:tcPr>
          <w:p>
            <w:pPr>
              <w:ind w:left="260"/>
              <w:spacing w:after="0"/>
              <w:rPr>
                <w:sz w:val="20"/>
                <w:szCs w:val="20"/>
                <w:color w:val="auto"/>
              </w:rPr>
            </w:pPr>
            <w:r>
              <w:rPr>
                <w:rFonts w:ascii="Arial" w:cs="Arial" w:eastAsia="Arial" w:hAnsi="Arial"/>
                <w:sz w:val="18"/>
                <w:szCs w:val="18"/>
                <w:color w:val="auto"/>
                <w:w w:val="94"/>
              </w:rPr>
              <w:t>— Form of Opinion of Pillsbury Winthrop Shaw Pittman LLP (Corporate)</w:t>
            </w:r>
          </w:p>
        </w:tc>
        <w:tc>
          <w:tcPr>
            <w:tcW w:w="0" w:type="dxa"/>
            <w:vAlign w:val="bottom"/>
          </w:tcPr>
          <w:p>
            <w:pPr>
              <w:spacing w:after="0"/>
              <w:rPr>
                <w:sz w:val="1"/>
                <w:szCs w:val="1"/>
                <w:color w:val="auto"/>
              </w:rPr>
            </w:pP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D-2</w:t>
            </w:r>
          </w:p>
        </w:tc>
        <w:tc>
          <w:tcPr>
            <w:tcW w:w="5680" w:type="dxa"/>
            <w:vAlign w:val="bottom"/>
            <w:gridSpan w:val="4"/>
          </w:tcPr>
          <w:p>
            <w:pPr>
              <w:ind w:left="260"/>
              <w:spacing w:after="0"/>
              <w:rPr>
                <w:sz w:val="20"/>
                <w:szCs w:val="20"/>
                <w:color w:val="auto"/>
              </w:rPr>
            </w:pPr>
            <w:r>
              <w:rPr>
                <w:rFonts w:ascii="Arial" w:cs="Arial" w:eastAsia="Arial" w:hAnsi="Arial"/>
                <w:sz w:val="18"/>
                <w:szCs w:val="18"/>
                <w:color w:val="auto"/>
              </w:rPr>
              <w:t>— Form of Opinion of Pillsbury Winthrop Shaw Pittman LLP (Tax)</w:t>
            </w:r>
          </w:p>
        </w:tc>
        <w:tc>
          <w:tcPr>
            <w:tcW w:w="0" w:type="dxa"/>
            <w:vAlign w:val="bottom"/>
          </w:tcPr>
          <w:p>
            <w:pPr>
              <w:spacing w:after="0"/>
              <w:rPr>
                <w:sz w:val="1"/>
                <w:szCs w:val="1"/>
                <w:color w:val="auto"/>
              </w:rPr>
            </w:pP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5180" w:type="dxa"/>
            <w:vAlign w:val="bottom"/>
            <w:gridSpan w:val="3"/>
          </w:tcPr>
          <w:p>
            <w:pPr>
              <w:ind w:left="40"/>
              <w:spacing w:after="0"/>
              <w:rPr>
                <w:sz w:val="20"/>
                <w:szCs w:val="20"/>
                <w:color w:val="auto"/>
              </w:rPr>
            </w:pPr>
            <w:r>
              <w:rPr>
                <w:rFonts w:ascii="Arial" w:cs="Arial" w:eastAsia="Arial" w:hAnsi="Arial"/>
                <w:sz w:val="18"/>
                <w:szCs w:val="18"/>
                <w:color w:val="auto"/>
              </w:rPr>
              <w:t>Officer’s Certificate</w:t>
            </w:r>
          </w:p>
        </w:tc>
        <w:tc>
          <w:tcPr>
            <w:tcW w:w="0" w:type="dxa"/>
            <w:vAlign w:val="bottom"/>
          </w:tcPr>
          <w:p>
            <w:pPr>
              <w:spacing w:after="0"/>
              <w:rPr>
                <w:sz w:val="1"/>
                <w:szCs w:val="1"/>
                <w:color w:val="auto"/>
              </w:rPr>
            </w:pPr>
          </w:p>
        </w:tc>
      </w:tr>
      <w:tr>
        <w:trPr>
          <w:trHeight w:val="230"/>
        </w:trPr>
        <w:tc>
          <w:tcPr>
            <w:tcW w:w="112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5180" w:type="dxa"/>
            <w:vAlign w:val="bottom"/>
            <w:gridSpan w:val="3"/>
          </w:tcPr>
          <w:p>
            <w:pPr>
              <w:ind w:left="40"/>
              <w:spacing w:after="0"/>
              <w:rPr>
                <w:sz w:val="20"/>
                <w:szCs w:val="20"/>
                <w:color w:val="auto"/>
              </w:rPr>
            </w:pPr>
            <w:r>
              <w:rPr>
                <w:rFonts w:ascii="Arial" w:cs="Arial" w:eastAsia="Arial" w:hAnsi="Arial"/>
                <w:sz w:val="18"/>
                <w:szCs w:val="18"/>
                <w:color w:val="auto"/>
              </w:rPr>
              <w:t>Permitted Free Writing Prospectuses</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257"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Maryland Real Estate Investment Trust)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Federal Realty Investment Trust, a Maryland real estate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Wells Fargo Securities, LLC (“</w:t>
      </w:r>
      <w:r>
        <w:rPr>
          <w:rFonts w:ascii="Arial" w:cs="Arial" w:eastAsia="Arial" w:hAnsi="Arial"/>
          <w:sz w:val="18"/>
          <w:szCs w:val="18"/>
          <w:u w:val="single" w:color="auto"/>
          <w:color w:val="auto"/>
        </w:rPr>
        <w:t>Wells Fargo</w:t>
      </w:r>
      <w:r>
        <w:rPr>
          <w:rFonts w:ascii="Arial" w:cs="Arial" w:eastAsia="Arial" w:hAnsi="Arial"/>
          <w:sz w:val="18"/>
          <w:szCs w:val="18"/>
          <w:color w:val="auto"/>
        </w:rPr>
        <w:t>”), as follows: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Description of Securities</w:t>
      </w:r>
      <w:r>
        <w:rPr>
          <w:rFonts w:ascii="Arial" w:cs="Arial" w:eastAsia="Arial" w:hAnsi="Arial"/>
          <w:sz w:val="17"/>
          <w:szCs w:val="17"/>
          <w:color w:val="auto"/>
        </w:rPr>
        <w:t>. The Company agrees that, from time to time during the term of this Agreement, on the terms and subject to the conditions set forth herein, the Company may issue and sell through Wells Fargo, acting as agent and/or principal, its common shares of beneficial interest, par value $.01 per share (the “</w:t>
      </w:r>
      <w:r>
        <w:rPr>
          <w:rFonts w:ascii="Arial" w:cs="Arial" w:eastAsia="Arial" w:hAnsi="Arial"/>
          <w:sz w:val="17"/>
          <w:szCs w:val="17"/>
          <w:u w:val="single" w:color="auto"/>
          <w:color w:val="auto"/>
        </w:rPr>
        <w:t>Common Shares</w:t>
      </w:r>
      <w:r>
        <w:rPr>
          <w:rFonts w:ascii="Arial" w:cs="Arial" w:eastAsia="Arial" w:hAnsi="Arial"/>
          <w:sz w:val="17"/>
          <w:szCs w:val="17"/>
          <w:color w:val="auto"/>
        </w:rPr>
        <w:t>”), having an aggregate offering price of up to $400,000,000 (the “</w:t>
      </w:r>
      <w:r>
        <w:rPr>
          <w:rFonts w:ascii="Arial" w:cs="Arial" w:eastAsia="Arial" w:hAnsi="Arial"/>
          <w:sz w:val="17"/>
          <w:szCs w:val="17"/>
          <w:u w:val="single" w:color="auto"/>
          <w:color w:val="auto"/>
        </w:rPr>
        <w:t>Maximum Amount</w:t>
      </w:r>
      <w:r>
        <w:rPr>
          <w:rFonts w:ascii="Arial" w:cs="Arial" w:eastAsia="Arial" w:hAnsi="Arial"/>
          <w:sz w:val="17"/>
          <w:szCs w:val="17"/>
          <w:color w:val="auto"/>
        </w:rPr>
        <w:t>”). The Common Shares sold pursuant to this Agreement, up to the Maximum Amount, shall be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 Notwithstanding anything to the contrary contained herein, the parties hereto agree that compliance with the limitations set forth in this Section 1 regarding the aggregate offering price of the Securities issued and sold under this Agreement shall be the sole responsibility of the Company, and Wells Fargo shall have no obligation in connection with such compliance. The issuance and sale of the Securities through Wells Fargo will be effected pursuant to the Registration Statement (as defined below) that was filed by the Company and became effective upon filing under Rule 462(e) of the Securities Act of 1933, as amended, and the rules and regulations thereunder (collectively,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t>
      </w:r>
      <w:r>
        <w:rPr>
          <w:rFonts w:ascii="Arial" w:cs="Arial" w:eastAsia="Arial" w:hAnsi="Arial"/>
          <w:sz w:val="17"/>
          <w:szCs w:val="17"/>
          <w:u w:val="single" w:color="auto"/>
          <w:color w:val="auto"/>
        </w:rPr>
        <w:t>Rule 462(e)</w:t>
      </w:r>
      <w:r>
        <w:rPr>
          <w:rFonts w:ascii="Arial" w:cs="Arial" w:eastAsia="Arial" w:hAnsi="Arial"/>
          <w:sz w:val="17"/>
          <w:szCs w:val="17"/>
          <w:color w:val="auto"/>
        </w:rPr>
        <w:t>”), although nothing in this Agreement shall be construed as requiring the Company to use the Registration Statement to issue the Securities.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has filed, in accordance with the provisions of the Securities Act,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an automatic shelf registration statement on Form S-3 (File No. 333-224701), including a base prospectus, relating to certain securities, including the Securities,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Company has prepared a prospectus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7" w:name="page8"/>
    <w:bookmarkEnd w:id="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 specifically relating to the Securities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to the base prospectus included as part of such registration statement. The Company will furnish to Wells Fargo, for use by Wells Fargo, copies of the prospectus included as part of such registration statement, as supplemented by the Prospectus Supplement, relating to the Securities.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(the “</w:t>
      </w:r>
      <w:r>
        <w:rPr>
          <w:rFonts w:ascii="Arial" w:cs="Arial" w:eastAsia="Arial" w:hAnsi="Arial"/>
          <w:sz w:val="16"/>
          <w:szCs w:val="16"/>
          <w:u w:val="single" w:color="auto"/>
          <w:color w:val="auto"/>
        </w:rPr>
        <w:t>Rule 430B Information</w:t>
      </w:r>
      <w:r>
        <w:rPr>
          <w:rFonts w:ascii="Arial" w:cs="Arial" w:eastAsia="Arial" w:hAnsi="Arial"/>
          <w:sz w:val="16"/>
          <w:szCs w:val="16"/>
          <w:color w:val="auto"/>
        </w:rPr>
        <w:t>”) of the Securities Act,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at the time it originally became effective is herein called the “</w:t>
      </w:r>
      <w:r>
        <w:rPr>
          <w:rFonts w:ascii="Arial" w:cs="Arial" w:eastAsia="Arial" w:hAnsi="Arial"/>
          <w:sz w:val="16"/>
          <w:szCs w:val="16"/>
          <w:u w:val="single" w:color="auto"/>
          <w:color w:val="auto"/>
        </w:rPr>
        <w:t>Original 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172"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The Company has also entered into separate equity distribution agreements (the “</w:t>
      </w:r>
      <w:r>
        <w:rPr>
          <w:rFonts w:ascii="Arial" w:cs="Arial" w:eastAsia="Arial" w:hAnsi="Arial"/>
          <w:sz w:val="16"/>
          <w:szCs w:val="16"/>
          <w:u w:val="single" w:color="auto"/>
          <w:color w:val="auto"/>
        </w:rPr>
        <w:t>Alternative Distribution Agreements</w:t>
      </w:r>
      <w:r>
        <w:rPr>
          <w:rFonts w:ascii="Arial" w:cs="Arial" w:eastAsia="Arial" w:hAnsi="Arial"/>
          <w:sz w:val="16"/>
          <w:szCs w:val="16"/>
          <w:color w:val="auto"/>
        </w:rPr>
        <w:t>”), of even date herewith, with each of Wells Fargo Securities, LLC and Merrill Lynch, Pierce, Fenner &amp; Smith Incorporated (together, the “</w:t>
      </w:r>
      <w:r>
        <w:rPr>
          <w:rFonts w:ascii="Arial" w:cs="Arial" w:eastAsia="Arial" w:hAnsi="Arial"/>
          <w:sz w:val="16"/>
          <w:szCs w:val="16"/>
          <w:u w:val="single" w:color="auto"/>
          <w:color w:val="auto"/>
        </w:rPr>
        <w:t>Alternative Agents</w:t>
      </w:r>
      <w:r>
        <w:rPr>
          <w:rFonts w:ascii="Arial" w:cs="Arial" w:eastAsia="Arial" w:hAnsi="Arial"/>
          <w:sz w:val="16"/>
          <w:szCs w:val="16"/>
          <w:color w:val="auto"/>
        </w:rPr>
        <w:t>”). The aggregate offering price of the Securities that may be sold pursuant to this Agreement and the Alternative Distribution Agreements shall not exceed the Maximum Amount.</w:t>
      </w:r>
    </w:p>
    <w:p>
      <w:pPr>
        <w:spacing w:after="0" w:line="14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Securities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Wells Fargo by email notice (or other method mutually agreed to in writing by the parties) (a “</w:t>
      </w:r>
      <w:r>
        <w:rPr>
          <w:rFonts w:ascii="Arial" w:cs="Arial" w:eastAsia="Arial" w:hAnsi="Arial"/>
          <w:sz w:val="16"/>
          <w:szCs w:val="16"/>
          <w:u w:val="single" w:color="auto"/>
          <w:color w:val="auto"/>
        </w:rPr>
        <w:t>Placement Notice</w:t>
      </w:r>
      <w:r>
        <w:rPr>
          <w:rFonts w:ascii="Arial" w:cs="Arial" w:eastAsia="Arial" w:hAnsi="Arial"/>
          <w:sz w:val="16"/>
          <w:szCs w:val="16"/>
          <w:color w:val="auto"/>
        </w:rPr>
        <w:t xml:space="preserve">”), a form of which containing such minimum sales parameters necessary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containing the parameters in accordance with which it desires the Securities to be sold, which shall at a minimum include (a) the number of Securities to be issued (the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(b) the time period during which sales are requested to be made,</w:t>
      </w:r>
    </w:p>
    <w:p>
      <w:pPr>
        <w:spacing w:after="0" w:line="2" w:lineRule="exact"/>
        <w:rPr>
          <w:sz w:val="20"/>
          <w:szCs w:val="20"/>
          <w:color w:val="auto"/>
        </w:rPr>
      </w:pPr>
    </w:p>
    <w:p>
      <w:pPr>
        <w:ind w:right="80" w:firstLine="8"/>
        <w:spacing w:after="0" w:line="254"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any limitation on the number of Placement Securities that may be sold in any one day and (d) any minimum price below which sales may not be made. The Placement Notice shall originate from any of the individuals from the Company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 a copy to each of the other individuals from the Company listed on such schedule), and shall be addressed to each of the individuals from Wells Fargo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(any reference to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contained herein shall refer to such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may be amended from time to time).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8" w:name="page9"/>
    <w:bookmarkEnd w:id="8"/>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Wells Fargo wishes to accept such proposed terms included in the Placement Notice (which it may decline to do for any reason in its sole discretion) or, following discussion with the Company, wishes to accept amended terms, Wells Fargo will, prior to 4:30 p.m. (New York City Time) on the business day following the business day on which such Placement Notice is delivered to Wells Fargo, issue to the Company a notice by email (or other method mutually agreed to in writing by the parties) addressed to all of the individuals from the Company and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setting forth the terms that Wells Fargo is willing to accept. Where the terms provided in the Placement Notice are amended as provided for in the immediately preceding sentence, such terms will not be binding on the Company or Wells Fargo until the Company delivers to Wells Fargo an acceptance by email (or other method mutually agreed to in writing by the parties) of all of the terms of such Placement Notice, as amended (the “</w:t>
      </w: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Placement Notice (as amended by the corresponding Acceptance, if applicable) shall be effective upon receipt by the Company of Wells Fargo’s acceptance of the terms of the Placement Notice or upon receipt by Wells Fargo of the Company’s Acceptance, as the case may be, unless and until (i) the entire amount of the Placement Securities has been sold, (ii) the Company terminates the Placement Notice by delivering a termination notice by email (or other method mutually agreed to in writing by the parties) expressly indicating that the Company desires to terminate the Placement Notice,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(iii) 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The amount of any commission, discount or other compensation to be paid by the Company to Wells Fargo, when Wells Fargo is acting as agent, in connection with the sale of the Placement Securities shall be calculated in accordance with the terms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It is expressly acknowledged and agreed that neither the Company nor Wells Fargo will have any obligation whatsoever with respect to a Placement or any Placement Securities unless and until the Company delivers a Placement Notice to Wells Fargo and either (i) Wells Fargo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Sale of Placement Securities by Wells Fargo</w:t>
      </w:r>
      <w:r>
        <w:rPr>
          <w:rFonts w:ascii="Arial" w:cs="Arial" w:eastAsia="Arial" w:hAnsi="Arial"/>
          <w:sz w:val="18"/>
          <w:szCs w:val="18"/>
          <w:color w:val="auto"/>
        </w:rPr>
        <w:t>. Subject to the provisions of Section 6(a), Wells Fargo, for the period specified in the Placement Notice (as amended by the corresponding Acceptance, if applicable), will use its commercially reasonable efforts consistent with its normal trading and sales practices to sell the Placement Securities up to the amount specified, and otherwise in accordance with the terms of such Placement Notice (as amended 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 w:name="page10"/>
    <w:bookmarkEnd w:id="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corresponding Acceptance, if applicable). Wells Fargo will provide written confirmation to the Company no later than the opening of the Trading Day (as defined below) immediately following the Trading Day on which it has made sales of Placement Securities hereunder setting forth the number of Placement Securities sold on such day, the compensation payable by the Company to Wells Fargo pursuant to Section 2 with respect to such sales, and the Net Proceeds (as defined below) payable to the Company, with an itemization of the deductions made by Wells Fargo (as set forth in Section 6(b)) from the gross proceeds that it receives from such sales. Subject to the terms of the Placement Notice (as amended by the corresponding Acceptance, if applicable), Wells Fargo may sell Placement Securities by any method permitted by law deemed to be an “at the market” offering as defined in Rule 415 of the Securities Act, including without limitation sales made directly on the New York Stock Exchange (the “</w:t>
      </w:r>
      <w:r>
        <w:rPr>
          <w:rFonts w:ascii="Arial" w:cs="Arial" w:eastAsia="Arial" w:hAnsi="Arial"/>
          <w:sz w:val="16"/>
          <w:szCs w:val="16"/>
          <w:u w:val="single" w:color="auto"/>
          <w:color w:val="auto"/>
        </w:rPr>
        <w:t>NYSE</w:t>
      </w:r>
      <w:r>
        <w:rPr>
          <w:rFonts w:ascii="Arial" w:cs="Arial" w:eastAsia="Arial" w:hAnsi="Arial"/>
          <w:sz w:val="16"/>
          <w:szCs w:val="16"/>
          <w:color w:val="auto"/>
        </w:rPr>
        <w:t>”), on any other existing trading market for the Common Shares or to or through a market maker. Subject to the terms of the Placement Notice (as amended by the corresponding Acceptance, if applicable), Wells Fargo may also sell Placement Securities by any other method permitted by law, including but not limited to sales in privately negotiated transactions. For the purposes hereof, “</w:t>
      </w:r>
      <w:r>
        <w:rPr>
          <w:rFonts w:ascii="Arial" w:cs="Arial" w:eastAsia="Arial" w:hAnsi="Arial"/>
          <w:sz w:val="16"/>
          <w:szCs w:val="16"/>
          <w:u w:val="single" w:color="auto"/>
          <w:color w:val="auto"/>
        </w:rPr>
        <w:t>Trading Day</w:t>
      </w:r>
      <w:r>
        <w:rPr>
          <w:rFonts w:ascii="Arial" w:cs="Arial" w:eastAsia="Arial" w:hAnsi="Arial"/>
          <w:sz w:val="16"/>
          <w:szCs w:val="16"/>
          <w:color w:val="auto"/>
        </w:rPr>
        <w:t>” means any day on which Common Shares are purchased and sold on the principal market on which the Common Shares are listed or quoted.</w:t>
      </w:r>
    </w:p>
    <w:p>
      <w:pPr>
        <w:spacing w:after="0" w:line="16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Suspension of Sales</w:t>
      </w:r>
      <w:r>
        <w:rPr>
          <w:rFonts w:ascii="Arial" w:cs="Arial" w:eastAsia="Arial" w:hAnsi="Arial"/>
          <w:sz w:val="17"/>
          <w:szCs w:val="17"/>
          <w:color w:val="auto"/>
        </w:rPr>
        <w:t xml:space="preserve">. The Company or Wells Fargo may, upon notice to the other party in writing (including by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suspend any sale of Placement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suspension shall not affect or impair either party’s obligations with respect to any Placement Securities sold hereunder prior to the receipt of such notice or any Placement Securities sold under the Alternative Distribution Agreements. Each of the parties agrees that no such notice under this Section 4 shall be effective against the other unless it is made to one of the individuals (or to each of the individuals, if notice is made by email correspondence) named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as such Exhibit may be amended from time to time, and (i) receipt is actually acknowledged, other than via auto-reply, by any of the individuals to whom the notice is sent if made by email correspondence or (ii) notice is confirmed promptly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notice is made by telephone. Each party shall acknowledge any notice received pursuant to this Section 4 as promptly as possible.</w:t>
      </w:r>
    </w:p>
    <w:p>
      <w:pPr>
        <w:spacing w:after="0" w:line="183"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225" w:lineRule="exact"/>
        <w:rPr>
          <w:sz w:val="20"/>
          <w:szCs w:val="20"/>
          <w:color w:val="auto"/>
        </w:rPr>
      </w:pPr>
    </w:p>
    <w:p>
      <w:pPr>
        <w:ind w:right="240" w:firstLine="464"/>
        <w:spacing w:after="0" w:line="264" w:lineRule="auto"/>
        <w:tabs>
          <w:tab w:leader="none" w:pos="83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by the Company. </w:t>
      </w:r>
      <w:r>
        <w:rPr>
          <w:rFonts w:ascii="Arial" w:cs="Arial" w:eastAsia="Arial" w:hAnsi="Arial"/>
          <w:sz w:val="18"/>
          <w:szCs w:val="18"/>
          <w:color w:val="auto"/>
        </w:rPr>
        <w:t>The Company represents and warrants to Wells Fargo as of the date hereof and as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Date (as defined below), as of each Applicable Time (as defined below) and as of each Settlement Date (as defined below), and agrees with Wells Fargo, as follows:</w:t>
      </w:r>
    </w:p>
    <w:p>
      <w:pPr>
        <w:spacing w:after="0" w:line="73" w:lineRule="exact"/>
        <w:rPr>
          <w:rFonts w:ascii="Arial" w:cs="Arial" w:eastAsia="Arial" w:hAnsi="Arial"/>
          <w:sz w:val="18"/>
          <w:szCs w:val="18"/>
          <w:color w:val="auto"/>
        </w:rPr>
      </w:pPr>
    </w:p>
    <w:p>
      <w:pPr>
        <w:ind w:left="460" w:right="720" w:firstLine="443"/>
        <w:spacing w:after="0" w:line="277" w:lineRule="auto"/>
        <w:tabs>
          <w:tab w:leader="none" w:pos="1288"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Status as a Well-Known Seasoned Issuer; Registration Statement Effective; Conform to Securities Act; No Misleading Statements; Conformity with EDGAR filings</w:t>
      </w:r>
      <w:r>
        <w:rPr>
          <w:rFonts w:ascii="Arial" w:cs="Arial" w:eastAsia="Arial" w:hAnsi="Arial"/>
          <w:sz w:val="18"/>
          <w:szCs w:val="18"/>
          <w:color w:val="auto"/>
        </w:rPr>
        <w:t>. (A) At the time of filing the Original Registration Statement, (B) at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 w:name="page11"/>
    <w:bookmarkEnd w:id="1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of the Securities Act) made any offer relating to the Securities in reliance on the exemption of Rule 163 of the Securities Act, (D) at the earliest time that the Company or another offering participant made a bona fide offer (within the meaning of Rule 164(h)(2) under the Securities Act) of the Securities and (E) at the date hereof, the Company was, is and will be a “well-known seasoned issuer” as defined in Rule 405 under the Securities Act (“</w:t>
      </w:r>
      <w:r>
        <w:rPr>
          <w:rFonts w:ascii="Arial" w:cs="Arial" w:eastAsia="Arial" w:hAnsi="Arial"/>
          <w:sz w:val="16"/>
          <w:szCs w:val="16"/>
          <w:u w:val="single" w:color="auto"/>
          <w:color w:val="auto"/>
        </w:rPr>
        <w:t>Rule 405</w:t>
      </w:r>
      <w:r>
        <w:rPr>
          <w:rFonts w:ascii="Arial" w:cs="Arial" w:eastAsia="Arial" w:hAnsi="Arial"/>
          <w:sz w:val="16"/>
          <w:szCs w:val="16"/>
          <w:color w:val="auto"/>
        </w:rPr>
        <w:t>”),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 Rule 456(b)(1)</w:t>
      </w:r>
    </w:p>
    <w:p>
      <w:pPr>
        <w:spacing w:after="0" w:line="5" w:lineRule="exact"/>
        <w:rPr>
          <w:sz w:val="20"/>
          <w:szCs w:val="20"/>
          <w:color w:val="auto"/>
        </w:rPr>
      </w:pPr>
    </w:p>
    <w:p>
      <w:pPr>
        <w:ind w:firstLine="4"/>
        <w:spacing w:after="0" w:line="255"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190" w:lineRule="exact"/>
        <w:rPr>
          <w:sz w:val="20"/>
          <w:szCs w:val="20"/>
          <w:color w:val="auto"/>
        </w:rPr>
      </w:pPr>
    </w:p>
    <w:p>
      <w:pPr>
        <w:ind w:right="140" w:firstLine="438"/>
        <w:spacing w:after="0" w:line="279" w:lineRule="auto"/>
        <w:rPr>
          <w:sz w:val="20"/>
          <w:szCs w:val="20"/>
          <w:color w:val="auto"/>
        </w:rPr>
      </w:pPr>
      <w:r>
        <w:rPr>
          <w:rFonts w:ascii="Arial" w:cs="Arial" w:eastAsia="Arial" w:hAnsi="Arial"/>
          <w:sz w:val="17"/>
          <w:szCs w:val="17"/>
          <w:color w:val="auto"/>
        </w:rPr>
        <w:t>The Original Registration Statement became effective upon filing under Rule 462(e) on May 8, 2015,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171" w:lineRule="exact"/>
        <w:rPr>
          <w:sz w:val="20"/>
          <w:szCs w:val="20"/>
          <w:color w:val="auto"/>
        </w:rPr>
      </w:pPr>
    </w:p>
    <w:p>
      <w:pPr>
        <w:ind w:right="160" w:firstLine="438"/>
        <w:spacing w:after="0" w:line="257" w:lineRule="auto"/>
        <w:rPr>
          <w:sz w:val="20"/>
          <w:szCs w:val="20"/>
          <w:color w:val="auto"/>
        </w:rPr>
      </w:pPr>
      <w:r>
        <w:rPr>
          <w:rFonts w:ascii="Arial" w:cs="Arial" w:eastAsia="Arial" w:hAnsi="Arial"/>
          <w:sz w:val="18"/>
          <w:szCs w:val="18"/>
          <w:color w:val="auto"/>
        </w:rPr>
        <w:t>At the respective times the Original Registration Statement and any amendment thereto became effective, at each deemed effective date with respect to Wells Fargo and the Securities pursuant to Rule 430B(f)(2) under the Securities Act,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188" w:lineRule="exact"/>
        <w:rPr>
          <w:sz w:val="20"/>
          <w:szCs w:val="20"/>
          <w:color w:val="auto"/>
        </w:rPr>
      </w:pPr>
    </w:p>
    <w:p>
      <w:pPr>
        <w:ind w:firstLine="438"/>
        <w:spacing w:after="0" w:line="286" w:lineRule="auto"/>
        <w:rPr>
          <w:sz w:val="20"/>
          <w:szCs w:val="20"/>
          <w:color w:val="auto"/>
        </w:rPr>
      </w:pPr>
      <w:r>
        <w:rPr>
          <w:rFonts w:ascii="Arial" w:cs="Arial" w:eastAsia="Arial" w:hAnsi="Arial"/>
          <w:sz w:val="17"/>
          <w:szCs w:val="17"/>
          <w:color w:val="auto"/>
        </w:rPr>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 supplements thereto, at the time the Prospectus or any such amendment or supplement</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1" w:name="page12"/>
    <w:bookmarkEnd w:id="11"/>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147" w:lineRule="exact"/>
        <w:rPr>
          <w:sz w:val="20"/>
          <w:szCs w:val="20"/>
          <w:color w:val="auto"/>
        </w:rPr>
      </w:pPr>
    </w:p>
    <w:p>
      <w:pPr>
        <w:ind w:right="120" w:firstLine="438"/>
        <w:spacing w:after="0" w:line="259" w:lineRule="auto"/>
        <w:rPr>
          <w:sz w:val="20"/>
          <w:szCs w:val="20"/>
          <w:color w:val="auto"/>
        </w:rPr>
      </w:pPr>
      <w:r>
        <w:rPr>
          <w:rFonts w:ascii="Arial" w:cs="Arial" w:eastAsia="Arial" w:hAnsi="Arial"/>
          <w:sz w:val="18"/>
          <w:szCs w:val="18"/>
          <w:color w:val="auto"/>
        </w:rPr>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Wells Fargo for use in connection with the offering of any Securities was identical to the electronically transmitted copies thereof filed with the Commission pursuant to EDGAR, except to the extent permitted by Regulation S-T.</w:t>
      </w:r>
    </w:p>
    <w:p>
      <w:pPr>
        <w:spacing w:after="0" w:line="187" w:lineRule="exact"/>
        <w:rPr>
          <w:sz w:val="20"/>
          <w:szCs w:val="20"/>
          <w:color w:val="auto"/>
        </w:rPr>
      </w:pPr>
    </w:p>
    <w:p>
      <w:pPr>
        <w:ind w:right="40" w:firstLine="438"/>
        <w:spacing w:after="0" w:line="273" w:lineRule="auto"/>
        <w:rPr>
          <w:sz w:val="20"/>
          <w:szCs w:val="20"/>
          <w:color w:val="auto"/>
        </w:rPr>
      </w:pPr>
      <w:r>
        <w:rPr>
          <w:rFonts w:ascii="Arial" w:cs="Arial" w:eastAsia="Arial" w:hAnsi="Arial"/>
          <w:sz w:val="17"/>
          <w:szCs w:val="17"/>
          <w:color w:val="auto"/>
        </w:rPr>
        <w:t>Each Issuer Free Writing Prospectus, as of its issue date and as of the relevant Applicable Time and Settlement Date, or until any earlier date that the issuer notified or notifies Wells Fargo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any material fact or omit to state a material fact necessary in order to make the statements therein, in the light of the circumstances under which they were made, not misleading.</w:t>
      </w:r>
    </w:p>
    <w:p>
      <w:pPr>
        <w:spacing w:after="0" w:line="178" w:lineRule="exact"/>
        <w:rPr>
          <w:sz w:val="20"/>
          <w:szCs w:val="20"/>
          <w:color w:val="auto"/>
        </w:rPr>
      </w:pPr>
    </w:p>
    <w:p>
      <w:pPr>
        <w:jc w:val="both"/>
        <w:ind w:right="220" w:firstLine="438"/>
        <w:spacing w:after="0" w:line="286" w:lineRule="auto"/>
        <w:rPr>
          <w:sz w:val="20"/>
          <w:szCs w:val="20"/>
          <w:color w:val="auto"/>
        </w:rPr>
      </w:pPr>
      <w:r>
        <w:rPr>
          <w:rFonts w:ascii="Arial" w:cs="Arial" w:eastAsia="Arial" w:hAnsi="Arial"/>
          <w:sz w:val="17"/>
          <w:szCs w:val="17"/>
          <w:color w:val="auto"/>
        </w:rPr>
        <w:t>The representations and warranties in this Section 5(a)(1) shall not apply to statements in or omissions from the Registration Statement or any post-effective amendment thereto, the Prospectus or any amendments or supplements thereto or any Issuer Free Writing Prospectus made in reliance upon and in conformity with information furnished to the Company in writing by Wells Fargo expressly for use therein.</w:t>
      </w:r>
    </w:p>
    <w:p>
      <w:pPr>
        <w:spacing w:after="0" w:line="166" w:lineRule="exact"/>
        <w:rPr>
          <w:sz w:val="20"/>
          <w:szCs w:val="20"/>
          <w:color w:val="auto"/>
        </w:rPr>
      </w:pPr>
    </w:p>
    <w:p>
      <w:pPr>
        <w:ind w:right="100" w:firstLine="443"/>
        <w:spacing w:after="0" w:line="312" w:lineRule="auto"/>
        <w:tabs>
          <w:tab w:leader="none" w:pos="828"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Registration Statement and the Prospectus, when they became effective or at the time 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146" w:lineRule="exact"/>
        <w:rPr>
          <w:rFonts w:ascii="Arial" w:cs="Arial" w:eastAsia="Arial" w:hAnsi="Arial"/>
          <w:sz w:val="16"/>
          <w:szCs w:val="16"/>
          <w:color w:val="auto"/>
        </w:rPr>
      </w:pPr>
    </w:p>
    <w:p>
      <w:pPr>
        <w:ind w:right="80" w:firstLine="443"/>
        <w:spacing w:after="0" w:line="272" w:lineRule="auto"/>
        <w:tabs>
          <w:tab w:leader="none" w:pos="82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 and Significant Subsidiaries</w:t>
      </w:r>
      <w:r>
        <w:rPr>
          <w:rFonts w:ascii="Arial" w:cs="Arial" w:eastAsia="Arial" w:hAnsi="Arial"/>
          <w:sz w:val="17"/>
          <w:szCs w:val="17"/>
          <w:color w:val="auto"/>
        </w:rPr>
        <w:t>. 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and the Prospectus; each “significant subsidiary” of the Company (as such term is defined in Rule 1-02 of Regulation S-X) (each, a “</w:t>
      </w:r>
      <w:r>
        <w:rPr>
          <w:rFonts w:ascii="Arial" w:cs="Arial" w:eastAsia="Arial" w:hAnsi="Arial"/>
          <w:sz w:val="17"/>
          <w:szCs w:val="17"/>
          <w:u w:val="single" w:color="auto"/>
          <w:color w:val="auto"/>
        </w:rPr>
        <w:t>Subsidiary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Subsidiaries</w:t>
      </w:r>
      <w:r>
        <w:rPr>
          <w:rFonts w:ascii="Arial" w:cs="Arial" w:eastAsia="Arial" w:hAnsi="Arial"/>
          <w:sz w:val="17"/>
          <w:szCs w:val="17"/>
          <w:color w:val="auto"/>
        </w:rPr>
        <w:t>”)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74" w:right="279" w:bottom="1440" w:gutter="0" w:footer="0" w:header="0"/>
        </w:sectPr>
      </w:pPr>
    </w:p>
    <w:bookmarkStart w:id="12" w:name="page13"/>
    <w:bookmarkEnd w:id="12"/>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described in the Registration Statement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 may result in the issuance of Common Shares of the Company;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183" w:lineRule="exact"/>
        <w:rPr>
          <w:sz w:val="20"/>
          <w:szCs w:val="20"/>
          <w:color w:val="auto"/>
        </w:rPr>
      </w:pPr>
    </w:p>
    <w:p>
      <w:pPr>
        <w:ind w:firstLine="443"/>
        <w:spacing w:after="0" w:line="285" w:lineRule="auto"/>
        <w:tabs>
          <w:tab w:leader="none" w:pos="82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The Company and its subsidiaries, considered as one enterprise, have not, since the date of the latest audited financial statements included or incorporated by reference in the Registration Statement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or the Alternative Distribution Agreements, (ii)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 (v) the exercise of contractual rights existing on the date hereof by the current and former holders of partnership or other interests in certain of the “DownREIT” and other subsidiaries which may result in the issuance of Common Shares of the Company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Prospectus.</w:t>
      </w:r>
    </w:p>
    <w:p>
      <w:pPr>
        <w:spacing w:after="0" w:line="10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3" w:name="page14"/>
    <w:bookmarkEnd w:id="13"/>
    <w:p>
      <w:pPr>
        <w:ind w:right="100" w:firstLine="443"/>
        <w:spacing w:after="0" w:line="302" w:lineRule="auto"/>
        <w:tabs>
          <w:tab w:leader="none" w:pos="828"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Capitalization</w:t>
      </w:r>
      <w:r>
        <w:rPr>
          <w:rFonts w:ascii="Arial" w:cs="Arial" w:eastAsia="Arial" w:hAnsi="Arial"/>
          <w:sz w:val="16"/>
          <w:szCs w:val="16"/>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154" w:lineRule="exact"/>
        <w:rPr>
          <w:rFonts w:ascii="Arial" w:cs="Arial" w:eastAsia="Arial" w:hAnsi="Arial"/>
          <w:sz w:val="16"/>
          <w:szCs w:val="16"/>
          <w:color w:val="auto"/>
        </w:rPr>
      </w:pPr>
    </w:p>
    <w:p>
      <w:pPr>
        <w:ind w:right="660" w:firstLine="443"/>
        <w:spacing w:after="0" w:line="277" w:lineRule="auto"/>
        <w:tabs>
          <w:tab w:leader="none" w:pos="82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The Company has full right, power and authority under its organizational documents to enter into this Agreement, and this Agreement has been duly and validly authorized, executed and delivered by the Company.</w:t>
      </w:r>
    </w:p>
    <w:p>
      <w:pPr>
        <w:spacing w:after="0" w:line="170" w:lineRule="exact"/>
        <w:rPr>
          <w:rFonts w:ascii="Arial" w:cs="Arial" w:eastAsia="Arial" w:hAnsi="Arial"/>
          <w:sz w:val="18"/>
          <w:szCs w:val="18"/>
          <w:color w:val="auto"/>
        </w:rPr>
      </w:pPr>
    </w:p>
    <w:p>
      <w:pPr>
        <w:jc w:val="both"/>
        <w:ind w:firstLine="443"/>
        <w:spacing w:after="0" w:line="270" w:lineRule="auto"/>
        <w:tabs>
          <w:tab w:leader="none" w:pos="828"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Authorization of Securities</w:t>
      </w:r>
      <w:r>
        <w:rPr>
          <w:rFonts w:ascii="Arial" w:cs="Arial" w:eastAsia="Arial" w:hAnsi="Arial"/>
          <w:sz w:val="17"/>
          <w:szCs w:val="17"/>
          <w:color w:val="auto"/>
        </w:rPr>
        <w:t>. The Securities have been duly and validly authorized by the Company, and, when such Securities are issued and delivered pursuant to this Agreement, such Securities will be duly and validly issued and fully paid and non-assessable; and the issuance and sale of the Securities is not subject to any preemptive, co-sale right, right of first refusal or other similar rights arising under applicable law, under the Charter or bylaws or similar organizational documents of the Company or under any agreement to which the Company or any Subsidiary is a party or otherwise. The Securities conform in all material respects to all statements related thereto contained in the Registration Statement and the Prospectus as amended or supplemented with respect to such Securities and such description conforms in all material respects to the rights set forth in the instruments defining the same; except as set forth under the caption “Description of Shares of Beneficial Interest—Certain Provisions of Maryland Law and our Declaration of Trust and Bylaws—Shareholder Liability and Indemnification” in the Prospectus, no holder of the Securities is or will be subject to personal liability by reason of being such a holder.</w:t>
      </w:r>
    </w:p>
    <w:p>
      <w:pPr>
        <w:spacing w:after="0" w:line="181" w:lineRule="exact"/>
        <w:rPr>
          <w:rFonts w:ascii="Arial" w:cs="Arial" w:eastAsia="Arial" w:hAnsi="Arial"/>
          <w:sz w:val="17"/>
          <w:szCs w:val="17"/>
          <w:color w:val="auto"/>
        </w:rPr>
      </w:pPr>
    </w:p>
    <w:p>
      <w:pPr>
        <w:ind w:firstLine="443"/>
        <w:spacing w:after="0" w:line="270" w:lineRule="auto"/>
        <w:tabs>
          <w:tab w:leader="none" w:pos="828"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No Violations</w:t>
      </w:r>
      <w:r>
        <w:rPr>
          <w:rFonts w:ascii="Arial" w:cs="Arial" w:eastAsia="Arial" w:hAnsi="Arial"/>
          <w:sz w:val="17"/>
          <w:szCs w:val="17"/>
          <w:color w:val="auto"/>
        </w:rPr>
        <w:t>. (i) Neither the Company nor any of its Subsidiaries is in violation of its charter or bylaws or similar organizational documents; (ii) 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14" w:name="page15"/>
    <w:bookmarkEnd w:id="14"/>
    <w:p>
      <w:pPr>
        <w:ind w:right="80" w:firstLine="443"/>
        <w:spacing w:after="0" w:line="269" w:lineRule="auto"/>
        <w:tabs>
          <w:tab w:leader="none" w:pos="828"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Absence of Conflicts; Absence of Further Requirements</w:t>
      </w:r>
      <w:r>
        <w:rPr>
          <w:rFonts w:ascii="Arial" w:cs="Arial" w:eastAsia="Arial" w:hAnsi="Arial"/>
          <w:sz w:val="17"/>
          <w:szCs w:val="17"/>
          <w:color w:val="auto"/>
        </w:rPr>
        <w:t>. The issue and sale of the Securities and the compliance by the Company with all of the provisions of this Agreement with respect to such Securities, and the consummation of the transactions 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Charter or the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NYSE, which will be obtained prior to the first sale of Securities pursuant to this Agreement.</w:t>
      </w:r>
    </w:p>
    <w:p>
      <w:pPr>
        <w:spacing w:after="0" w:line="179" w:lineRule="exact"/>
        <w:rPr>
          <w:rFonts w:ascii="Arial" w:cs="Arial" w:eastAsia="Arial" w:hAnsi="Arial"/>
          <w:sz w:val="17"/>
          <w:szCs w:val="17"/>
          <w:color w:val="auto"/>
        </w:rPr>
      </w:pPr>
    </w:p>
    <w:p>
      <w:pPr>
        <w:ind w:firstLine="443"/>
        <w:spacing w:after="0" w:line="255" w:lineRule="auto"/>
        <w:tabs>
          <w:tab w:leader="none" w:pos="91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Other than as set forth in the Registration Statement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193" w:lineRule="exact"/>
        <w:rPr>
          <w:rFonts w:ascii="Arial" w:cs="Arial" w:eastAsia="Arial" w:hAnsi="Arial"/>
          <w:sz w:val="18"/>
          <w:szCs w:val="18"/>
          <w:color w:val="auto"/>
        </w:rPr>
      </w:pPr>
    </w:p>
    <w:p>
      <w:pPr>
        <w:ind w:right="40" w:firstLine="443"/>
        <w:spacing w:after="0" w:line="255" w:lineRule="auto"/>
        <w:tabs>
          <w:tab w:leader="none" w:pos="91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consolidated financial statements of the Company and its subsidiaries, together with related notes and schedules as set forth or incorporated by reference in the Registration Statement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in the United States (“</w:t>
      </w:r>
      <w:r>
        <w:rPr>
          <w:rFonts w:ascii="Arial" w:cs="Arial" w:eastAsia="Arial" w:hAnsi="Arial"/>
          <w:sz w:val="18"/>
          <w:szCs w:val="18"/>
          <w:u w:val="single" w:color="auto"/>
          <w:color w:val="auto"/>
        </w:rPr>
        <w:t>GAAP</w:t>
      </w:r>
      <w:r>
        <w:rPr>
          <w:rFonts w:ascii="Arial" w:cs="Arial" w:eastAsia="Arial" w:hAnsi="Arial"/>
          <w:sz w:val="18"/>
          <w:szCs w:val="18"/>
          <w:color w:val="auto"/>
        </w:rPr>
        <w:t>”),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15" w:name="page16"/>
    <w:bookmarkEnd w:id="15"/>
    <w:p>
      <w:pPr>
        <w:jc w:val="both"/>
        <w:ind w:right="60" w:firstLine="443"/>
        <w:spacing w:after="0" w:line="259" w:lineRule="auto"/>
        <w:tabs>
          <w:tab w:leader="none" w:pos="91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 Title</w:t>
      </w:r>
      <w:r>
        <w:rPr>
          <w:rFonts w:ascii="Arial" w:cs="Arial" w:eastAsia="Arial" w:hAnsi="Arial"/>
          <w:sz w:val="18"/>
          <w:szCs w:val="18"/>
          <w:color w:val="auto"/>
        </w:rPr>
        <w:t>. The Company and its subsidiaries have good and marketable title to, or valid and enforceable leasehold estates in, all items of real and personal property referred to in the Registration Statement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186" w:lineRule="exact"/>
        <w:rPr>
          <w:rFonts w:ascii="Arial" w:cs="Arial" w:eastAsia="Arial" w:hAnsi="Arial"/>
          <w:sz w:val="18"/>
          <w:szCs w:val="18"/>
          <w:color w:val="auto"/>
        </w:rPr>
      </w:pPr>
    </w:p>
    <w:p>
      <w:pPr>
        <w:ind w:firstLine="443"/>
        <w:spacing w:after="0" w:line="257" w:lineRule="auto"/>
        <w:tabs>
          <w:tab w:leader="none" w:pos="91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188" w:lineRule="exact"/>
        <w:rPr>
          <w:rFonts w:ascii="Arial" w:cs="Arial" w:eastAsia="Arial" w:hAnsi="Arial"/>
          <w:sz w:val="18"/>
          <w:szCs w:val="18"/>
          <w:color w:val="auto"/>
        </w:rPr>
      </w:pPr>
    </w:p>
    <w:p>
      <w:pPr>
        <w:jc w:val="both"/>
        <w:ind w:right="380" w:firstLine="443"/>
        <w:spacing w:after="0" w:line="312" w:lineRule="auto"/>
        <w:tabs>
          <w:tab w:leader="none" w:pos="918"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Licenses and Permits</w:t>
      </w:r>
      <w:r>
        <w:rPr>
          <w:rFonts w:ascii="Arial" w:cs="Arial" w:eastAsia="Arial" w:hAnsi="Arial"/>
          <w:sz w:val="16"/>
          <w:szCs w:val="16"/>
          <w:color w:val="auto"/>
        </w:rPr>
        <w:t>. 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146" w:lineRule="exact"/>
        <w:rPr>
          <w:rFonts w:ascii="Arial" w:cs="Arial" w:eastAsia="Arial" w:hAnsi="Arial"/>
          <w:sz w:val="16"/>
          <w:szCs w:val="16"/>
          <w:color w:val="auto"/>
        </w:rPr>
      </w:pPr>
    </w:p>
    <w:p>
      <w:pPr>
        <w:ind w:firstLine="443"/>
        <w:spacing w:after="0" w:line="264" w:lineRule="auto"/>
        <w:tabs>
          <w:tab w:leader="none" w:pos="91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40" w:firstLine="443"/>
        <w:spacing w:after="0" w:line="269" w:lineRule="auto"/>
        <w:tabs>
          <w:tab w:leader="none" w:pos="91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Internal Controls Over Financial Reporting</w:t>
      </w:r>
      <w:r>
        <w:rPr>
          <w:rFonts w:ascii="Arial" w:cs="Arial" w:eastAsia="Arial" w:hAnsi="Arial"/>
          <w:sz w:val="17"/>
          <w:szCs w:val="17"/>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16" w:name="page17"/>
    <w:bookmarkEnd w:id="16"/>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87" w:lineRule="exact"/>
        <w:rPr>
          <w:sz w:val="20"/>
          <w:szCs w:val="20"/>
          <w:color w:val="auto"/>
        </w:rPr>
      </w:pPr>
    </w:p>
    <w:p>
      <w:pPr>
        <w:ind w:right="80" w:firstLine="443"/>
        <w:spacing w:after="0" w:line="277" w:lineRule="auto"/>
        <w:tabs>
          <w:tab w:leader="none" w:pos="91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Form S-3 Requirements</w:t>
      </w:r>
      <w:r>
        <w:rPr>
          <w:rFonts w:ascii="Arial" w:cs="Arial" w:eastAsia="Arial" w:hAnsi="Arial"/>
          <w:sz w:val="18"/>
          <w:szCs w:val="18"/>
          <w:color w:val="auto"/>
        </w:rPr>
        <w:t>. The conditions for use of registration statements on Form S-3 set forth in the General Instructions on Form S-3 have been satisfied and the Company is entitled to use such form for the transactions contemplated by this Agreement.</w:t>
      </w:r>
    </w:p>
    <w:p>
      <w:pPr>
        <w:spacing w:after="0" w:line="170" w:lineRule="exact"/>
        <w:rPr>
          <w:rFonts w:ascii="Arial" w:cs="Arial" w:eastAsia="Arial" w:hAnsi="Arial"/>
          <w:sz w:val="18"/>
          <w:szCs w:val="18"/>
          <w:color w:val="auto"/>
        </w:rPr>
      </w:pPr>
    </w:p>
    <w:p>
      <w:pPr>
        <w:ind w:right="120" w:firstLine="443"/>
        <w:spacing w:after="0" w:line="291" w:lineRule="auto"/>
        <w:tabs>
          <w:tab w:leader="none" w:pos="91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Hazardous Materials</w:t>
      </w:r>
      <w:r>
        <w:rPr>
          <w:rFonts w:ascii="Arial" w:cs="Arial" w:eastAsia="Arial" w:hAnsi="Arial"/>
          <w:sz w:val="16"/>
          <w:szCs w:val="16"/>
          <w:color w:val="auto"/>
        </w:rPr>
        <w:t>. Although the Company is aware of the presence of hazardous substances, hazardous materials, toxic substances or waste materials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167" w:lineRule="exact"/>
        <w:rPr>
          <w:rFonts w:ascii="Arial" w:cs="Arial" w:eastAsia="Arial" w:hAnsi="Arial"/>
          <w:sz w:val="16"/>
          <w:szCs w:val="16"/>
          <w:color w:val="auto"/>
        </w:rPr>
      </w:pPr>
    </w:p>
    <w:p>
      <w:pPr>
        <w:ind w:right="180" w:firstLine="443"/>
        <w:spacing w:after="0" w:line="276" w:lineRule="auto"/>
        <w:tabs>
          <w:tab w:leader="none" w:pos="91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Taxes; Investment Company Act</w:t>
      </w:r>
      <w:r>
        <w:rPr>
          <w:rFonts w:ascii="Arial" w:cs="Arial" w:eastAsia="Arial" w:hAnsi="Arial"/>
          <w:sz w:val="17"/>
          <w:szCs w:val="17"/>
          <w:color w:val="auto"/>
        </w:rPr>
        <w:t>. With respect to all tax periods regarding which the Internal Revenue Service is or will be entitled to assert any claim, the Company has met the requirements for qualification as a REIT under Sections 856 through 860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 (the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firstLine="443"/>
        <w:spacing w:after="0" w:line="255" w:lineRule="auto"/>
        <w:tabs>
          <w:tab w:leader="none" w:pos="91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7" w:name="page18"/>
    <w:bookmarkEnd w:id="17"/>
    <w:p>
      <w:pPr>
        <w:ind w:firstLine="443"/>
        <w:spacing w:after="0" w:line="288" w:lineRule="auto"/>
        <w:tabs>
          <w:tab w:leader="none" w:pos="918"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Corrupt Practices</w:t>
      </w:r>
      <w:r>
        <w:rPr>
          <w:rFonts w:ascii="Arial" w:cs="Arial" w:eastAsia="Arial" w:hAnsi="Arial"/>
          <w:sz w:val="16"/>
          <w:szCs w:val="16"/>
          <w:color w:val="auto"/>
        </w:rPr>
        <w:t>. 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169" w:lineRule="exact"/>
        <w:rPr>
          <w:rFonts w:ascii="Arial" w:cs="Arial" w:eastAsia="Arial" w:hAnsi="Arial"/>
          <w:sz w:val="16"/>
          <w:szCs w:val="16"/>
          <w:color w:val="auto"/>
        </w:rPr>
      </w:pPr>
    </w:p>
    <w:p>
      <w:pPr>
        <w:ind w:right="40" w:firstLine="443"/>
        <w:spacing w:after="0" w:line="273" w:lineRule="auto"/>
        <w:tabs>
          <w:tab w:leader="none" w:pos="918"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Anti-Money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78" w:lineRule="exact"/>
        <w:rPr>
          <w:rFonts w:ascii="Arial" w:cs="Arial" w:eastAsia="Arial" w:hAnsi="Arial"/>
          <w:sz w:val="17"/>
          <w:szCs w:val="17"/>
          <w:color w:val="auto"/>
        </w:rPr>
      </w:pPr>
    </w:p>
    <w:p>
      <w:pPr>
        <w:ind w:right="140" w:firstLine="443"/>
        <w:spacing w:after="0" w:line="291" w:lineRule="auto"/>
        <w:tabs>
          <w:tab w:leader="none" w:pos="918"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w:t>
      </w:r>
      <w:r>
        <w:rPr>
          <w:rFonts w:ascii="Arial" w:cs="Arial" w:eastAsia="Arial" w:hAnsi="Arial"/>
          <w:sz w:val="16"/>
          <w:szCs w:val="16"/>
          <w:u w:val="single" w:color="auto"/>
          <w:color w:val="auto"/>
        </w:rPr>
        <w:t>OFAC</w:t>
      </w:r>
      <w:r>
        <w:rPr>
          <w:rFonts w:ascii="Arial" w:cs="Arial" w:eastAsia="Arial" w:hAnsi="Arial"/>
          <w:sz w:val="16"/>
          <w:szCs w:val="16"/>
          <w:color w:val="auto"/>
        </w:rPr>
        <w:t>”)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or (ii) located, organized or resident in a country or territory that is, or whose government is, the subject of Sanctions that broadly prohibit dealings with that country or territory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167" w:lineRule="exact"/>
        <w:rPr>
          <w:rFonts w:ascii="Arial" w:cs="Arial" w:eastAsia="Arial" w:hAnsi="Arial"/>
          <w:sz w:val="16"/>
          <w:szCs w:val="16"/>
          <w:color w:val="auto"/>
        </w:rPr>
      </w:pPr>
    </w:p>
    <w:p>
      <w:pPr>
        <w:ind w:firstLine="443"/>
        <w:spacing w:after="0" w:line="277" w:lineRule="auto"/>
        <w:tabs>
          <w:tab w:leader="none" w:pos="91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NYSE</w:t>
      </w:r>
      <w:r>
        <w:rPr>
          <w:rFonts w:ascii="Arial" w:cs="Arial" w:eastAsia="Arial" w:hAnsi="Arial"/>
          <w:sz w:val="18"/>
          <w:szCs w:val="18"/>
          <w:color w:val="auto"/>
        </w:rPr>
        <w:t>. The outstanding Common Shares have been, and prior to the first sale of Securities pursuant to this Agreement, the Securities to be sold by the Company hereunder will be, approved for listing, subject only to official notice of issuance, on the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74" w:right="279" w:bottom="1440" w:gutter="0" w:footer="0" w:header="0"/>
        </w:sectPr>
      </w:pPr>
    </w:p>
    <w:bookmarkStart w:id="18" w:name="page19"/>
    <w:bookmarkEnd w:id="18"/>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NYSE, and are registered pursuant to 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 The Company has taken all necessary actions to ensure that it is in compliance with all applicable NYSE listing standards that are currently in effect and will take such steps as are necessary to ensure that the Company will be in compliance with other applicable requirements set forth in the NYSE’s listing standards not currently in effect upon the effectiveness of such requirements.</w:t>
      </w:r>
    </w:p>
    <w:p>
      <w:pPr>
        <w:spacing w:after="0" w:line="193" w:lineRule="exact"/>
        <w:rPr>
          <w:sz w:val="20"/>
          <w:szCs w:val="20"/>
          <w:color w:val="auto"/>
        </w:rPr>
      </w:pPr>
    </w:p>
    <w:p>
      <w:pPr>
        <w:ind w:right="80" w:firstLine="443"/>
        <w:spacing w:after="0" w:line="264" w:lineRule="auto"/>
        <w:tabs>
          <w:tab w:leader="none" w:pos="91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Neither the Company nor any of its subsidiaries has distributed or will distribute any offering material in connection with the offering and sale of the Securities to be sold hereunder by Wells Fargo, as principal or agent for the Company, other than the Prospectus and any Permitted Free Writing Prospectus reviewed and consented to by Wells Fargo.</w:t>
      </w:r>
    </w:p>
    <w:p>
      <w:pPr>
        <w:spacing w:after="0" w:line="181" w:lineRule="exact"/>
        <w:rPr>
          <w:rFonts w:ascii="Arial" w:cs="Arial" w:eastAsia="Arial" w:hAnsi="Arial"/>
          <w:sz w:val="18"/>
          <w:szCs w:val="18"/>
          <w:color w:val="auto"/>
        </w:rPr>
      </w:pPr>
    </w:p>
    <w:p>
      <w:pPr>
        <w:ind w:right="900" w:firstLine="443"/>
        <w:spacing w:after="0" w:line="277" w:lineRule="auto"/>
        <w:tabs>
          <w:tab w:leader="none" w:pos="91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Actively Traded Security</w:t>
      </w:r>
      <w:r>
        <w:rPr>
          <w:rFonts w:ascii="Arial" w:cs="Arial" w:eastAsia="Arial" w:hAnsi="Arial"/>
          <w:sz w:val="18"/>
          <w:szCs w:val="18"/>
          <w:color w:val="auto"/>
        </w:rPr>
        <w:t>. The Common Shares are “actively traded securities” excepted from the requirements of Rule 101 of Regulation M under the Exchange Act by subsection (c)(1) of such rule.</w:t>
      </w:r>
    </w:p>
    <w:p>
      <w:pPr>
        <w:spacing w:after="0" w:line="170" w:lineRule="exact"/>
        <w:rPr>
          <w:rFonts w:ascii="Arial" w:cs="Arial" w:eastAsia="Arial" w:hAnsi="Arial"/>
          <w:sz w:val="18"/>
          <w:szCs w:val="18"/>
          <w:color w:val="auto"/>
        </w:rPr>
      </w:pPr>
    </w:p>
    <w:p>
      <w:pPr>
        <w:jc w:val="both"/>
        <w:ind w:right="200" w:firstLine="443"/>
        <w:spacing w:after="0" w:line="259" w:lineRule="auto"/>
        <w:tabs>
          <w:tab w:leader="none" w:pos="91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any of its subsidiaries, nor any of the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186" w:lineRule="exact"/>
        <w:rPr>
          <w:rFonts w:ascii="Arial" w:cs="Arial" w:eastAsia="Arial" w:hAnsi="Arial"/>
          <w:sz w:val="18"/>
          <w:szCs w:val="18"/>
          <w:color w:val="auto"/>
        </w:rPr>
      </w:pPr>
    </w:p>
    <w:p>
      <w:pPr>
        <w:ind w:firstLine="443"/>
        <w:spacing w:after="0" w:line="272" w:lineRule="auto"/>
        <w:tabs>
          <w:tab w:leader="none" w:pos="91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Proprietary Trading by Wells Fargo</w:t>
      </w:r>
      <w:r>
        <w:rPr>
          <w:rFonts w:ascii="Arial" w:cs="Arial" w:eastAsia="Arial" w:hAnsi="Arial"/>
          <w:sz w:val="17"/>
          <w:szCs w:val="17"/>
          <w:color w:val="auto"/>
        </w:rPr>
        <w:t>. The Company acknowledges and agrees that Wells Fargo has informed the Company that Wells Fargo may, to the extent permitted under the Securities Act and the Exchange Act, purchase and sell Common Shares for its own account while this Agreement is in effect, and shall be under no obligation to purchase Securities on a principal basis pursuant to this Agreement, except as otherwise agreed to by Wells Fargo in the applicable Placement Notice (as amended by the corresponding Acceptance, if applicable); provided, that no such purchase or sale shall take place while a Placement Notice is in effect (except (i) as agreed to by Wells Fargo in the Placement Notice (as amended by the corresponding Acceptance, if applicable) or (ii) to the extent Wells Fargo may engage in sales of Placement Securities purchased or deemed purchased from the Company as a “riskless principal” or in a similar capacity).</w:t>
      </w:r>
    </w:p>
    <w:p>
      <w:pPr>
        <w:spacing w:after="0" w:line="177" w:lineRule="exact"/>
        <w:rPr>
          <w:rFonts w:ascii="Arial" w:cs="Arial" w:eastAsia="Arial" w:hAnsi="Arial"/>
          <w:sz w:val="17"/>
          <w:szCs w:val="17"/>
          <w:color w:val="auto"/>
        </w:rPr>
      </w:pPr>
    </w:p>
    <w:p>
      <w:pPr>
        <w:ind w:right="140" w:firstLine="443"/>
        <w:spacing w:after="0" w:line="264" w:lineRule="auto"/>
        <w:tabs>
          <w:tab w:leader="none" w:pos="91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eXtensible Business Reporting Language</w:t>
      </w:r>
      <w:r>
        <w:rPr>
          <w:rFonts w:ascii="Arial" w:cs="Arial" w:eastAsia="Arial" w:hAnsi="Arial"/>
          <w:sz w:val="18"/>
          <w:szCs w:val="18"/>
          <w:color w:val="auto"/>
        </w:rPr>
        <w:t>. The interactive data in the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74" w:right="279" w:bottom="1440" w:gutter="0" w:footer="0" w:header="0"/>
        </w:sectPr>
      </w:pPr>
    </w:p>
    <w:bookmarkStart w:id="19" w:name="page20"/>
    <w:bookmarkEnd w:id="19"/>
    <w:p>
      <w:pPr>
        <w:ind w:left="-8" w:right="180" w:firstLine="464"/>
        <w:spacing w:after="0" w:line="277" w:lineRule="auto"/>
        <w:tabs>
          <w:tab w:leader="none" w:pos="838"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Certificates. </w:t>
      </w:r>
      <w:r>
        <w:rPr>
          <w:rFonts w:ascii="Arial" w:cs="Arial" w:eastAsia="Arial" w:hAnsi="Arial"/>
          <w:sz w:val="18"/>
          <w:szCs w:val="18"/>
          <w:color w:val="auto"/>
        </w:rPr>
        <w:t>Any certificate signed by any officer of the Company and delivered to Wells Fargo or to counsel for Wells Fargo shall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and warranty by the Company to Wells Fargo as to the matters covered thereby.</w:t>
      </w:r>
    </w:p>
    <w:p>
      <w:pPr>
        <w:spacing w:after="0" w:line="170" w:lineRule="exact"/>
        <w:rPr>
          <w:sz w:val="20"/>
          <w:szCs w:val="20"/>
          <w:color w:val="auto"/>
        </w:rPr>
      </w:pPr>
    </w:p>
    <w:p>
      <w:pPr>
        <w:ind w:left="452"/>
        <w:spacing w:after="0"/>
        <w:tabs>
          <w:tab w:leader="none" w:pos="1552"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Sale and Delivery to Wells Fargo; Settlement</w:t>
      </w:r>
      <w:r>
        <w:rPr>
          <w:rFonts w:ascii="Arial" w:cs="Arial" w:eastAsia="Arial" w:hAnsi="Arial"/>
          <w:sz w:val="16"/>
          <w:szCs w:val="16"/>
          <w:color w:val="auto"/>
        </w:rPr>
        <w:t>.</w:t>
      </w:r>
    </w:p>
    <w:p>
      <w:pPr>
        <w:spacing w:after="0" w:line="225" w:lineRule="exact"/>
        <w:rPr>
          <w:sz w:val="20"/>
          <w:szCs w:val="20"/>
          <w:color w:val="auto"/>
        </w:rPr>
      </w:pPr>
    </w:p>
    <w:p>
      <w:pPr>
        <w:ind w:left="-8" w:firstLine="464"/>
        <w:spacing w:after="0" w:line="269" w:lineRule="auto"/>
        <w:tabs>
          <w:tab w:leader="none" w:pos="828" w:val="left"/>
        </w:tabs>
        <w:numPr>
          <w:ilvl w:val="1"/>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Sale of Placement Securities. </w:t>
      </w:r>
      <w:r>
        <w:rPr>
          <w:rFonts w:ascii="Arial" w:cs="Arial" w:eastAsia="Arial" w:hAnsi="Arial"/>
          <w:sz w:val="17"/>
          <w:szCs w:val="17"/>
          <w:color w:val="auto"/>
        </w:rPr>
        <w:t>On the basis of the representations and warranties herein contained and subject to the terms and conditions herein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upon Wells Fargo’s acceptance of the terms of a Placement Notice or upon receipt by Wells Fargo of an Acceptance, as the case may be, and unless the sale of the Placement Securities described therein has been declined, suspended, or otherwise terminated in accordance with the terms of this Agreement, Wells Fargo, for the period specified in the Placement Notice (as amended by the corresponding Acceptance, if applicable), will use its commercially reasonable efforts consistent with its normal trading and sales practices to sell such Placement Securities up to the amount specified, and otherwise in accordance with the terms of such Placement Notice (as amended by the corresponding Acceptance, if applicable). The Company acknowledges and agrees that (i) there can be no assurance that Wells Fargo will be successful in selling Placement Securities, (ii) Wells Fargo will incur no liability or obligation to the Company or any other person or entity if it does not sell Placement Securities for any reason other than a failure by Wells Fargo to use its commercially reasonable efforts consistent with its normal trading and sales practices to sell such Placement Securities as required under this Section 6 and (iii) Wells Fargo shall be under no obligation to purchase Securities on a principal basis pursuant to this Agreement, except as otherwise agreed by Wells Fargo in the Placement Notice (as amended by the corresponding Acceptance, if applicable).</w:t>
      </w:r>
    </w:p>
    <w:p>
      <w:pPr>
        <w:spacing w:after="0" w:line="182" w:lineRule="exact"/>
        <w:rPr>
          <w:rFonts w:ascii="Arial" w:cs="Arial" w:eastAsia="Arial" w:hAnsi="Arial"/>
          <w:sz w:val="17"/>
          <w:szCs w:val="17"/>
          <w:color w:val="auto"/>
        </w:rPr>
      </w:pPr>
    </w:p>
    <w:p>
      <w:pPr>
        <w:ind w:left="-8" w:firstLine="464"/>
        <w:spacing w:after="0" w:line="284" w:lineRule="auto"/>
        <w:tabs>
          <w:tab w:leader="none" w:pos="838"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Settlement of Placement Securities. </w:t>
      </w:r>
      <w:r>
        <w:rPr>
          <w:rFonts w:ascii="Arial" w:cs="Arial" w:eastAsia="Arial" w:hAnsi="Arial"/>
          <w:sz w:val="16"/>
          <w:szCs w:val="16"/>
          <w:color w:val="auto"/>
        </w:rPr>
        <w:t>Unless otherwise specified in the applicable Placement Notice (as amended by the corresponding Acceptance,</w:t>
      </w:r>
      <w:r>
        <w:rPr>
          <w:rFonts w:ascii="Arial" w:cs="Arial" w:eastAsia="Arial" w:hAnsi="Arial"/>
          <w:sz w:val="16"/>
          <w:szCs w:val="16"/>
          <w:i w:val="1"/>
          <w:iCs w:val="1"/>
          <w:color w:val="auto"/>
        </w:rPr>
        <w:t xml:space="preserve"> </w:t>
      </w:r>
      <w:r>
        <w:rPr>
          <w:rFonts w:ascii="Arial" w:cs="Arial" w:eastAsia="Arial" w:hAnsi="Arial"/>
          <w:sz w:val="16"/>
          <w:szCs w:val="16"/>
          <w:color w:val="auto"/>
        </w:rPr>
        <w:t>if applicable), settlement for sales of Placement Securities will occur on the third (2</w:t>
      </w:r>
      <w:r>
        <w:rPr>
          <w:rFonts w:ascii="Arial" w:cs="Arial" w:eastAsia="Arial" w:hAnsi="Arial"/>
          <w:sz w:val="13"/>
          <w:szCs w:val="13"/>
          <w:color w:val="auto"/>
        </w:rPr>
        <w:t>nd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u w:val="single" w:color="auto"/>
          <w:color w:val="auto"/>
        </w:rPr>
        <w:t>Settlement Date</w:t>
      </w:r>
      <w:r>
        <w:rPr>
          <w:rFonts w:ascii="Arial" w:cs="Arial" w:eastAsia="Arial" w:hAnsi="Arial"/>
          <w:sz w:val="16"/>
          <w:szCs w:val="16"/>
          <w:color w:val="auto"/>
        </w:rPr>
        <w:t>”). The amount of proceeds to be delivered to the Company on a Settlement Date against receipt of the Placement Securities sold (the “</w:t>
      </w:r>
      <w:r>
        <w:rPr>
          <w:rFonts w:ascii="Arial" w:cs="Arial" w:eastAsia="Arial" w:hAnsi="Arial"/>
          <w:sz w:val="16"/>
          <w:szCs w:val="16"/>
          <w:u w:val="single" w:color="auto"/>
          <w:color w:val="auto"/>
        </w:rPr>
        <w:t>Net Proceeds</w:t>
      </w:r>
      <w:r>
        <w:rPr>
          <w:rFonts w:ascii="Arial" w:cs="Arial" w:eastAsia="Arial" w:hAnsi="Arial"/>
          <w:sz w:val="16"/>
          <w:szCs w:val="16"/>
          <w:color w:val="auto"/>
        </w:rPr>
        <w:t>”) will be equal to the aggregate offering price received by Wells Fargo at which such Placement Securities were sold, after deduction for (i) Wells Fargo’s commission, discount or other compensation for such sales payable by the Company pursuant to Section 2 hereof, (ii) any other amounts due and payable by the Company to Wells Fargo hereunder pursuant to Section 8(a) hereof, and</w:t>
      </w:r>
    </w:p>
    <w:p>
      <w:pPr>
        <w:spacing w:after="0" w:line="4" w:lineRule="exact"/>
        <w:rPr>
          <w:rFonts w:ascii="Arial" w:cs="Arial" w:eastAsia="Arial" w:hAnsi="Arial"/>
          <w:sz w:val="16"/>
          <w:szCs w:val="16"/>
          <w:color w:val="auto"/>
        </w:rPr>
      </w:pPr>
    </w:p>
    <w:p>
      <w:pPr>
        <w:ind w:left="312" w:hanging="312"/>
        <w:spacing w:after="0"/>
        <w:tabs>
          <w:tab w:leader="none" w:pos="3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transaction fees imposed by any governmental or self-regulatory organization in respect of such sales.</w:t>
      </w:r>
    </w:p>
    <w:p>
      <w:pPr>
        <w:spacing w:after="0" w:line="210" w:lineRule="exact"/>
        <w:rPr>
          <w:rFonts w:ascii="Arial" w:cs="Arial" w:eastAsia="Arial" w:hAnsi="Arial"/>
          <w:sz w:val="18"/>
          <w:szCs w:val="18"/>
          <w:color w:val="auto"/>
        </w:rPr>
      </w:pPr>
    </w:p>
    <w:p>
      <w:pPr>
        <w:ind w:left="-8" w:firstLine="464"/>
        <w:spacing w:after="0" w:line="273" w:lineRule="auto"/>
        <w:tabs>
          <w:tab w:leader="none" w:pos="828" w:val="left"/>
        </w:tabs>
        <w:numPr>
          <w:ilvl w:val="1"/>
          <w:numId w:val="15"/>
        </w:numPr>
        <w:rPr>
          <w:rFonts w:ascii="Arial" w:cs="Arial" w:eastAsia="Arial" w:hAnsi="Arial"/>
          <w:sz w:val="17"/>
          <w:szCs w:val="17"/>
          <w:color w:val="auto"/>
        </w:rPr>
      </w:pPr>
      <w:r>
        <w:rPr>
          <w:rFonts w:ascii="Arial" w:cs="Arial" w:eastAsia="Arial" w:hAnsi="Arial"/>
          <w:sz w:val="17"/>
          <w:szCs w:val="17"/>
          <w:i w:val="1"/>
          <w:iCs w:val="1"/>
          <w:color w:val="auto"/>
        </w:rPr>
        <w:t>Delivery of Placement Securities</w:t>
      </w:r>
      <w:r>
        <w:rPr>
          <w:rFonts w:ascii="Arial" w:cs="Arial" w:eastAsia="Arial" w:hAnsi="Arial"/>
          <w:sz w:val="17"/>
          <w:szCs w:val="17"/>
          <w:color w:val="auto"/>
        </w:rPr>
        <w:t>. On or before each Settlement Date, the Company will, or will cause its transfer agent to, electronically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the Placement Securities being sold by crediting Wells Fargo’s or its designee’s account (provided Wells Fargo shall have given the Company written notice of such designee prior to the Settlement Date) at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 through its Deposit and Withdrawal at Custodian System or by such other means of delivery as may be mutually agreed upon by the parties hereto which in all cases shall be freely tradable, transferable, registered shares in good deliverable form. On each Settlement Date, Wells Fargo will deliver the related Net Proceeds in same day funds to an account designated by the Company prior to the Settlement Date. The Company agrees that if</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74" w:right="259" w:bottom="1440" w:gutter="0" w:footer="0" w:header="0"/>
        </w:sectPr>
      </w:pPr>
    </w:p>
    <w:bookmarkStart w:id="20" w:name="page21"/>
    <w:bookmarkEnd w:id="20"/>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or its transfer agent (if applicable), defaults in its obligation to deliver Placement Securities on a Settlement Date, the Company agrees that in addition to and in no way limiting the rights and obligations set forth in Section 10(a) and Section 11 hereto, it will (i) hold Wells Fargo harmless against any loss, liability, claim, damage, or expense whatsoever (including reasonable legal fees and expenses), as incurred, arising out of or in connection with such default by the Company or its transfer agent (if applicable) and (ii) pay to Wells Fargo any commission, discount, or other compensation to which it would otherwise have been entitled absent such default.</w:t>
      </w:r>
    </w:p>
    <w:p>
      <w:pPr>
        <w:spacing w:after="0" w:line="188" w:lineRule="exact"/>
        <w:rPr>
          <w:sz w:val="20"/>
          <w:szCs w:val="20"/>
          <w:color w:val="auto"/>
        </w:rPr>
      </w:pPr>
    </w:p>
    <w:p>
      <w:pPr>
        <w:jc w:val="both"/>
        <w:ind w:firstLine="464"/>
        <w:spacing w:after="0" w:line="264" w:lineRule="auto"/>
        <w:tabs>
          <w:tab w:leader="none" w:pos="846"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Denominations; Registration. </w:t>
      </w:r>
      <w:r>
        <w:rPr>
          <w:rFonts w:ascii="Arial" w:cs="Arial" w:eastAsia="Arial" w:hAnsi="Arial"/>
          <w:sz w:val="18"/>
          <w:szCs w:val="18"/>
          <w:color w:val="auto"/>
        </w:rPr>
        <w:t>The Securities shall be in such denominations and registered in such names as Wells Fargo may request in writing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one full business day before the Settlement Date. The Company shall deliver the Securities, if any, through the facilities of DTC unless Wells Fargo shall otherwise instruct.</w:t>
      </w:r>
    </w:p>
    <w:p>
      <w:pPr>
        <w:spacing w:after="0" w:line="181" w:lineRule="exact"/>
        <w:rPr>
          <w:rFonts w:ascii="Arial" w:cs="Arial" w:eastAsia="Arial" w:hAnsi="Arial"/>
          <w:sz w:val="18"/>
          <w:szCs w:val="18"/>
          <w:color w:val="auto"/>
        </w:rPr>
      </w:pPr>
    </w:p>
    <w:p>
      <w:pPr>
        <w:ind w:right="20" w:firstLine="464"/>
        <w:spacing w:after="0" w:line="271" w:lineRule="auto"/>
        <w:tabs>
          <w:tab w:leader="none" w:pos="836"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Limitations on Offering Size</w:t>
      </w:r>
      <w:r>
        <w:rPr>
          <w:rFonts w:ascii="Arial" w:cs="Arial" w:eastAsia="Arial" w:hAnsi="Arial"/>
          <w:sz w:val="17"/>
          <w:szCs w:val="17"/>
          <w:color w:val="auto"/>
        </w:rPr>
        <w:t>. Under no circumstances shall the Company cause or request the offer or sale of any Securities, if after giving effect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sale of such Securities, the aggregate offering price of the Securities sold pursuant to this Agreement would exceed the lesser of (A) together with all the sales under this Agreement and the Alternative Distribution Agreements, the Maximum Amount and (B) the amount authorized from time to time to be issued and sold under this Agreement by the Company and notified to Wells Fargo in writing. Under no circumstances shall the Company cause or request the offer or sale of any Securities pursuant to this Agreement at a price lower than the minimum price authorized from time to time by the Company and notified to Wells Fargo in writing. Further, under no circumstances shall the aggregate offering price of Securities sold pursuant to this Agreement and the Alternative Distribution Agreements, including any separate underwriting or similar agreement covering principal transactions referred to in Section 1 of this Agreement and the Alternative Distribution Agreements, exceed the Maximum Amount.</w:t>
      </w:r>
    </w:p>
    <w:p>
      <w:pPr>
        <w:spacing w:after="0" w:line="178" w:lineRule="exact"/>
        <w:rPr>
          <w:rFonts w:ascii="Arial" w:cs="Arial" w:eastAsia="Arial" w:hAnsi="Arial"/>
          <w:sz w:val="17"/>
          <w:szCs w:val="17"/>
          <w:color w:val="auto"/>
        </w:rPr>
      </w:pPr>
    </w:p>
    <w:p>
      <w:pPr>
        <w:ind w:firstLine="464"/>
        <w:spacing w:after="0" w:line="287" w:lineRule="auto"/>
        <w:tabs>
          <w:tab w:leader="none" w:pos="816"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Agent. </w:t>
      </w:r>
      <w:r>
        <w:rPr>
          <w:rFonts w:ascii="Arial" w:cs="Arial" w:eastAsia="Arial" w:hAnsi="Arial"/>
          <w:sz w:val="16"/>
          <w:szCs w:val="16"/>
          <w:color w:val="auto"/>
        </w:rPr>
        <w:t>The Company agrees that any offer to sell, any solicitation of an offer to buy or any sales of Securities shall only be effected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or through one of Wells Fargo or the Alternative Agents on any single given day, but in no event more than one, and the Company shall in no event request that Wells Fargo or the Alternative Agents sell Securities on the same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foregoing limitation shall not apply to (i)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and (b) such limitation shall not apply on any day during which no sales are made pursuant to this Agreement. Notwithstanding the foregoing or anything to the contrary contained herein, the Company shall be permitted, at any time and from time to time, to engage one or more additional agents and/or principals, that, once engaged, may offer to sell, solicit an offer to buy or sell the Securities, and at such time(s) Wells Fargo (x) shall promptly, upon request by the Company, enter into an amendment to this Agreement, or into a new agreement superseding this Agreement upon terms and conditions substantially similar to those contained herein or such other terms and conditions otherwise agreed to between Wells Fargo and the Company, providing for such engagement(s) and/or (y) shall agree to cooperate with and do such other things reasonably requested by the Company in order to allow for such engagement(s).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1" w:name="page22"/>
    <w:bookmarkEnd w:id="21"/>
    <w:p>
      <w:pPr>
        <w:ind w:right="20" w:firstLine="464"/>
        <w:spacing w:after="0" w:line="253" w:lineRule="auto"/>
        <w:tabs>
          <w:tab w:leader="none" w:pos="846"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Period for Restriction on Offers and Sales. </w:t>
      </w:r>
      <w:r>
        <w:rPr>
          <w:rFonts w:ascii="Arial" w:cs="Arial" w:eastAsia="Arial" w:hAnsi="Arial"/>
          <w:sz w:val="18"/>
          <w:szCs w:val="18"/>
          <w:color w:val="auto"/>
        </w:rPr>
        <w:t>Notwithstanding any other provision of this Agreement, the Company shall not offer, sell or deliver, or</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the offer or sale of, any Securities and, by notice to Wells Fargo given by telephone (confirmed promptly by facsimile transmission or email), shall cancel any instructions for the offer or sale of any Securities, and Wells Fargo shall not be obligated to offer or sell any Securities, (i) during any period in which the Company’s insider trading policy, as it exists on the date of this Agreement, would prohibit the purchases or sales of the Company’s Common Shares by its officers or trustees, (ii) during any other period in which the Company is, or could be deemed to be, in possession of material non-public information or (iii) except as provided in Section 6(h) below, at any time from and including the date (each, an “</w:t>
      </w:r>
      <w:r>
        <w:rPr>
          <w:rFonts w:ascii="Arial" w:cs="Arial" w:eastAsia="Arial" w:hAnsi="Arial"/>
          <w:sz w:val="18"/>
          <w:szCs w:val="18"/>
          <w:u w:val="single" w:color="auto"/>
          <w:color w:val="auto"/>
        </w:rPr>
        <w:t>Announcement Date</w:t>
      </w:r>
      <w:r>
        <w:rPr>
          <w:rFonts w:ascii="Arial" w:cs="Arial" w:eastAsia="Arial" w:hAnsi="Arial"/>
          <w:sz w:val="18"/>
          <w:szCs w:val="18"/>
          <w:color w:val="auto"/>
        </w:rPr>
        <w:t>”) on which the Company shall issue a press release containing, or shall otherwise publicly announce, its earnings, revenues or other results of operations (each, an “</w:t>
      </w:r>
      <w:r>
        <w:rPr>
          <w:rFonts w:ascii="Arial" w:cs="Arial" w:eastAsia="Arial" w:hAnsi="Arial"/>
          <w:sz w:val="18"/>
          <w:szCs w:val="18"/>
          <w:u w:val="single" w:color="auto"/>
          <w:color w:val="auto"/>
        </w:rPr>
        <w:t>Earnings</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Announcement</w:t>
      </w:r>
      <w:r>
        <w:rPr>
          <w:rFonts w:ascii="Arial" w:cs="Arial" w:eastAsia="Arial" w:hAnsi="Arial"/>
          <w:sz w:val="18"/>
          <w:szCs w:val="18"/>
          <w:color w:val="auto"/>
        </w:rPr>
        <w:t>”) through and including the time that is 24 hours after the time that the Company files (a “</w:t>
      </w:r>
      <w:r>
        <w:rPr>
          <w:rFonts w:ascii="Arial" w:cs="Arial" w:eastAsia="Arial" w:hAnsi="Arial"/>
          <w:sz w:val="18"/>
          <w:szCs w:val="18"/>
          <w:u w:val="single" w:color="auto"/>
          <w:color w:val="auto"/>
        </w:rPr>
        <w:t>Filing Time</w:t>
      </w:r>
      <w:r>
        <w:rPr>
          <w:rFonts w:ascii="Arial" w:cs="Arial" w:eastAsia="Arial" w:hAnsi="Arial"/>
          <w:sz w:val="18"/>
          <w:szCs w:val="18"/>
          <w:color w:val="auto"/>
        </w:rPr>
        <w:t>”) a Quarterly Report on Form 10-Q or an Annual Report on Form 10-K that includes consolidated financial statements as of and for the same period or periods, as the case may be, covered by such Earnings Announcement.</w:t>
      </w:r>
    </w:p>
    <w:p>
      <w:pPr>
        <w:spacing w:after="0" w:line="194" w:lineRule="exact"/>
        <w:rPr>
          <w:rFonts w:ascii="Arial" w:cs="Arial" w:eastAsia="Arial" w:hAnsi="Arial"/>
          <w:sz w:val="18"/>
          <w:szCs w:val="18"/>
          <w:color w:val="auto"/>
        </w:rPr>
      </w:pPr>
    </w:p>
    <w:p>
      <w:pPr>
        <w:ind w:firstLine="464"/>
        <w:spacing w:after="0" w:line="284" w:lineRule="auto"/>
        <w:tabs>
          <w:tab w:leader="none" w:pos="846"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Removal of Restriction on Offers and Sales. </w:t>
      </w:r>
      <w:r>
        <w:rPr>
          <w:rFonts w:ascii="Arial" w:cs="Arial" w:eastAsia="Arial" w:hAnsi="Arial"/>
          <w:sz w:val="16"/>
          <w:szCs w:val="16"/>
          <w:color w:val="auto"/>
        </w:rPr>
        <w:t>If the Company wishes to offer, sell or deliver Securities at any time during the period from and</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 Announcement Date through and including the time that is 24 hours after the corresponding Filing Time, the Company shall (i) prepare and deliver to Wells Fargo (with a copy to its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Arial" w:cs="Arial" w:eastAsia="Arial" w:hAnsi="Arial"/>
          <w:sz w:val="16"/>
          <w:szCs w:val="16"/>
          <w:u w:val="single" w:color="auto"/>
          <w:color w:val="auto"/>
        </w:rPr>
        <w:t>Earnings 8-K</w:t>
      </w:r>
      <w:r>
        <w:rPr>
          <w:rFonts w:ascii="Arial" w:cs="Arial" w:eastAsia="Arial" w:hAnsi="Arial"/>
          <w:sz w:val="16"/>
          <w:szCs w:val="16"/>
          <w:color w:val="auto"/>
        </w:rPr>
        <w:t>”), in form and substance reasonably satisfactory to Wells Fargo, and obtain the consent of Wells Fargo to the filing thereof (such consent not to be unreasonably withheld), (ii) provide Wells Fargo with the officer’s certificate, opinions/letters of counsel and accountants’ letter called for by Sections</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7(o), (p) and (q) hereof; respectively, (iii) afford Wells Fargo the opportunity to conduct a due diligence review in accordance with Section 7(m) hereof and</w:t>
      </w:r>
    </w:p>
    <w:p>
      <w:pPr>
        <w:spacing w:after="0" w:line="32" w:lineRule="exact"/>
        <w:rPr>
          <w:rFonts w:ascii="Arial" w:cs="Arial" w:eastAsia="Arial" w:hAnsi="Arial"/>
          <w:sz w:val="16"/>
          <w:szCs w:val="16"/>
          <w:color w:val="auto"/>
        </w:rPr>
      </w:pPr>
    </w:p>
    <w:p>
      <w:pPr>
        <w:ind w:firstLine="8"/>
        <w:spacing w:after="0" w:line="287" w:lineRule="auto"/>
        <w:tabs>
          <w:tab w:leader="none" w:pos="3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file such Earnings 8-K with the Commission, then the provisions of clause (iii) of Section 6(g)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6(h)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Sections 7(o), (p) and (q) hereof and (B) this Section 6(h) shall in no way affect or limit the operation of the provisions of clauses (i) and (ii) of Section 6(g), which shall have independent application.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2" w:name="page23"/>
    <w:bookmarkEnd w:id="22"/>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covenants with Wells Fargo as follows:</w:t>
      </w:r>
    </w:p>
    <w:p>
      <w:pPr>
        <w:spacing w:after="0" w:line="225" w:lineRule="exact"/>
        <w:rPr>
          <w:sz w:val="20"/>
          <w:szCs w:val="20"/>
          <w:color w:val="auto"/>
        </w:rPr>
      </w:pPr>
    </w:p>
    <w:p>
      <w:pPr>
        <w:ind w:left="-20" w:firstLine="464"/>
        <w:spacing w:after="0" w:line="267" w:lineRule="auto"/>
        <w:tabs>
          <w:tab w:leader="none" w:pos="816"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Registration Statement Amendments</w:t>
      </w:r>
      <w:r>
        <w:rPr>
          <w:rFonts w:ascii="Arial" w:cs="Arial" w:eastAsia="Arial" w:hAnsi="Arial"/>
          <w:sz w:val="17"/>
          <w:szCs w:val="17"/>
          <w:color w:val="auto"/>
        </w:rPr>
        <w:t>. After the date of this Agreement and during any period in which a Prospectus relating to any Placement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is required to be delivered by Wells Fargo under the Securities Act (including in circumstances where such requirement may be satisfied pursuant to Rule 172 under the Securities Act), (i) the Company will notify Wells Fargo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Wells Fargo’s request, any amendments or supplements to the Registration Statement or Prospectus that, in Wells Fargo’s reasonable opinion, may be necessary or advisable in connection with the distribution of the Placement Securities by Wells Fargo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Wells Fargo to make such request shall not relieve the Company of any obligation or liability hereunder, or affect Wells Fargo’s right to rely on the representations and warranties made by the Company in this Agreement); (iii) the Company will not file any amendment or supplement to the Registration Statement or Prospectus, other than documents incorporated by reference, relating to the Placement Securities or a security convertible into the Placement Securities unless a copy thereof has been submitted to Wells Fargo within a reasonable period of time before the filing and Wells Fargo has not reasonably objected thereto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Wells Fargo to make such objection shall not relieve the Company of any obligation or liability hereunder, or affect Wells Fargo’s right to rely on the representations and warranties made by the Company in this Agreement) and the Company will furnish to Wells Fargo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191" w:lineRule="exact"/>
        <w:rPr>
          <w:rFonts w:ascii="Arial" w:cs="Arial" w:eastAsia="Arial" w:hAnsi="Arial"/>
          <w:sz w:val="17"/>
          <w:szCs w:val="17"/>
          <w:color w:val="auto"/>
        </w:rPr>
      </w:pPr>
    </w:p>
    <w:p>
      <w:pPr>
        <w:ind w:left="-20" w:firstLine="464"/>
        <w:spacing w:after="0" w:line="270" w:lineRule="auto"/>
        <w:tabs>
          <w:tab w:leader="none" w:pos="826"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Notice of Commission Stop Orders</w:t>
      </w:r>
      <w:r>
        <w:rPr>
          <w:rFonts w:ascii="Arial" w:cs="Arial" w:eastAsia="Arial" w:hAnsi="Arial"/>
          <w:sz w:val="17"/>
          <w:szCs w:val="17"/>
          <w:color w:val="auto"/>
        </w:rPr>
        <w:t>. The Company will advise Wells Fargo, promptly after it receives notice or obtains knowledge thereof,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Placement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23" w:name="page24"/>
    <w:bookmarkEnd w:id="23"/>
    <w:p>
      <w:pPr>
        <w:ind w:left="-20" w:firstLine="464"/>
        <w:spacing w:after="0" w:line="290" w:lineRule="auto"/>
        <w:tabs>
          <w:tab w:leader="none" w:pos="816"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Delivery of Registration Statement and Prospectus. </w:t>
      </w:r>
      <w:r>
        <w:rPr>
          <w:rFonts w:ascii="Arial" w:cs="Arial" w:eastAsia="Arial" w:hAnsi="Arial"/>
          <w:sz w:val="16"/>
          <w:szCs w:val="16"/>
          <w:color w:val="auto"/>
        </w:rPr>
        <w:t>The Company will furnish to Wells Fargo and its counsel (at the expense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copies of the Registration Statement, the Prospectus (including all documents incorporated by reference therein) and all amendments and supplements to the Registration Statement or Prospectus, and any Issuer Free Writing Prospectuses, that are filed with the Commission during any period in which a Prospectus relating to the Placement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Wells Fargo may from time to time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not be required to furnish to Wells Fargo any document that is available via EDGAR. The copies of the Registration Statement and the Prospectus and any supplements or amendments thereto furnished to Wells Fargo will be identical to the electronically transmitted copies thereof filed with the Commission pursuant to EDGAR, except to the extent permitted by Regulation S-T.</w:t>
      </w:r>
    </w:p>
    <w:p>
      <w:pPr>
        <w:spacing w:after="0" w:line="166" w:lineRule="exact"/>
        <w:rPr>
          <w:rFonts w:ascii="Arial" w:cs="Arial" w:eastAsia="Arial" w:hAnsi="Arial"/>
          <w:sz w:val="16"/>
          <w:szCs w:val="16"/>
          <w:color w:val="auto"/>
        </w:rPr>
      </w:pPr>
    </w:p>
    <w:p>
      <w:pPr>
        <w:ind w:left="-20" w:firstLine="464"/>
        <w:spacing w:after="0" w:line="267" w:lineRule="auto"/>
        <w:tabs>
          <w:tab w:leader="none" w:pos="826"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Continued Compliance with Securities Laws. </w:t>
      </w:r>
      <w:r>
        <w:rPr>
          <w:rFonts w:ascii="Arial" w:cs="Arial" w:eastAsia="Arial" w:hAnsi="Arial"/>
          <w:sz w:val="17"/>
          <w:szCs w:val="17"/>
          <w:color w:val="auto"/>
        </w:rPr>
        <w:t>If at any time when a Prospectus is required by the Securities Act or the Exchange Act to be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in connection with a pending sale of the Placement Securities (including, without limitation, pursuant to Rule 172), any event shall occur or condition shall exist as a result of which it is necessary, in the opinion of counsel for Wells Fargo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Securities Act, the Company will promptly notify Wells Fargo to suspend the offering of Placement Securities during such period and the Company will promptly prepare and file with the Commission such amendment, supplement or new registration statement as may be necessary to correct such statement or omission or to comply with such requirements, the Company will use its reasonable best efforts to have such amendment or new registration statement declared effective as soon as practicable (if it is not an automatic shelf registration statement with respect to the Securities) and the Company will furnish to Wells Fargo such number of copies of such amendment, supplement or new registration statement as Wells Fargo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Wells Fargo to suspend the offering of Placement Securities during such period and the Company will, subject to Section 7(a) hereof, promptly amend or supplement, at its own expense, such Issuer Free Writing Prospectus to eliminate or correct such conflict, untrue statement or omission.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74" w:right="259" w:bottom="1440" w:gutter="0" w:footer="0" w:header="0"/>
        </w:sectPr>
      </w:pPr>
    </w:p>
    <w:bookmarkStart w:id="24" w:name="page25"/>
    <w:bookmarkEnd w:id="24"/>
    <w:p>
      <w:pPr>
        <w:ind w:left="-120" w:right="60" w:firstLine="464"/>
        <w:spacing w:after="0" w:line="270" w:lineRule="auto"/>
        <w:tabs>
          <w:tab w:leader="none" w:pos="716"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Blue Sky and Other Qualifications. </w:t>
      </w:r>
      <w:r>
        <w:rPr>
          <w:rFonts w:ascii="Arial" w:cs="Arial" w:eastAsia="Arial" w:hAnsi="Arial"/>
          <w:sz w:val="17"/>
          <w:szCs w:val="17"/>
          <w:color w:val="auto"/>
        </w:rPr>
        <w:t>The Company will use its commercially reasonable efforts, in cooperation with Wells Fargo, to qualify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Placement Securities for offering and sale, or to obtain an exemption for the Securities to be offered and sold, under the applicable securities laws of such states and other jurisdictions (domestic or foreign) as Wells Fargo may designate and to maintain such qualifications and exemptions in effect for so long as required for the distribution of the Securities (but in no event for less than one year from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Securities have been so qualified or exempted, the Company will file such statements and reports as may be required by the laws of such jurisdiction to continue such qualification or exemption, as the case may be, in effect for so long as required for the distribution of the Placement Securities (but in no event for less than one year from the date of this Agreement).</w:t>
      </w:r>
    </w:p>
    <w:p>
      <w:pPr>
        <w:spacing w:after="0" w:line="181" w:lineRule="exact"/>
        <w:rPr>
          <w:rFonts w:ascii="Arial" w:cs="Arial" w:eastAsia="Arial" w:hAnsi="Arial"/>
          <w:sz w:val="17"/>
          <w:szCs w:val="17"/>
          <w:color w:val="auto"/>
        </w:rPr>
      </w:pPr>
    </w:p>
    <w:p>
      <w:pPr>
        <w:ind w:left="-120" w:right="260" w:firstLine="464"/>
        <w:spacing w:after="0" w:line="264" w:lineRule="auto"/>
        <w:tabs>
          <w:tab w:leader="none" w:pos="69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Rule 158. </w:t>
      </w:r>
      <w:r>
        <w:rPr>
          <w:rFonts w:ascii="Arial" w:cs="Arial" w:eastAsia="Arial" w:hAnsi="Arial"/>
          <w:sz w:val="18"/>
          <w:szCs w:val="18"/>
          <w:color w:val="auto"/>
        </w:rPr>
        <w:t>The Company will timely file such reports pursuant to the Exchange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Wells Fargo the benefits contemplated by, the last paragraph of Section 11(a) of the Securities Act.</w:t>
      </w:r>
    </w:p>
    <w:p>
      <w:pPr>
        <w:spacing w:after="0" w:line="181" w:lineRule="exact"/>
        <w:rPr>
          <w:rFonts w:ascii="Arial" w:cs="Arial" w:eastAsia="Arial" w:hAnsi="Arial"/>
          <w:sz w:val="18"/>
          <w:szCs w:val="18"/>
          <w:color w:val="auto"/>
        </w:rPr>
      </w:pPr>
    </w:p>
    <w:p>
      <w:pPr>
        <w:ind w:left="-120" w:right="60" w:firstLine="464"/>
        <w:spacing w:after="0" w:line="277" w:lineRule="auto"/>
        <w:tabs>
          <w:tab w:leader="none" w:pos="72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caption “Use of Proceeds.”</w:t>
      </w:r>
    </w:p>
    <w:p>
      <w:pPr>
        <w:spacing w:after="0" w:line="170" w:lineRule="exact"/>
        <w:rPr>
          <w:rFonts w:ascii="Arial" w:cs="Arial" w:eastAsia="Arial" w:hAnsi="Arial"/>
          <w:sz w:val="18"/>
          <w:szCs w:val="18"/>
          <w:color w:val="auto"/>
        </w:rPr>
      </w:pPr>
    </w:p>
    <w:p>
      <w:pPr>
        <w:ind w:left="-120" w:right="220" w:firstLine="464"/>
        <w:spacing w:after="0" w:line="312" w:lineRule="auto"/>
        <w:tabs>
          <w:tab w:leader="none" w:pos="726"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During any period in which the Prospectus relating to the Placement Securities is required to be delivered by Wells Fargo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with respect to a pending sale of the Placement Securities (including in circumstances where such requirement may be satisfied pursuant to Rule 172 under the Securities Act), the Company will use its commercially reasonable efforts to cause the Placement Securities to be listed on the NYSE.</w:t>
      </w:r>
    </w:p>
    <w:p>
      <w:pPr>
        <w:spacing w:after="0" w:line="146" w:lineRule="exact"/>
        <w:rPr>
          <w:rFonts w:ascii="Arial" w:cs="Arial" w:eastAsia="Arial" w:hAnsi="Arial"/>
          <w:sz w:val="16"/>
          <w:szCs w:val="16"/>
          <w:color w:val="auto"/>
        </w:rPr>
      </w:pPr>
    </w:p>
    <w:p>
      <w:pPr>
        <w:ind w:left="-120" w:firstLine="464"/>
        <w:spacing w:after="0" w:line="277" w:lineRule="auto"/>
        <w:tabs>
          <w:tab w:leader="none" w:pos="68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Filings with the NYSE</w:t>
      </w:r>
      <w:r>
        <w:rPr>
          <w:rFonts w:ascii="Arial" w:cs="Arial" w:eastAsia="Arial" w:hAnsi="Arial"/>
          <w:sz w:val="18"/>
          <w:szCs w:val="18"/>
          <w:color w:val="auto"/>
        </w:rPr>
        <w:t>. The Company will timely file with the NYSE all material documents and notices required by the NYSE of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or will issue securities that are traded on the NYSE.</w:t>
      </w:r>
    </w:p>
    <w:p>
      <w:pPr>
        <w:spacing w:after="0" w:line="170" w:lineRule="exact"/>
        <w:rPr>
          <w:rFonts w:ascii="Arial" w:cs="Arial" w:eastAsia="Arial" w:hAnsi="Arial"/>
          <w:sz w:val="18"/>
          <w:szCs w:val="18"/>
          <w:color w:val="auto"/>
        </w:rPr>
      </w:pPr>
    </w:p>
    <w:p>
      <w:pPr>
        <w:ind w:left="-120" w:right="160" w:firstLine="464"/>
        <w:spacing w:after="0" w:line="286" w:lineRule="auto"/>
        <w:tabs>
          <w:tab w:leader="none" w:pos="686"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Reporting Requirements. </w:t>
      </w:r>
      <w:r>
        <w:rPr>
          <w:rFonts w:ascii="Arial" w:cs="Arial" w:eastAsia="Arial" w:hAnsi="Arial"/>
          <w:sz w:val="17"/>
          <w:szCs w:val="17"/>
          <w:color w:val="auto"/>
        </w:rPr>
        <w:t>The Company, during any period when the Prospectus is required to be delivered under the Securities Act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165" w:lineRule="exact"/>
        <w:rPr>
          <w:rFonts w:ascii="Arial" w:cs="Arial" w:eastAsia="Arial" w:hAnsi="Arial"/>
          <w:sz w:val="17"/>
          <w:szCs w:val="17"/>
          <w:color w:val="auto"/>
        </w:rPr>
      </w:pPr>
    </w:p>
    <w:p>
      <w:pPr>
        <w:ind w:left="-120" w:right="20" w:firstLine="464"/>
        <w:spacing w:after="0" w:line="257" w:lineRule="auto"/>
        <w:tabs>
          <w:tab w:leader="none" w:pos="72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Notice of Other Sales</w:t>
      </w:r>
      <w:r>
        <w:rPr>
          <w:rFonts w:ascii="Arial" w:cs="Arial" w:eastAsia="Arial" w:hAnsi="Arial"/>
          <w:sz w:val="18"/>
          <w:szCs w:val="18"/>
          <w:color w:val="auto"/>
        </w:rPr>
        <w:t>. During the pendency of any Placement Notice (as amended by the corresponding Acceptance, if applicable) given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hereunder, the Company shall provide Wells Fargo notice as promptly as reasonably possible before it offers to sell, contracts to sell, sells, grants any option to sell or otherwise disposes of any Common Shares (other than Placement Securities offered pursuant to the provisions of this Agreement or the Alternative Distribution Agreements) or securities convertible into or exchangeable for Common Shares, warrants or any rights to purchase or acquire Common Shares;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notice shall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60" w:top="274" w:right="359" w:bottom="1440" w:gutter="0" w:footer="0" w:header="0"/>
        </w:sectPr>
      </w:pPr>
    </w:p>
    <w:bookmarkStart w:id="25" w:name="page26"/>
    <w:bookmarkEnd w:id="2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be required in connection with (i) the issuance, grant or sale of Common Shares, options to purchase Common Shares or Common Shares issuable upon the exercise of options or other 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or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(v) a non-material acquisition, merger or purchase of assets or (vi) the issuance or sale pursuant to the exercise of contractual rights described in the Prospectus by the current holders of partnership or other interests in certain “DownREIT” and other subsidiaries which may result in the issuance of Common Shares of the Company.</w:t>
      </w:r>
    </w:p>
    <w:p>
      <w:pPr>
        <w:spacing w:after="0" w:line="178" w:lineRule="exact"/>
        <w:rPr>
          <w:sz w:val="20"/>
          <w:szCs w:val="20"/>
          <w:color w:val="auto"/>
        </w:rPr>
      </w:pPr>
    </w:p>
    <w:p>
      <w:pPr>
        <w:ind w:right="40" w:firstLine="464"/>
        <w:spacing w:after="0" w:line="264" w:lineRule="auto"/>
        <w:tabs>
          <w:tab w:leader="none" w:pos="806"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 of Circumstances</w:t>
      </w:r>
      <w:r>
        <w:rPr>
          <w:rFonts w:ascii="Arial" w:cs="Arial" w:eastAsia="Arial" w:hAnsi="Arial"/>
          <w:sz w:val="18"/>
          <w:szCs w:val="18"/>
          <w:color w:val="auto"/>
        </w:rPr>
        <w:t>. The Company will, prior to tendering a Placement Notice or selling Placement Securities, advise Wells Fargo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after it shall have received notice or obtained knowledge thereof, of any information or fact that would alter or affect in any material respect any opinion, certificate, letter or other document provided to Wells Fargo pursuant to this Agreement.</w:t>
      </w:r>
    </w:p>
    <w:p>
      <w:pPr>
        <w:spacing w:after="0" w:line="181" w:lineRule="exact"/>
        <w:rPr>
          <w:rFonts w:ascii="Arial" w:cs="Arial" w:eastAsia="Arial" w:hAnsi="Arial"/>
          <w:sz w:val="18"/>
          <w:szCs w:val="18"/>
          <w:color w:val="auto"/>
        </w:rPr>
      </w:pPr>
    </w:p>
    <w:p>
      <w:pPr>
        <w:ind w:right="240" w:firstLine="464"/>
        <w:spacing w:after="0" w:line="286" w:lineRule="auto"/>
        <w:tabs>
          <w:tab w:leader="none" w:pos="896"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Due Diligence Cooperation</w:t>
      </w:r>
      <w:r>
        <w:rPr>
          <w:rFonts w:ascii="Arial" w:cs="Arial" w:eastAsia="Arial" w:hAnsi="Arial"/>
          <w:sz w:val="17"/>
          <w:szCs w:val="17"/>
          <w:color w:val="auto"/>
        </w:rPr>
        <w:t>. The Company will cooperate with any reasonable due diligence review conducted by Wells Fargo or its agents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transactions contemplated hereby, including, without limitation, providing information and making available documents and senior officers, during regular business hours and at the Company’s principal offices, as Wells Fargo may reasonably request.</w:t>
      </w:r>
    </w:p>
    <w:p>
      <w:pPr>
        <w:spacing w:after="0" w:line="165" w:lineRule="exact"/>
        <w:rPr>
          <w:rFonts w:ascii="Arial" w:cs="Arial" w:eastAsia="Arial" w:hAnsi="Arial"/>
          <w:sz w:val="17"/>
          <w:szCs w:val="17"/>
          <w:color w:val="auto"/>
        </w:rPr>
      </w:pPr>
    </w:p>
    <w:p>
      <w:pPr>
        <w:ind w:right="340" w:firstLine="464"/>
        <w:spacing w:after="0" w:line="286" w:lineRule="auto"/>
        <w:tabs>
          <w:tab w:leader="none" w:pos="846"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Disclosure of Sales. </w:t>
      </w:r>
      <w:r>
        <w:rPr>
          <w:rFonts w:ascii="Arial" w:cs="Arial" w:eastAsia="Arial" w:hAnsi="Arial"/>
          <w:sz w:val="17"/>
          <w:szCs w:val="17"/>
          <w:color w:val="auto"/>
        </w:rPr>
        <w:t>The Company will disclose in its quarterly reports on Form 10-Q, in its annual report on Form 10-K and/or in a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on Form 8-K, the number of Placement Securities sold through Wells Fargo and the Alternative Agents, the Net Proceeds to the Company and the compensation payable by the Company to Wells Fargo and the Alternative Agents with respect to such Placement Securities.</w:t>
      </w:r>
    </w:p>
    <w:p>
      <w:pPr>
        <w:spacing w:after="0" w:line="165" w:lineRule="exact"/>
        <w:rPr>
          <w:rFonts w:ascii="Arial" w:cs="Arial" w:eastAsia="Arial" w:hAnsi="Arial"/>
          <w:sz w:val="17"/>
          <w:szCs w:val="17"/>
          <w:color w:val="auto"/>
        </w:rPr>
      </w:pPr>
    </w:p>
    <w:p>
      <w:pPr>
        <w:ind w:right="380" w:firstLine="464"/>
        <w:spacing w:after="0" w:line="277" w:lineRule="auto"/>
        <w:tabs>
          <w:tab w:leader="none" w:pos="846"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Representation Dates; Certificates</w:t>
      </w:r>
      <w:r>
        <w:rPr>
          <w:rFonts w:ascii="Arial" w:cs="Arial" w:eastAsia="Arial" w:hAnsi="Arial"/>
          <w:sz w:val="18"/>
          <w:szCs w:val="18"/>
          <w:color w:val="auto"/>
        </w:rPr>
        <w:t>. On or prior to the date that the first Securities are sold pursuant to the terms of this Agreement, each time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delivered to Wells Fargo, as principal on a Settlement Date and:</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time the Company:</w:t>
      </w:r>
    </w:p>
    <w:p>
      <w:pPr>
        <w:spacing w:after="0" w:line="130" w:lineRule="exact"/>
        <w:rPr>
          <w:rFonts w:ascii="Arial" w:cs="Arial" w:eastAsia="Arial" w:hAnsi="Arial"/>
          <w:sz w:val="18"/>
          <w:szCs w:val="18"/>
          <w:color w:val="auto"/>
        </w:rPr>
      </w:pPr>
    </w:p>
    <w:p>
      <w:pPr>
        <w:ind w:left="1920" w:right="300" w:hanging="440"/>
        <w:spacing w:after="0" w:line="312" w:lineRule="auto"/>
        <w:tabs>
          <w:tab w:leader="none" w:pos="1920" w:val="left"/>
        </w:tabs>
        <w:numPr>
          <w:ilvl w:val="2"/>
          <w:numId w:val="22"/>
        </w:numPr>
        <w:rPr>
          <w:rFonts w:ascii="Arial" w:cs="Arial" w:eastAsia="Arial" w:hAnsi="Arial"/>
          <w:sz w:val="16"/>
          <w:szCs w:val="16"/>
          <w:color w:val="auto"/>
        </w:rPr>
      </w:pPr>
      <w:r>
        <w:rPr>
          <w:rFonts w:ascii="Arial" w:cs="Arial" w:eastAsia="Arial" w:hAnsi="Arial"/>
          <w:sz w:val="16"/>
          <w:szCs w:val="16"/>
          <w:color w:val="auto"/>
        </w:rPr>
        <w:t>files the Prospectus relating to the Placement Securities or amends or supplements the Registration Statement or the Prospectus relating to the Placement Securities by means of a post-effective amendment, sticker, or supplement but not by means of incorporation of documents by reference into the Registration Statement or the Prospectus relating to the Placement Securities;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26" w:name="page27"/>
    <w:bookmarkEnd w:id="26"/>
    <w:p>
      <w:pPr>
        <w:ind w:left="1920" w:hanging="440"/>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files an Annual Report on Form 10-K under the Exchange Act;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files a Quarterly Report on Form 10-Q under the Exchange Act; or</w:t>
      </w:r>
    </w:p>
    <w:p>
      <w:pPr>
        <w:spacing w:after="0" w:line="130" w:lineRule="exact"/>
        <w:rPr>
          <w:rFonts w:ascii="Arial" w:cs="Arial" w:eastAsia="Arial" w:hAnsi="Arial"/>
          <w:sz w:val="18"/>
          <w:szCs w:val="18"/>
          <w:color w:val="auto"/>
        </w:rPr>
      </w:pPr>
    </w:p>
    <w:p>
      <w:pPr>
        <w:ind w:left="1920" w:right="620" w:hanging="440"/>
        <w:spacing w:after="0" w:line="277"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170" w:lineRule="exact"/>
        <w:rPr>
          <w:sz w:val="20"/>
          <w:szCs w:val="20"/>
          <w:color w:val="auto"/>
        </w:rPr>
      </w:pPr>
    </w:p>
    <w:p>
      <w:pPr>
        <w:ind w:left="460" w:firstLine="443"/>
        <w:spacing w:after="0" w:line="277" w:lineRule="auto"/>
        <w:tabs>
          <w:tab w:leader="none" w:pos="12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any other time reasonably requested by Wells Fargo (each such date of filing of one or more of the documents referred to in clauses (1)(i) through (iv) and any time of request pursuant to this Section 7(o)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the Company shall furnish Wells Fargo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as promptly as possible and in no event later than three (3) Trading Days of any Representation Date. The requirement to provide a certificate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waiver shall not apply for any Representation Date on which the Company files its annual report on Form 10-K. Notwithstanding the foregoing, if the Company subsequently decides to sell Placement Securities following a Representation Date when the Company relied on such waiver and did not provide Wells Fargo with a certificate under this Section 7(o), then before the Company delivers the Placement Notice or Wells Fargo sells any Placement Securities, the Company shall provide Wells Fargo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dated the date of the Placement Notice.</w:t>
      </w:r>
    </w:p>
    <w:p>
      <w:pPr>
        <w:spacing w:after="0" w:line="182" w:lineRule="exact"/>
        <w:rPr>
          <w:sz w:val="20"/>
          <w:szCs w:val="20"/>
          <w:color w:val="auto"/>
        </w:rPr>
      </w:pPr>
    </w:p>
    <w:p>
      <w:pPr>
        <w:ind w:right="80" w:firstLine="464"/>
        <w:spacing w:after="0" w:line="289" w:lineRule="auto"/>
        <w:tabs>
          <w:tab w:leader="none" w:pos="846"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Legal Opinions</w:t>
      </w:r>
      <w:r>
        <w:rPr>
          <w:rFonts w:ascii="Arial" w:cs="Arial" w:eastAsia="Arial" w:hAnsi="Arial"/>
          <w:sz w:val="16"/>
          <w:szCs w:val="16"/>
          <w:color w:val="auto"/>
        </w:rPr>
        <w:t>. On or prior to the date that the first Securities are sold pursuant to the terms of this Agreement and each time Securities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delivered to Wells Fargo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for which no waiver is applicable, the Company shall cause to be furnished to Wells Fargo written opinions of Pillsbury Winthrop Shaw Pittman LLP (“</w:t>
      </w:r>
      <w:r>
        <w:rPr>
          <w:rFonts w:ascii="Arial" w:cs="Arial" w:eastAsia="Arial" w:hAnsi="Arial"/>
          <w:sz w:val="16"/>
          <w:szCs w:val="16"/>
          <w:u w:val="single" w:color="auto"/>
          <w:color w:val="auto"/>
        </w:rPr>
        <w:t>Company Counsel</w:t>
      </w:r>
      <w:r>
        <w:rPr>
          <w:rFonts w:ascii="Arial" w:cs="Arial" w:eastAsia="Arial" w:hAnsi="Arial"/>
          <w:sz w:val="16"/>
          <w:szCs w:val="16"/>
          <w:color w:val="auto"/>
        </w:rPr>
        <w:t xml:space="preserve">”), or other counsel satisfactory to Wells Fargo, in form and substance satisfactory to Wells Fargo and its counsel, dated the date that the opinion is required to be delivered, substantially similar to the forms attached hereto as </w:t>
      </w:r>
      <w:r>
        <w:rPr>
          <w:rFonts w:ascii="Arial" w:cs="Arial" w:eastAsia="Arial" w:hAnsi="Arial"/>
          <w:sz w:val="16"/>
          <w:szCs w:val="16"/>
          <w:u w:val="single" w:color="auto"/>
          <w:color w:val="auto"/>
        </w:rPr>
        <w:t>Exhibit D-1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D-2</w:t>
      </w:r>
      <w:r>
        <w:rPr>
          <w:rFonts w:ascii="Arial" w:cs="Arial" w:eastAsia="Arial" w:hAnsi="Arial"/>
          <w:sz w:val="16"/>
          <w:szCs w:val="16"/>
          <w:color w:val="auto"/>
        </w:rPr>
        <w:t xml:space="preserve">, subject to such assumptions, exceptions and qualifications reasonably acceptable to Wells Fargo and its counsel, and modified, as necessary, to relate to the Registration Statement and the Prospectus as then amended or supplemented;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lieu of such opinions for subsequent Representation Dates, any such counsel may furnish Wells Fargo with a letter to the effect that Wells Fargo may rely on a prior opinion delivered under this Section 7(p)</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27" w:name="page28"/>
    <w:bookmarkEnd w:id="27"/>
    <w:p>
      <w:pPr>
        <w:ind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same extent as if it were dated the date of such letter (except that statements in such prior opinion shall be deemed to relate to the Registration Statement and the Prospectus as amended or supplemented at such Representation Date).</w:t>
      </w:r>
    </w:p>
    <w:p>
      <w:pPr>
        <w:spacing w:after="0" w:line="170" w:lineRule="exact"/>
        <w:rPr>
          <w:sz w:val="20"/>
          <w:szCs w:val="20"/>
          <w:color w:val="auto"/>
        </w:rPr>
      </w:pPr>
    </w:p>
    <w:p>
      <w:pPr>
        <w:ind w:right="60" w:firstLine="464"/>
        <w:spacing w:after="0" w:line="270" w:lineRule="auto"/>
        <w:tabs>
          <w:tab w:leader="none" w:pos="846"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Comfort Letter</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Wells Fargo,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its independent accountants to furnish Wells Fargo letter(s) (the “</w:t>
      </w:r>
      <w:r>
        <w:rPr>
          <w:rFonts w:ascii="Arial" w:cs="Arial" w:eastAsia="Arial" w:hAnsi="Arial"/>
          <w:sz w:val="17"/>
          <w:szCs w:val="17"/>
          <w:u w:val="single" w:color="auto"/>
          <w:color w:val="auto"/>
        </w:rPr>
        <w:t>Comfort Letter</w:t>
      </w:r>
      <w:r>
        <w:rPr>
          <w:rFonts w:ascii="Arial" w:cs="Arial" w:eastAsia="Arial" w:hAnsi="Arial"/>
          <w:sz w:val="17"/>
          <w:szCs w:val="17"/>
          <w:color w:val="auto"/>
        </w:rPr>
        <w:t>”), dated the date the Comfort Letter is delivered, in form and substance satisfactory to Wells Fargo,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u w:val="single" w:color="auto"/>
          <w:color w:val="auto"/>
        </w:rPr>
        <w:t>Initial Comfort Letter</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77" w:lineRule="exact"/>
        <w:rPr>
          <w:rFonts w:ascii="Arial" w:cs="Arial" w:eastAsia="Arial" w:hAnsi="Arial"/>
          <w:sz w:val="17"/>
          <w:szCs w:val="17"/>
          <w:color w:val="auto"/>
        </w:rPr>
      </w:pPr>
    </w:p>
    <w:p>
      <w:pPr>
        <w:ind w:right="80" w:firstLine="464"/>
        <w:spacing w:after="0" w:line="273" w:lineRule="auto"/>
        <w:tabs>
          <w:tab w:leader="none" w:pos="816"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Market Activities</w:t>
      </w:r>
      <w:r>
        <w:rPr>
          <w:rFonts w:ascii="Arial" w:cs="Arial" w:eastAsia="Arial" w:hAnsi="Arial"/>
          <w:sz w:val="17"/>
          <w:szCs w:val="17"/>
          <w:color w:val="auto"/>
        </w:rPr>
        <w:t>. The Company will not, directly or indirectly, (i) take any action designed to cause or result in, or that constitutes or might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reasonably 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Wells Fargo;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bid for and purchase its Common Shares in accordance with Rule 10b-18 under the Exchange Act,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 such bids or purchases shall be made by the Company during the three (3) Trading Days before or after any sale of any Securities pursuant to this Agreement.</w:t>
      </w:r>
    </w:p>
    <w:p>
      <w:pPr>
        <w:spacing w:after="0" w:line="178" w:lineRule="exact"/>
        <w:rPr>
          <w:rFonts w:ascii="Arial" w:cs="Arial" w:eastAsia="Arial" w:hAnsi="Arial"/>
          <w:sz w:val="17"/>
          <w:szCs w:val="17"/>
          <w:color w:val="auto"/>
        </w:rPr>
      </w:pPr>
    </w:p>
    <w:p>
      <w:pPr>
        <w:jc w:val="both"/>
        <w:ind w:right="220" w:firstLine="464"/>
        <w:spacing w:after="0" w:line="259" w:lineRule="auto"/>
        <w:tabs>
          <w:tab w:leader="none" w:pos="826"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Company and its subsidiaries shall maintain, or cause to be maintained, insurance in such amounts and covering such risks as 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and its subsidiaries, considered as one enterprise.</w:t>
      </w:r>
    </w:p>
    <w:p>
      <w:pPr>
        <w:spacing w:after="0" w:line="186" w:lineRule="exact"/>
        <w:rPr>
          <w:rFonts w:ascii="Arial" w:cs="Arial" w:eastAsia="Arial" w:hAnsi="Arial"/>
          <w:sz w:val="18"/>
          <w:szCs w:val="18"/>
          <w:color w:val="auto"/>
        </w:rPr>
      </w:pPr>
    </w:p>
    <w:p>
      <w:pPr>
        <w:ind w:firstLine="464"/>
        <w:spacing w:after="0" w:line="257" w:lineRule="auto"/>
        <w:tabs>
          <w:tab w:leader="none" w:pos="806"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Compliance with Laws</w:t>
      </w:r>
      <w:r>
        <w:rPr>
          <w:rFonts w:ascii="Arial" w:cs="Arial" w:eastAsia="Arial" w:hAnsi="Arial"/>
          <w:sz w:val="18"/>
          <w:szCs w:val="18"/>
          <w:color w:val="auto"/>
        </w:rPr>
        <w:t>. The Company and each of its subsidiaries shall maintain, or cause to be maintained, all material environmental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8" w:name="page29"/>
    <w:bookmarkEnd w:id="28"/>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expected to have a material adverse effect on the condition, financial or otherwise, or on the earnings, business affairs or business prospects of the Company and its subsidiaries, considered as one enterprise.</w:t>
      </w:r>
    </w:p>
    <w:p>
      <w:pPr>
        <w:spacing w:after="0" w:line="170" w:lineRule="exact"/>
        <w:rPr>
          <w:sz w:val="20"/>
          <w:szCs w:val="20"/>
          <w:color w:val="auto"/>
        </w:rPr>
      </w:pPr>
    </w:p>
    <w:p>
      <w:pPr>
        <w:ind w:right="200" w:firstLine="464"/>
        <w:spacing w:after="0" w:line="259" w:lineRule="auto"/>
        <w:tabs>
          <w:tab w:leader="none" w:pos="84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will conduct its affairs in such a manner so as to reasonably ensure that neither it nor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will be or become, at any time prior to the termination of this Agreement, required to register as an “investment company,” as such term is defined in the Investment Company Act, assuming no change in the Commission’s current interpretation as to entities that are not considered an investment company.</w:t>
      </w:r>
    </w:p>
    <w:p>
      <w:pPr>
        <w:spacing w:after="0" w:line="186" w:lineRule="exact"/>
        <w:rPr>
          <w:rFonts w:ascii="Arial" w:cs="Arial" w:eastAsia="Arial" w:hAnsi="Arial"/>
          <w:sz w:val="18"/>
          <w:szCs w:val="18"/>
          <w:color w:val="auto"/>
        </w:rPr>
      </w:pPr>
    </w:p>
    <w:p>
      <w:pPr>
        <w:jc w:val="both"/>
        <w:ind w:firstLine="464"/>
        <w:spacing w:after="0" w:line="264" w:lineRule="auto"/>
        <w:tabs>
          <w:tab w:leader="none" w:pos="84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as from time to time in force and effect, so far as necessary to permit the continuance of sales of, or dealings in, the Placement Securities as contemplated by the provisions hereof and the Prospectus.</w:t>
      </w:r>
    </w:p>
    <w:p>
      <w:pPr>
        <w:spacing w:after="0" w:line="181" w:lineRule="exact"/>
        <w:rPr>
          <w:rFonts w:ascii="Arial" w:cs="Arial" w:eastAsia="Arial" w:hAnsi="Arial"/>
          <w:sz w:val="18"/>
          <w:szCs w:val="18"/>
          <w:color w:val="auto"/>
        </w:rPr>
      </w:pPr>
    </w:p>
    <w:p>
      <w:pPr>
        <w:ind w:firstLine="464"/>
        <w:spacing w:after="0" w:line="259" w:lineRule="auto"/>
        <w:tabs>
          <w:tab w:leader="none" w:pos="88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 Offer to Sell</w:t>
      </w:r>
      <w:r>
        <w:rPr>
          <w:rFonts w:ascii="Arial" w:cs="Arial" w:eastAsia="Arial" w:hAnsi="Arial"/>
          <w:sz w:val="18"/>
          <w:szCs w:val="18"/>
          <w:color w:val="auto"/>
        </w:rPr>
        <w:t>. Other than a free writing prospectus (as defined in Rule 405 under the Securities Act) approved in advance in writing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Wells Fargo, in its capacity as principal or agent hereunder, the Company (including its agents and representatives, other than Wells Fargo in its capacity as such) will not, directly or indirectly, make, use, prepare, authorize, approve or refer to any free writing prospectus relating to the Securities to be sold by Wells Fargo, as principal or agent hereunder.</w:t>
      </w:r>
    </w:p>
    <w:p>
      <w:pPr>
        <w:spacing w:after="0" w:line="186" w:lineRule="exact"/>
        <w:rPr>
          <w:rFonts w:ascii="Arial" w:cs="Arial" w:eastAsia="Arial" w:hAnsi="Arial"/>
          <w:sz w:val="18"/>
          <w:szCs w:val="18"/>
          <w:color w:val="auto"/>
        </w:rPr>
      </w:pPr>
    </w:p>
    <w:p>
      <w:pPr>
        <w:ind w:right="640" w:firstLine="464"/>
        <w:spacing w:after="0" w:line="277" w:lineRule="auto"/>
        <w:tabs>
          <w:tab w:leader="none" w:pos="84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Company and its subsidiaries shall comply in all material respects with all effective applicable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Sarbanes-Oxley Act.</w:t>
      </w:r>
    </w:p>
    <w:p>
      <w:pPr>
        <w:spacing w:after="0" w:line="170" w:lineRule="exact"/>
        <w:rPr>
          <w:rFonts w:ascii="Arial" w:cs="Arial" w:eastAsia="Arial" w:hAnsi="Arial"/>
          <w:sz w:val="18"/>
          <w:szCs w:val="18"/>
          <w:color w:val="auto"/>
        </w:rPr>
      </w:pPr>
    </w:p>
    <w:p>
      <w:pPr>
        <w:ind w:firstLine="464"/>
        <w:spacing w:after="0" w:line="286" w:lineRule="auto"/>
        <w:tabs>
          <w:tab w:leader="none" w:pos="846"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Regulation M. </w:t>
      </w:r>
      <w:r>
        <w:rPr>
          <w:rFonts w:ascii="Arial" w:cs="Arial" w:eastAsia="Arial" w:hAnsi="Arial"/>
          <w:sz w:val="17"/>
          <w:szCs w:val="17"/>
          <w:color w:val="auto"/>
        </w:rPr>
        <w:t>If the Company has reason to believe that the exemptive provisions set forth in Rule 101(c)(1) of Regulation M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are not satisfied with respect to the Company or the Common Shares, it shall promptly notify Wells Fargo and sales of the Placement Securities under this Agreement shall be suspended until that or other exemptive provisions have been satisfied in the judgment of each party.</w:t>
      </w:r>
    </w:p>
    <w:p>
      <w:pPr>
        <w:spacing w:after="0" w:line="165" w:lineRule="exact"/>
        <w:rPr>
          <w:rFonts w:ascii="Arial" w:cs="Arial" w:eastAsia="Arial" w:hAnsi="Arial"/>
          <w:sz w:val="17"/>
          <w:szCs w:val="17"/>
          <w:color w:val="auto"/>
        </w:rPr>
      </w:pPr>
    </w:p>
    <w:p>
      <w:pPr>
        <w:ind w:right="200" w:firstLine="464"/>
        <w:spacing w:after="0" w:line="277" w:lineRule="auto"/>
        <w:tabs>
          <w:tab w:leader="none" w:pos="83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REIT Treatment</w:t>
      </w:r>
      <w:r>
        <w:rPr>
          <w:rFonts w:ascii="Arial" w:cs="Arial" w:eastAsia="Arial" w:hAnsi="Arial"/>
          <w:sz w:val="18"/>
          <w:szCs w:val="18"/>
          <w:color w:val="auto"/>
        </w:rPr>
        <w:t>. The Company will use its best efforts to meet the requirements to qualify as a “real estate investment trust” under the Code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taxable years that include any portion of the term of this Agreement.</w:t>
      </w:r>
    </w:p>
    <w:p>
      <w:pPr>
        <w:spacing w:after="0" w:line="170" w:lineRule="exact"/>
        <w:rPr>
          <w:sz w:val="20"/>
          <w:szCs w:val="20"/>
          <w:color w:val="auto"/>
        </w:rPr>
      </w:pPr>
    </w:p>
    <w:p>
      <w:pPr>
        <w:ind w:right="240" w:firstLine="464"/>
        <w:spacing w:after="0" w:line="255" w:lineRule="auto"/>
        <w:tabs>
          <w:tab w:leader="none" w:pos="916"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Renewal of Registration Statement. </w:t>
      </w:r>
      <w:r>
        <w:rPr>
          <w:rFonts w:ascii="Arial" w:cs="Arial" w:eastAsia="Arial" w:hAnsi="Arial"/>
          <w:sz w:val="18"/>
          <w:szCs w:val="18"/>
          <w:color w:val="auto"/>
        </w:rPr>
        <w:t>The date of this Agreement is not more than three years subsequent to the initial effective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w:t>
      </w:r>
      <w:r>
        <w:rPr>
          <w:rFonts w:ascii="Arial" w:cs="Arial" w:eastAsia="Arial" w:hAnsi="Arial"/>
          <w:sz w:val="18"/>
          <w:szCs w:val="18"/>
          <w:u w:val="single" w:color="auto"/>
          <w:color w:val="auto"/>
        </w:rPr>
        <w:t>Renewal Date</w:t>
      </w:r>
      <w:r>
        <w:rPr>
          <w:rFonts w:ascii="Arial" w:cs="Arial" w:eastAsia="Arial" w:hAnsi="Arial"/>
          <w:sz w:val="18"/>
          <w:szCs w:val="18"/>
          <w:color w:val="auto"/>
        </w:rPr>
        <w:t>”). If, immediately prior to the third anniversary of the Renewal Date, this Agreement has not terminated and a prospectus is required to be delivered or made available by Wells Fargo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9" w:name="page30"/>
    <w:bookmarkEnd w:id="29"/>
    <w:p>
      <w:pPr>
        <w:ind w:right="3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24" w:lineRule="exact"/>
        <w:rPr>
          <w:sz w:val="20"/>
          <w:szCs w:val="20"/>
          <w:color w:val="auto"/>
        </w:rPr>
      </w:pPr>
    </w:p>
    <w:p>
      <w:pPr>
        <w:ind w:firstLine="464"/>
        <w:spacing w:after="0" w:line="259" w:lineRule="auto"/>
        <w:tabs>
          <w:tab w:leader="none" w:pos="936"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Rights to Refuse Purchase. </w:t>
      </w:r>
      <w:r>
        <w:rPr>
          <w:rFonts w:ascii="Arial" w:cs="Arial" w:eastAsia="Arial" w:hAnsi="Arial"/>
          <w:sz w:val="18"/>
          <w:szCs w:val="18"/>
          <w:color w:val="auto"/>
        </w:rPr>
        <w:t>If, to the knowledge of the Company, all filings required by Rule 424 in connection with the offering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Wells Fargo the right to refuse to purchase and pay for such Securities.</w:t>
      </w:r>
    </w:p>
    <w:p>
      <w:pPr>
        <w:spacing w:after="0" w:line="187"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225" w:lineRule="exact"/>
        <w:rPr>
          <w:sz w:val="20"/>
          <w:szCs w:val="20"/>
          <w:color w:val="auto"/>
        </w:rPr>
      </w:pPr>
    </w:p>
    <w:p>
      <w:pPr>
        <w:ind w:right="40" w:firstLine="464"/>
        <w:spacing w:after="0" w:line="285" w:lineRule="auto"/>
        <w:tabs>
          <w:tab w:leader="none" w:pos="83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will pay all expenses incident to the performance of its obligations under this Agreement, including (i) the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printing and filing of the Registration Statement (including financial statements and exhibits) as originally filed and of each amendment and supplement thereto, (ii) the preparation, issuance and delivery of the certificates for the Placement Securities to Wells Fargo, including any stock or other transfer taxes and any capital duties, stamp duties or other duties or taxes payable upon the sale, issuance or delivery of the Placement Securities to Wells Fargo, (iii) the fees and disbursements of the counsel, accountants and other advisors to the Company, (iv) the qualification or exemption of the Placement Securities under securities laws in accordance with the provisions of Section 7(e) hereof, including filing fees and the reasonable fees and disbursements of counsel for Wells Fargo in connection therewith and in connection with the preparation of a state securities law or “blue sky” survey and any supplements thereto, (v) the printing and delivery to Wells Fargo of copies of any Permitted Free Writing Prospectus and the Prospectus and any amendments or supplements thereto and any costs associated with electronic delivery of any of the foregoing by Wells Fargo to investors, (vi) the preparation, printing and delivery to Wells Fargo of copies of the Blue Sky Survey and any Canadian “wrapper” and any supplements thereto, (vii) the fees and expenses of the custodian and the transfer agent and registrar for the Securities, (viii) the filing fees incident to, and the reasonable fees and disbursements of counsel for Wells Fargo in connection with, the review by FINRA of the terms of the sale of the Securities, (ix) the fees and expenses incurred in connection with the listing of the Placement Securities on the NYSE, (x) the disbursements of counsel for Wells Fargo in connection with the copying and delivery of closing documents delivered by the Company or the Company’s accountants or counsel (including any local counsel) and (xi) if Securities having an aggregate offering price of $50,000,000 or more have not been offered and sold under this Agreement and/or the Alternative Distribution Agreements by the eighteen-month anniversary of this Agreement (or such earlier date at which the Company terminates this Agreement)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the Company shall reimburse Wells Fargo and the Alternative Agents for all of its reasonable out-of-pocket expenses, including the reasonable fees and disbursements of counsel for Wells Fargo and the Alternative Agents incurred by Wells Fargo and the Alternative Agents in connection with the transactions contemplated by this Agreement and the Alternative Distribution Agreements (the “</w:t>
      </w:r>
      <w:r>
        <w:rPr>
          <w:rFonts w:ascii="Arial" w:cs="Arial" w:eastAsia="Arial" w:hAnsi="Arial"/>
          <w:sz w:val="16"/>
          <w:szCs w:val="16"/>
          <w:u w:val="single" w:color="auto"/>
          <w:color w:val="auto"/>
        </w:rPr>
        <w:t>Expenses</w:t>
      </w:r>
      <w:r>
        <w:rPr>
          <w:rFonts w:ascii="Arial" w:cs="Arial" w:eastAsia="Arial" w:hAnsi="Arial"/>
          <w:sz w:val="16"/>
          <w:szCs w:val="16"/>
          <w:color w:val="auto"/>
        </w:rPr>
        <w:t>”). The Expenses shall be due and payable by the Company to Wells Fargo within five (5) business days of the Determination Date.</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30" w:name="page31"/>
    <w:bookmarkEnd w:id="30"/>
    <w:p>
      <w:pPr>
        <w:ind w:left="860" w:hanging="396"/>
        <w:spacing w:after="0"/>
        <w:tabs>
          <w:tab w:leader="none" w:pos="860"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Termination of Agreement. </w:t>
      </w:r>
      <w:r>
        <w:rPr>
          <w:rFonts w:ascii="Arial" w:cs="Arial" w:eastAsia="Arial" w:hAnsi="Arial"/>
          <w:sz w:val="16"/>
          <w:szCs w:val="16"/>
          <w:color w:val="auto"/>
        </w:rPr>
        <w:t>If this Agreement is terminated by Wells Fargo in accordance with the provisions of Section 9 or Section 13(a)(i) or</w:t>
      </w:r>
    </w:p>
    <w:p>
      <w:pPr>
        <w:spacing w:after="0" w:line="46" w:lineRule="exact"/>
        <w:rPr>
          <w:rFonts w:ascii="Arial" w:cs="Arial" w:eastAsia="Arial" w:hAnsi="Arial"/>
          <w:sz w:val="16"/>
          <w:szCs w:val="16"/>
          <w:color w:val="auto"/>
        </w:rPr>
      </w:pPr>
    </w:p>
    <w:p>
      <w:pPr>
        <w:ind w:right="20" w:firstLine="8"/>
        <w:spacing w:after="0" w:line="255"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respect to the first clause only) hereof, the Company shall reimburse Wells Fargo for all of its out-of-pocket expenses, including the reasonable fees and disbursements of counsel for Wells Fargo, unless Securities having an aggregate offering price of $50,000,000 or more have previously been offered and sold under this Agreement and/or the Alternative Distribution Agreements.</w:t>
      </w:r>
    </w:p>
    <w:p>
      <w:pPr>
        <w:spacing w:after="0" w:line="1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Conditions of Wells Fargo’s Obligations</w:t>
      </w:r>
      <w:r>
        <w:rPr>
          <w:rFonts w:ascii="Arial" w:cs="Arial" w:eastAsia="Arial" w:hAnsi="Arial"/>
          <w:sz w:val="18"/>
          <w:szCs w:val="18"/>
          <w:color w:val="auto"/>
        </w:rPr>
        <w:t>. The obligations of Wells Fargo hereunder with respect to a Placement will be subject to the continuing accuracy and completeness of the representations and warranties of the Company contained in this Agreement or in certificates of any officer of the Company or any subsidiary delivered pursuant to the provisions hereof, to the performance by the Company of its covenants and other obligations hereunder, and to the following further conditions:</w:t>
      </w:r>
    </w:p>
    <w:p>
      <w:pPr>
        <w:spacing w:after="0" w:line="187" w:lineRule="exact"/>
        <w:rPr>
          <w:sz w:val="20"/>
          <w:szCs w:val="20"/>
          <w:color w:val="auto"/>
        </w:rPr>
      </w:pPr>
    </w:p>
    <w:p>
      <w:pPr>
        <w:ind w:left="840" w:hanging="376"/>
        <w:spacing w:after="0"/>
        <w:tabs>
          <w:tab w:leader="none" w:pos="840"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of Registration Statement; Payment of Filing Fee. </w:t>
      </w:r>
      <w:r>
        <w:rPr>
          <w:rFonts w:ascii="Arial" w:cs="Arial" w:eastAsia="Arial" w:hAnsi="Arial"/>
          <w:sz w:val="16"/>
          <w:szCs w:val="16"/>
          <w:color w:val="auto"/>
        </w:rPr>
        <w:t>The Registration Statement shall have become effective and shall be available for</w:t>
      </w:r>
    </w:p>
    <w:p>
      <w:pPr>
        <w:spacing w:after="0" w:line="46" w:lineRule="exact"/>
        <w:rPr>
          <w:rFonts w:ascii="Arial" w:cs="Arial" w:eastAsia="Arial" w:hAnsi="Arial"/>
          <w:sz w:val="16"/>
          <w:szCs w:val="16"/>
          <w:color w:val="auto"/>
        </w:rPr>
      </w:pPr>
    </w:p>
    <w:p>
      <w:pPr>
        <w:ind w:firstLine="8"/>
        <w:spacing w:after="0" w:line="252" w:lineRule="auto"/>
        <w:tabs>
          <w:tab w:leader="none" w:pos="2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sales of Placement Securities issued pursuant to all prior Placement Notices (each as amended by a corresponding Acceptance, if applicable) and (ii) the sale of all Placement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194" w:lineRule="exact"/>
        <w:rPr>
          <w:rFonts w:ascii="Arial" w:cs="Arial" w:eastAsia="Arial" w:hAnsi="Arial"/>
          <w:sz w:val="18"/>
          <w:szCs w:val="18"/>
          <w:color w:val="auto"/>
        </w:rPr>
      </w:pPr>
    </w:p>
    <w:p>
      <w:pPr>
        <w:ind w:right="80" w:firstLine="464"/>
        <w:spacing w:after="0" w:line="288" w:lineRule="auto"/>
        <w:tabs>
          <w:tab w:leader="none" w:pos="846"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No Material Notices</w:t>
      </w:r>
      <w:r>
        <w:rPr>
          <w:rFonts w:ascii="Arial" w:cs="Arial" w:eastAsia="Arial" w:hAnsi="Arial"/>
          <w:sz w:val="16"/>
          <w:szCs w:val="16"/>
          <w:color w:val="auto"/>
        </w:rPr>
        <w:t>. None of the following events shall have occurred and be continuing: (i) receipt by the Company or any of its subsidiaries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w:t>
      </w:r>
    </w:p>
    <w:p>
      <w:pPr>
        <w:ind w:right="60" w:firstLine="8"/>
        <w:spacing w:after="0" w:line="268" w:lineRule="auto"/>
        <w:tabs>
          <w:tab w:leader="none" w:pos="26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Securities for sale in any jurisdiction or the initiation or threatening of any proceeding for such purpose;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untrue statement of a material fact or omit to state any material fact required to be stated therein or necessary to make the statements therein not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81" w:lineRule="exact"/>
        <w:rPr>
          <w:sz w:val="20"/>
          <w:szCs w:val="20"/>
          <w:color w:val="auto"/>
        </w:rPr>
      </w:pPr>
    </w:p>
    <w:p>
      <w:pPr>
        <w:ind w:right="20" w:firstLine="464"/>
        <w:spacing w:after="0" w:line="257" w:lineRule="auto"/>
        <w:tabs>
          <w:tab w:leader="none" w:pos="836"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No Misstatement or Material Omission</w:t>
      </w:r>
      <w:r>
        <w:rPr>
          <w:rFonts w:ascii="Arial" w:cs="Arial" w:eastAsia="Arial" w:hAnsi="Arial"/>
          <w:sz w:val="18"/>
          <w:szCs w:val="18"/>
          <w:color w:val="auto"/>
        </w:rPr>
        <w:t>. Wells Fargo shall not have advised the Company that the Registration Statement or Prospectus,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Issuer Free Writing Prospectus, or any amendment or supplement thereto, contains an untrue statement of fact that in Wells Fargo’s opinion is material, or omits to state a fact that in Wells Fargo’s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188" w:lineRule="exact"/>
        <w:rPr>
          <w:rFonts w:ascii="Arial" w:cs="Arial" w:eastAsia="Arial" w:hAnsi="Arial"/>
          <w:sz w:val="18"/>
          <w:szCs w:val="18"/>
          <w:color w:val="auto"/>
        </w:rPr>
      </w:pPr>
    </w:p>
    <w:p>
      <w:pPr>
        <w:ind w:right="20" w:firstLine="464"/>
        <w:spacing w:after="0" w:line="286" w:lineRule="auto"/>
        <w:tabs>
          <w:tab w:leader="none" w:pos="846"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Material Changes</w:t>
      </w:r>
      <w:r>
        <w:rPr>
          <w:rFonts w:ascii="Arial" w:cs="Arial" w:eastAsia="Arial" w:hAnsi="Arial"/>
          <w:sz w:val="17"/>
          <w:szCs w:val="17"/>
          <w:color w:val="auto"/>
        </w:rPr>
        <w:t>. Except as contemplated in the Prospectus, or disclosed in the Company’s reports filed with the Commission, there shall not</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165" w:lineRule="exact"/>
        <w:rPr>
          <w:rFonts w:ascii="Arial" w:cs="Arial" w:eastAsia="Arial" w:hAnsi="Arial"/>
          <w:sz w:val="17"/>
          <w:szCs w:val="17"/>
          <w:color w:val="auto"/>
        </w:rPr>
      </w:pPr>
    </w:p>
    <w:p>
      <w:pPr>
        <w:ind w:right="140" w:firstLine="464"/>
        <w:spacing w:after="0" w:line="277" w:lineRule="auto"/>
        <w:tabs>
          <w:tab w:leader="none" w:pos="836"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Company. </w:t>
      </w:r>
      <w:r>
        <w:rPr>
          <w:rFonts w:ascii="Arial" w:cs="Arial" w:eastAsia="Arial" w:hAnsi="Arial"/>
          <w:sz w:val="18"/>
          <w:szCs w:val="18"/>
          <w:color w:val="auto"/>
        </w:rPr>
        <w:t>Wells Fargo shall have received the favorable opinion of Company Counsel, required to be delivered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Section 7(p) on or before the date on which such delivery of such opinion is required pursuant to Section 7(p).</w:t>
      </w:r>
    </w:p>
    <w:p>
      <w:pPr>
        <w:spacing w:after="0" w:line="170" w:lineRule="exact"/>
        <w:rPr>
          <w:rFonts w:ascii="Arial" w:cs="Arial" w:eastAsia="Arial" w:hAnsi="Arial"/>
          <w:sz w:val="18"/>
          <w:szCs w:val="18"/>
          <w:color w:val="auto"/>
        </w:rPr>
      </w:pPr>
    </w:p>
    <w:p>
      <w:pPr>
        <w:ind w:right="180" w:firstLine="464"/>
        <w:spacing w:after="0" w:line="277" w:lineRule="auto"/>
        <w:tabs>
          <w:tab w:leader="none" w:pos="816"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Certificate. </w:t>
      </w:r>
      <w:r>
        <w:rPr>
          <w:rFonts w:ascii="Arial" w:cs="Arial" w:eastAsia="Arial" w:hAnsi="Arial"/>
          <w:sz w:val="18"/>
          <w:szCs w:val="18"/>
          <w:color w:val="auto"/>
        </w:rPr>
        <w:t>Wells Fargo shall have received the certificate required to be delivered pursuant to Section 7(o) on or before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on which delivery of such certificate is required pursuant to Section 7(o).</w:t>
      </w:r>
    </w:p>
    <w:p>
      <w:pPr>
        <w:spacing w:after="0" w:line="170" w:lineRule="exact"/>
        <w:rPr>
          <w:rFonts w:ascii="Arial" w:cs="Arial" w:eastAsia="Arial" w:hAnsi="Arial"/>
          <w:sz w:val="18"/>
          <w:szCs w:val="18"/>
          <w:color w:val="auto"/>
        </w:rPr>
      </w:pPr>
    </w:p>
    <w:p>
      <w:pPr>
        <w:ind w:right="180" w:firstLine="464"/>
        <w:spacing w:after="0" w:line="277" w:lineRule="auto"/>
        <w:tabs>
          <w:tab w:leader="none" w:pos="846"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Accountant’s Comfort Letter. </w:t>
      </w:r>
      <w:r>
        <w:rPr>
          <w:rFonts w:ascii="Arial" w:cs="Arial" w:eastAsia="Arial" w:hAnsi="Arial"/>
          <w:sz w:val="18"/>
          <w:szCs w:val="18"/>
          <w:color w:val="auto"/>
        </w:rPr>
        <w:t>Wells Fargo shall have received the Comfort Letter required to be delivered pursuant Section 7(q) on or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on which such delivery of such Comfort Letter is required pursuant to Section 7(q).</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Approval for Listing</w:t>
      </w:r>
      <w:r>
        <w:rPr>
          <w:rFonts w:ascii="Arial" w:cs="Arial" w:eastAsia="Arial" w:hAnsi="Arial"/>
          <w:sz w:val="16"/>
          <w:szCs w:val="16"/>
          <w:color w:val="auto"/>
        </w:rPr>
        <w:t>. The Placement Securities shall either have been (i) approved for listing on the NYSE, subject only to notice of issuance, or</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shall have filed an application for listing of the Placement Securities on the NYSE at, or prior to, the issuance of any Placement Notice.</w:t>
      </w:r>
    </w:p>
    <w:p>
      <w:pPr>
        <w:spacing w:after="0" w:line="233" w:lineRule="exact"/>
        <w:rPr>
          <w:rFonts w:ascii="Arial" w:cs="Arial" w:eastAsia="Arial" w:hAnsi="Arial"/>
          <w:sz w:val="16"/>
          <w:szCs w:val="16"/>
          <w:color w:val="auto"/>
        </w:rPr>
      </w:pPr>
    </w:p>
    <w:p>
      <w:pPr>
        <w:ind w:left="820" w:hanging="356"/>
        <w:spacing w:after="0"/>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No Suspension</w:t>
      </w:r>
      <w:r>
        <w:rPr>
          <w:rFonts w:ascii="Arial" w:cs="Arial" w:eastAsia="Arial" w:hAnsi="Arial"/>
          <w:sz w:val="18"/>
          <w:szCs w:val="18"/>
          <w:color w:val="auto"/>
        </w:rPr>
        <w:t>. Trading in the Securities shall not have been suspended on the NYSE.</w:t>
      </w:r>
    </w:p>
    <w:p>
      <w:pPr>
        <w:spacing w:after="0" w:line="225" w:lineRule="exact"/>
        <w:rPr>
          <w:rFonts w:ascii="Arial" w:cs="Arial" w:eastAsia="Arial" w:hAnsi="Arial"/>
          <w:sz w:val="18"/>
          <w:szCs w:val="18"/>
          <w:color w:val="auto"/>
        </w:rPr>
      </w:pPr>
    </w:p>
    <w:p>
      <w:pPr>
        <w:jc w:val="both"/>
        <w:ind w:right="140" w:firstLine="464"/>
        <w:spacing w:after="0" w:line="259" w:lineRule="auto"/>
        <w:tabs>
          <w:tab w:leader="none" w:pos="806"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each date on which the Company is required to deliver a certificate pursuant to Section 7(o), counsel for Wells Fargo</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32" w:name="page33"/>
    <w:bookmarkEnd w:id="32"/>
    <w:p>
      <w:pPr>
        <w:ind w:left="-40" w:right="600" w:firstLine="464"/>
        <w:spacing w:after="0" w:line="308" w:lineRule="auto"/>
        <w:tabs>
          <w:tab w:leader="none" w:pos="806"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Act Filings Made</w:t>
      </w:r>
      <w:r>
        <w:rPr>
          <w:rFonts w:ascii="Arial" w:cs="Arial" w:eastAsia="Arial" w:hAnsi="Arial"/>
          <w:sz w:val="17"/>
          <w:szCs w:val="17"/>
          <w:color w:val="auto"/>
        </w:rPr>
        <w:t>. All filings with the Commission required by Rule 424 under the Securities Act to have been filed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of any Placement Notice hereunder shall have been made within the applicable time period prescribed for such filing by Rule 424.</w:t>
      </w:r>
    </w:p>
    <w:p>
      <w:pPr>
        <w:spacing w:after="0" w:line="146" w:lineRule="exact"/>
        <w:rPr>
          <w:rFonts w:ascii="Arial" w:cs="Arial" w:eastAsia="Arial" w:hAnsi="Arial"/>
          <w:sz w:val="17"/>
          <w:szCs w:val="17"/>
          <w:color w:val="auto"/>
        </w:rPr>
      </w:pPr>
    </w:p>
    <w:p>
      <w:pPr>
        <w:ind w:left="-40" w:right="40" w:firstLine="464"/>
        <w:spacing w:after="0" w:line="259" w:lineRule="auto"/>
        <w:tabs>
          <w:tab w:leader="none" w:pos="766"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any condition specified in this Section 9 shall not have been fulfilled in all material respects when and as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fulfilled, this Agreement may be terminated by Wells Fargo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187" w:lineRule="exact"/>
        <w:rPr>
          <w:sz w:val="20"/>
          <w:szCs w:val="20"/>
          <w:color w:val="auto"/>
        </w:rPr>
      </w:pPr>
    </w:p>
    <w:p>
      <w:pPr>
        <w:ind w:left="420"/>
        <w:spacing w:after="0"/>
        <w:tabs>
          <w:tab w:leader="none" w:pos="16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left="-40" w:right="100" w:firstLine="464"/>
        <w:spacing w:after="0" w:line="286" w:lineRule="auto"/>
        <w:tabs>
          <w:tab w:leader="none" w:pos="796"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by the Company. </w:t>
      </w:r>
      <w:r>
        <w:rPr>
          <w:rFonts w:ascii="Arial" w:cs="Arial" w:eastAsia="Arial" w:hAnsi="Arial"/>
          <w:sz w:val="16"/>
          <w:szCs w:val="16"/>
          <w:color w:val="auto"/>
        </w:rPr>
        <w:t>The Company will indemnify and hold harmless Wells Fargo, its affiliates, its directors, its officers and each</w:t>
      </w:r>
      <w:r>
        <w:rPr>
          <w:rFonts w:ascii="Arial" w:cs="Arial" w:eastAsia="Arial" w:hAnsi="Arial"/>
          <w:sz w:val="16"/>
          <w:szCs w:val="16"/>
          <w:i w:val="1"/>
          <w:iCs w:val="1"/>
          <w:color w:val="auto"/>
        </w:rPr>
        <w:t xml:space="preserve"> </w:t>
      </w:r>
      <w:r>
        <w:rPr>
          <w:rFonts w:ascii="Arial" w:cs="Arial" w:eastAsia="Arial" w:hAnsi="Arial"/>
          <w:sz w:val="16"/>
          <w:szCs w:val="16"/>
          <w:color w:val="auto"/>
        </w:rPr>
        <w:t>person, if any, who controls Wells Fargo, within the meaning of Section 15 of the Securities Act or Section 20 of the Exchange Act, against any losses, claims, damages or liabilities, joint or several, to which Wells Fargo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Wells Fargo for any legal or other expenses reasonably incurred by Wells Fargo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Wells Fargo expressly for use in the Prospectus, as amended or supplemented, relating to such Securities.</w:t>
      </w:r>
    </w:p>
    <w:p>
      <w:pPr>
        <w:spacing w:after="0" w:line="174" w:lineRule="exact"/>
        <w:rPr>
          <w:rFonts w:ascii="Arial" w:cs="Arial" w:eastAsia="Arial" w:hAnsi="Arial"/>
          <w:sz w:val="16"/>
          <w:szCs w:val="16"/>
          <w:color w:val="auto"/>
        </w:rPr>
      </w:pPr>
    </w:p>
    <w:p>
      <w:pPr>
        <w:ind w:left="-40" w:firstLine="464"/>
        <w:spacing w:after="0" w:line="293" w:lineRule="auto"/>
        <w:tabs>
          <w:tab w:leader="none" w:pos="806"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Indemnification by Wells Fargo</w:t>
      </w:r>
      <w:r>
        <w:rPr>
          <w:rFonts w:ascii="Arial" w:cs="Arial" w:eastAsia="Arial" w:hAnsi="Arial"/>
          <w:sz w:val="16"/>
          <w:szCs w:val="16"/>
          <w:color w:val="auto"/>
        </w:rPr>
        <w:t>. Wells Fargo will indemnify and hold harmless the Company, its trustees, its officers who signed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 relating to the Securities, or any amendment or supplement thereto, or arise out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80" w:top="274" w:right="259" w:bottom="1440" w:gutter="0" w:footer="0" w:header="0"/>
        </w:sectPr>
      </w:pPr>
    </w:p>
    <w:bookmarkStart w:id="33" w:name="page34"/>
    <w:bookmarkEnd w:id="33"/>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Wells Fargo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89" w:lineRule="exact"/>
        <w:rPr>
          <w:sz w:val="20"/>
          <w:szCs w:val="20"/>
          <w:color w:val="auto"/>
        </w:rPr>
      </w:pPr>
    </w:p>
    <w:p>
      <w:pPr>
        <w:ind w:firstLine="464"/>
        <w:spacing w:after="0" w:line="268" w:lineRule="auto"/>
        <w:tabs>
          <w:tab w:leader="none" w:pos="836"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Actions against Parties; Notification. </w:t>
      </w:r>
      <w:r>
        <w:rPr>
          <w:rFonts w:ascii="Arial" w:cs="Arial" w:eastAsia="Arial" w:hAnsi="Arial"/>
          <w:sz w:val="17"/>
          <w:szCs w:val="17"/>
          <w:color w:val="auto"/>
        </w:rPr>
        <w:t>Promptly after receipt by an indemnified party under subsection (a) or (b) above of notice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Wells Fargo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4" w:name="page35"/>
    <w:bookmarkEnd w:id="34"/>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under Section 10(c) above, then each indemnifying party shall contribute to such amount paid or payable by such indemnified party in such proportion as is appropriate to reflect not only such relative benefits but also the relative fault of the Company on the one hand and Wells Fargo on the other in connection with the statements or omissions which resulted in such losses, claims, damages or liabilities (or actions in respect thereof), as well as any other relevant equitable considerations. The relative benefits received by the Company on the one hand and Wells Fargo on the other shall be deemed to be in the same proportion as the total net proceeds from the offering of Securities pursuant to this Agreement (before deducting expenses) received by the Company bear to the total commissions received by Wells Fargo. The relative fault shall be determined by reference to, among other things, whether the untrue or alleged untrue statement of a material fact or the omission or alleged omission to state a material fact relates to information supplied by the Company on the one hand or Wells Fargo on the other and the parties’ relative intent, knowledge, access to information and opportunity to correct or prevent such statement or omission. The Company and Wells Fargo agree that it would not be just and 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 Notwithstanding the provisions of this Section 11, Wells Fargo shall not be required to contribute any amount in excess of the amount by which the total price at which the Securities sold by it and distributed to the public were offered to the public exceeds the amount of any damages which Wells Fargo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9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obligations of the Company under Section 10 and this Section 11 shall be in addition to any liability which the Company may otherwise have and shall extend, upon the same terms and conditions, to each person, if any, who controls Wells Fargo within the meaning of the Securities Act; and the obligations of Wells Fargo under Section 10 and this Section 11 shall be in addition to any liability which it may otherwise have and shall extend, upon the same terms and conditions, to each officer of the Company who signed the Registration Statement, to each trustee of the Company and to each person, if any, who controls the Company within the meaning of the Securities Act.</w:t>
      </w:r>
    </w:p>
    <w:p>
      <w:pPr>
        <w:spacing w:after="0" w:line="18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Representations, Warranties and Agreements to Survive Delivery</w:t>
      </w:r>
      <w:r>
        <w:rPr>
          <w:rFonts w:ascii="Arial" w:cs="Arial" w:eastAsia="Arial" w:hAnsi="Arial"/>
          <w:sz w:val="17"/>
          <w:szCs w:val="17"/>
          <w:color w:val="auto"/>
        </w:rPr>
        <w:t>. All indemnities, agreements representations, warranties and other statements contained in this Agreement or in certificates of officers of the Company or any subsidiary submitted pursuant hereto, shall remain operative and in full force and effect, regardless of any investigation (or any statement as to the results thereof) made by or on behalf of Wells Fargo or any controlling person, or by or on behalf of the Company or any controlling person, and shall survive delivery of the Securities to Wells Fargo.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5" w:name="page36"/>
    <w:bookmarkEnd w:id="35"/>
    <w:p>
      <w:pPr>
        <w:ind w:left="452"/>
        <w:spacing w:after="0"/>
        <w:tabs>
          <w:tab w:leader="none" w:pos="16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13.</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w:t>
      </w:r>
    </w:p>
    <w:p>
      <w:pPr>
        <w:spacing w:after="0" w:line="225" w:lineRule="exact"/>
        <w:rPr>
          <w:sz w:val="20"/>
          <w:szCs w:val="20"/>
          <w:color w:val="auto"/>
        </w:rPr>
      </w:pPr>
    </w:p>
    <w:p>
      <w:pPr>
        <w:ind w:left="-8" w:firstLine="464"/>
        <w:spacing w:after="0" w:line="287" w:lineRule="auto"/>
        <w:tabs>
          <w:tab w:leader="none" w:pos="828"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Termination; General. </w:t>
      </w:r>
      <w:r>
        <w:rPr>
          <w:rFonts w:ascii="Arial" w:cs="Arial" w:eastAsia="Arial" w:hAnsi="Arial"/>
          <w:sz w:val="16"/>
          <w:szCs w:val="16"/>
          <w:color w:val="auto"/>
        </w:rPr>
        <w:t>Wells Fargo may terminate this Agreement, by notice to the Company, as hereinafter specified at any time (i) if there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since the time of execution of this Agreement or since the date as of which information is given in the Prospectus, any material adverse change, or any development involving a prospective material adverse change, in or affecting the general affairs, management, financial position, shareholders’ equity or results of operations of the Company and its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Wells Fargo, impracticable or inadvisable to market the Securities or to enforce contracts for the sale of the Securities, or (iii) if trading in the Placement Securities has been suspended or limited by the Commission or the NYSE, or if trading generally on the NYSE Amex Equities, the NYSE or the Nasdaq Global Market has been suspended or limited, or minimum or 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168" w:lineRule="exact"/>
        <w:rPr>
          <w:rFonts w:ascii="Arial" w:cs="Arial" w:eastAsia="Arial" w:hAnsi="Arial"/>
          <w:sz w:val="16"/>
          <w:szCs w:val="16"/>
          <w:color w:val="auto"/>
        </w:rPr>
      </w:pPr>
    </w:p>
    <w:p>
      <w:pPr>
        <w:ind w:left="-8" w:right="60" w:firstLine="464"/>
        <w:spacing w:after="0" w:line="277" w:lineRule="auto"/>
        <w:tabs>
          <w:tab w:leader="none" w:pos="838"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the Company. </w:t>
      </w:r>
      <w:r>
        <w:rPr>
          <w:rFonts w:ascii="Arial" w:cs="Arial" w:eastAsia="Arial" w:hAnsi="Arial"/>
          <w:sz w:val="18"/>
          <w:szCs w:val="18"/>
          <w:color w:val="auto"/>
        </w:rPr>
        <w:t>The Company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left="-8" w:right="300" w:firstLine="464"/>
        <w:spacing w:after="0" w:line="277" w:lineRule="auto"/>
        <w:tabs>
          <w:tab w:leader="none" w:pos="828"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Wells Fargo. </w:t>
      </w:r>
      <w:r>
        <w:rPr>
          <w:rFonts w:ascii="Arial" w:cs="Arial" w:eastAsia="Arial" w:hAnsi="Arial"/>
          <w:sz w:val="18"/>
          <w:szCs w:val="18"/>
          <w:color w:val="auto"/>
        </w:rPr>
        <w:t>Wells Fargo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left="-8" w:right="20" w:firstLine="464"/>
        <w:spacing w:after="0" w:line="264" w:lineRule="auto"/>
        <w:tabs>
          <w:tab w:leader="none" w:pos="838"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Automatic Termination. </w:t>
      </w:r>
      <w:r>
        <w:rPr>
          <w:rFonts w:ascii="Arial" w:cs="Arial" w:eastAsia="Arial" w:hAnsi="Arial"/>
          <w:sz w:val="18"/>
          <w:szCs w:val="18"/>
          <w:color w:val="auto"/>
        </w:rPr>
        <w:t>Unless earlier terminated pursuant to this Section 13, this Agreement shall automatically terminate upon the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Placement Securities through Wells Fargo on the terms and subject to the conditions set forth herein with an aggregate offering price equal to the Maximum Amount set forth in Section 1 of this Agreement.</w:t>
      </w:r>
    </w:p>
    <w:p>
      <w:pPr>
        <w:spacing w:after="0" w:line="181" w:lineRule="exact"/>
        <w:rPr>
          <w:rFonts w:ascii="Arial" w:cs="Arial" w:eastAsia="Arial" w:hAnsi="Arial"/>
          <w:sz w:val="18"/>
          <w:szCs w:val="18"/>
          <w:color w:val="auto"/>
        </w:rPr>
      </w:pPr>
    </w:p>
    <w:p>
      <w:pPr>
        <w:ind w:left="832" w:hanging="376"/>
        <w:spacing w:after="0"/>
        <w:tabs>
          <w:tab w:leader="none" w:pos="832"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Continued Force and Effect. </w:t>
      </w:r>
      <w:r>
        <w:rPr>
          <w:rFonts w:ascii="Arial" w:cs="Arial" w:eastAsia="Arial" w:hAnsi="Arial"/>
          <w:sz w:val="17"/>
          <w:szCs w:val="17"/>
          <w:color w:val="auto"/>
        </w:rPr>
        <w:t>This Agreement shall remain in full force and effect unless terminated pursuant to Sections 13(a), (b), (c) or</w:t>
      </w:r>
    </w:p>
    <w:p>
      <w:pPr>
        <w:spacing w:after="0" w:line="34" w:lineRule="exact"/>
        <w:rPr>
          <w:rFonts w:ascii="Arial" w:cs="Arial" w:eastAsia="Arial" w:hAnsi="Arial"/>
          <w:sz w:val="17"/>
          <w:szCs w:val="17"/>
          <w:color w:val="auto"/>
        </w:rPr>
      </w:pPr>
    </w:p>
    <w:p>
      <w:pPr>
        <w:ind w:left="252" w:hanging="252"/>
        <w:spacing w:after="0"/>
        <w:tabs>
          <w:tab w:leader="none" w:pos="2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above or otherwise by mutual agreement of the parties.</w:t>
      </w:r>
    </w:p>
    <w:p>
      <w:pPr>
        <w:spacing w:after="0" w:line="210" w:lineRule="exact"/>
        <w:rPr>
          <w:rFonts w:ascii="Arial" w:cs="Arial" w:eastAsia="Arial" w:hAnsi="Arial"/>
          <w:sz w:val="18"/>
          <w:szCs w:val="18"/>
          <w:color w:val="auto"/>
        </w:rPr>
      </w:pPr>
    </w:p>
    <w:p>
      <w:pPr>
        <w:jc w:val="both"/>
        <w:ind w:left="-8" w:right="180" w:firstLine="464"/>
        <w:spacing w:after="0" w:line="259" w:lineRule="auto"/>
        <w:tabs>
          <w:tab w:leader="none" w:pos="808"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of Termination. </w:t>
      </w:r>
      <w:r>
        <w:rPr>
          <w:rFonts w:ascii="Arial" w:cs="Arial" w:eastAsia="Arial" w:hAnsi="Arial"/>
          <w:sz w:val="18"/>
          <w:szCs w:val="18"/>
          <w:color w:val="auto"/>
        </w:rPr>
        <w:t>Any termination of this Agreement shall be effective on the date specified in such notice of termination;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termination shall not be effective until the close of business on the date of receipt of such notice by Wells Fargo or the Company, as the case may be. If such termination shall occur prior to the Settlement Date for any sale of Placement Securities, such Placement Securities shall settle in accordance with the provisions of this Agreement.</w:t>
      </w:r>
    </w:p>
    <w:p>
      <w:pPr>
        <w:spacing w:after="0" w:line="11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52"/>
          </w:cols>
          <w:pgMar w:left="248" w:top="274" w:right="299" w:bottom="1440" w:gutter="0" w:footer="0" w:header="0"/>
        </w:sectPr>
      </w:pPr>
    </w:p>
    <w:bookmarkStart w:id="36" w:name="page37"/>
    <w:bookmarkEnd w:id="36"/>
    <w:p>
      <w:pPr>
        <w:ind w:right="180" w:firstLine="464"/>
        <w:spacing w:after="0" w:line="264" w:lineRule="auto"/>
        <w:tabs>
          <w:tab w:leader="none" w:pos="846"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Liabilities. </w:t>
      </w:r>
      <w:r>
        <w:rPr>
          <w:rFonts w:ascii="Arial" w:cs="Arial" w:eastAsia="Arial" w:hAnsi="Arial"/>
          <w:sz w:val="18"/>
          <w:szCs w:val="18"/>
          <w:color w:val="auto"/>
        </w:rPr>
        <w:t>If this Agreement is terminated pursuant to this Section 13, such termination shall be without liability of any party to any other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Section 8 hereof, and except that, in the case of any termination of this Agreement, Section 5, Section 10, Section 11, Section 12 and Section 22 hereof shall survive such termination and remain in full force and effect.</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provided in this Agreement, all notices and other communications hereunder shall be in writing and shall be deemed to have been duly given if mailed or transmitted by any standard form of telecommunication. Notices to Wells Fargo shall be directed to Wells Fargo Securities, LLC, 550 South Tryon Street, Charlotte, North Carolina 28202 Attention: Transaction Management, Facsimile: (704) 410-0326, Attention: Equity Syndicate Department; notices to the Company shall be directed to it at 1626 East Jefferson Street, Rockville, Maryland 20852, Attention: General Counsel, fax no. (301) 998-3715.</w:t>
      </w:r>
    </w:p>
    <w:p>
      <w:pPr>
        <w:spacing w:after="0" w:line="18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inure to the benefit of and be binding upon Wells Fargo, the Company and their respective successors. Nothing expressed or mentioned in this Agreement is intended or shall be construed to give any person, firm or corporation, other than Wells Fargo, the Company and their respective successors and the 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Wells Fargo, the Company and their respective successors, and said controlling persons and officers, trustees and directors and their heirs and legal representatives, and for the benefit of no other person, firm or corporation. No purchaser of Securities from Wells Fargo shall be deemed to be a successor by reason merely of such purchase.</w:t>
      </w:r>
    </w:p>
    <w:p>
      <w:pPr>
        <w:spacing w:after="0" w:line="16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stock-related numbers contained in this Agreement shall be adjusted to take into account any stock split, stock dividend or similar event effected with respect to the Securities.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SHALL BE GOVERNED BY AND CONSTRUED IN ACCORDANCE WITH THE LAWS OF THE STATE OF NEW YORK. SPECIFIED TIMES OF DAY REFER TO NEW YORK CITY TIME.</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124" w:lineRule="exact"/>
        <w:rPr>
          <w:sz w:val="20"/>
          <w:szCs w:val="20"/>
          <w:color w:val="auto"/>
        </w:rPr>
      </w:pPr>
    </w:p>
    <w:p>
      <w:pPr>
        <w:jc w:val="center"/>
        <w:ind w:left="340" w:right="360"/>
        <w:spacing w:after="0" w:line="449"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and Exhibit headings herein are for convenience only and shall not affect the construction hereof. 31</w:t>
      </w:r>
    </w:p>
    <w:p>
      <w:pPr>
        <w:sectPr>
          <w:pgSz w:w="11900" w:h="16838" w:orient="portrait"/>
          <w:cols w:equalWidth="0" w:num="1">
            <w:col w:w="11400"/>
          </w:cols>
          <w:pgMar w:left="240" w:top="274" w:right="259" w:bottom="1440" w:gutter="0" w:footer="0" w:header="0"/>
        </w:sectPr>
      </w:pPr>
    </w:p>
    <w:bookmarkStart w:id="37" w:name="page38"/>
    <w:bookmarkEnd w:id="37"/>
    <w:p>
      <w:pPr>
        <w:ind w:left="460"/>
        <w:spacing w:after="0"/>
        <w:tabs>
          <w:tab w:leader="none" w:pos="1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have the respective meanings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the time of each sale of any Securities pursuant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means the Company’s Declaration of Trust,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means the Commission’s Electronic Data Gathering, Analysis and Retrieval system.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 in each case in the form furnished (electronically or otherwise) to Wells Fargo for use in connection with the offering of the Securities.</w:t>
      </w:r>
    </w:p>
    <w:p>
      <w:pPr>
        <w:spacing w:after="0" w:line="17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Shares</w:t>
      </w:r>
      <w:r>
        <w:rPr>
          <w:rFonts w:ascii="Arial" w:cs="Arial" w:eastAsia="Arial" w:hAnsi="Arial"/>
          <w:sz w:val="16"/>
          <w:szCs w:val="16"/>
          <w:color w:val="auto"/>
        </w:rPr>
        <w:t>” means the Company’s preferred shares of beneficial interest, par value $.01 per share, including the Company’s outstanding 5.417% Series 1 Cumulative Convertible Preferred Shares and the Company’s outstanding 5.000% Series C Cumulative Redeemable Preferred Shares.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and the rules and regulations promulgated thereunder or implementing the provisions thereof.</w:t>
      </w:r>
    </w:p>
    <w:p>
      <w:pPr>
        <w:spacing w:after="0" w:line="170"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Securities by Wells Fargo outside of the United States.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38" w:name="page39"/>
    <w:bookmarkEnd w:id="38"/>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 </w:t>
      </w: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The Company represents, warrants and agrees that, unless it obtains the prior consent of Wells Fargo, and Wells Fargo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Wells Fargo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Exhibit F hereto are Permitted Free Writing Prospectuses.</w:t>
      </w:r>
    </w:p>
    <w:p>
      <w:pPr>
        <w:spacing w:after="0" w:line="166"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Absence of Fiduciary Relationship</w:t>
      </w:r>
      <w:r>
        <w:rPr>
          <w:rFonts w:ascii="Arial" w:cs="Arial" w:eastAsia="Arial" w:hAnsi="Arial"/>
          <w:sz w:val="16"/>
          <w:szCs w:val="16"/>
          <w:color w:val="auto"/>
        </w:rPr>
        <w:t>. The Company acknowledges and agrees that:</w:t>
      </w:r>
    </w:p>
    <w:p>
      <w:pPr>
        <w:spacing w:after="0" w:line="225" w:lineRule="exact"/>
        <w:rPr>
          <w:sz w:val="20"/>
          <w:szCs w:val="20"/>
          <w:color w:val="auto"/>
        </w:rPr>
      </w:pPr>
    </w:p>
    <w:p>
      <w:pPr>
        <w:ind w:firstLine="464"/>
        <w:spacing w:after="0" w:line="273" w:lineRule="auto"/>
        <w:tabs>
          <w:tab w:leader="none" w:pos="833"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Wells Fargo is acting solely as agent and/or principal in connection with the public offering of the Securities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Wells Fargo, on the other hand, has been or will be created in respect of any of the transactions contemplated by this Agreement, irrespective of whether or not Wells Fargo has advised or is advising the Company on other matters, and Wells Fargo has no obligation to the Company with respect to the transactions contemplated by this Agreement except the obligations expressly set forth in this Agreement;</w:t>
      </w:r>
    </w:p>
    <w:p>
      <w:pPr>
        <w:spacing w:after="0" w:line="178" w:lineRule="exact"/>
        <w:rPr>
          <w:rFonts w:ascii="Arial" w:cs="Arial" w:eastAsia="Arial" w:hAnsi="Arial"/>
          <w:sz w:val="17"/>
          <w:szCs w:val="17"/>
          <w:color w:val="auto"/>
        </w:rPr>
      </w:pPr>
    </w:p>
    <w:p>
      <w:pPr>
        <w:ind w:left="860" w:hanging="396"/>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public offering or minimum market price of the Securities set forth in this Agreement was not established by Wells Fargo;</w:t>
      </w:r>
    </w:p>
    <w:p>
      <w:pPr>
        <w:spacing w:after="0" w:line="225" w:lineRule="exact"/>
        <w:rPr>
          <w:rFonts w:ascii="Arial" w:cs="Arial" w:eastAsia="Arial" w:hAnsi="Arial"/>
          <w:sz w:val="18"/>
          <w:szCs w:val="18"/>
          <w:color w:val="auto"/>
        </w:rPr>
      </w:pPr>
    </w:p>
    <w:p>
      <w:pPr>
        <w:ind w:right="20" w:firstLine="464"/>
        <w:spacing w:after="0" w:line="277" w:lineRule="auto"/>
        <w:tabs>
          <w:tab w:leader="none" w:pos="8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ind w:right="100" w:firstLine="464"/>
        <w:spacing w:after="0" w:line="277" w:lineRule="auto"/>
        <w:tabs>
          <w:tab w:leader="none" w:pos="8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Wells Fargo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70" w:lineRule="exact"/>
        <w:rPr>
          <w:rFonts w:ascii="Arial" w:cs="Arial" w:eastAsia="Arial" w:hAnsi="Arial"/>
          <w:sz w:val="18"/>
          <w:szCs w:val="18"/>
          <w:color w:val="auto"/>
        </w:rPr>
      </w:pPr>
    </w:p>
    <w:p>
      <w:pPr>
        <w:ind w:right="200" w:firstLine="464"/>
        <w:spacing w:after="0" w:line="264" w:lineRule="auto"/>
        <w:tabs>
          <w:tab w:leader="none" w:pos="8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aware that Wells Fargo and its respective affiliates are engaged in a broad range of transactions which may involve interests that differ from those of the Company and Wells Fargo has no obligation to disclose such interests and transactions to the Company by virtue of any fiduciary, advisory or agency relationship or otherwise;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9" w:name="page40"/>
    <w:bookmarkEnd w:id="39"/>
    <w:p>
      <w:pPr>
        <w:jc w:val="both"/>
        <w:ind w:left="-464" w:firstLine="464"/>
        <w:spacing w:after="0" w:line="312" w:lineRule="auto"/>
        <w:tabs>
          <w:tab w:leader="none" w:pos="352"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waives, to the fullest extent permitted by law, any claims it may have against Wells Fargo for breach of fiduciary duty or alleged breach of fiduciary duty and agrees that Wells Fargo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359"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56"/>
          </w:cols>
          <w:pgMar w:left="704" w:top="274" w:right="739" w:bottom="1440" w:gutter="0" w:footer="0" w:header="0"/>
        </w:sectPr>
      </w:pPr>
    </w:p>
    <w:bookmarkStart w:id="40" w:name="page41"/>
    <w:bookmarkEnd w:id="40"/>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between Wells Fargo Securities, LLC and the Company in accordance with its terms.</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Guglielmone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-130810</wp:posOffset>
            </wp:positionV>
            <wp:extent cx="2752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Title:  Executive Vice President-Chief Financial Officer and</w:t>
      </w:r>
    </w:p>
    <w:p>
      <w:pPr>
        <w:spacing w:after="0" w:line="3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CONFIRMED AND ACCEPTED,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SECURITIES,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Elizabeth Alvarez</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-130810</wp:posOffset>
            </wp:positionV>
            <wp:extent cx="2752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240" w:top="274" w:right="399" w:bottom="1440" w:gutter="0" w:footer="0" w:header="0"/>
        </w:sectPr>
      </w:pPr>
    </w:p>
    <w:bookmarkStart w:id="41" w:name="page42"/>
    <w:bookmarkEnd w:id="41"/>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FORM OF PLACEMENT NOTICE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From:</w:t>
            </w: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330"/>
              <w:spacing w:after="0"/>
              <w:rPr>
                <w:sz w:val="20"/>
                <w:szCs w:val="20"/>
                <w:color w:val="auto"/>
              </w:rPr>
            </w:pPr>
            <w:r>
              <w:rPr>
                <w:rFonts w:ascii="Arial" w:cs="Arial" w:eastAsia="Arial" w:hAnsi="Arial"/>
                <w:sz w:val="18"/>
                <w:szCs w:val="18"/>
                <w:color w:val="auto"/>
              </w:rPr>
              <w:t>]</w:t>
            </w: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Cc:</w:t>
            </w: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330"/>
              <w:spacing w:after="0"/>
              <w:rPr>
                <w:sz w:val="20"/>
                <w:szCs w:val="20"/>
                <w:color w:val="auto"/>
              </w:rPr>
            </w:pPr>
            <w:r>
              <w:rPr>
                <w:rFonts w:ascii="Arial" w:cs="Arial" w:eastAsia="Arial" w:hAnsi="Arial"/>
                <w:sz w:val="18"/>
                <w:szCs w:val="18"/>
                <w:color w:val="auto"/>
              </w:rPr>
              <w:t>]</w:t>
            </w: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To:</w:t>
            </w: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330"/>
              <w:spacing w:after="0"/>
              <w:rPr>
                <w:sz w:val="20"/>
                <w:szCs w:val="20"/>
                <w:color w:val="auto"/>
              </w:rPr>
            </w:pPr>
            <w:r>
              <w:rPr>
                <w:rFonts w:ascii="Arial" w:cs="Arial" w:eastAsia="Arial" w:hAnsi="Arial"/>
                <w:sz w:val="18"/>
                <w:szCs w:val="18"/>
                <w:color w:val="auto"/>
              </w:rPr>
              <w:t>]</w:t>
            </w: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Subject:</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w w:val="97"/>
              </w:rPr>
              <w:t>Equity Distribution—Placement Notice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terms and subject to the conditions contained in the Equity Distribution Agreement between Federal Realty Investment Trust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Wells Fargo Securities, LLC (“</w:t>
      </w:r>
      <w:r>
        <w:rPr>
          <w:rFonts w:ascii="Arial" w:cs="Arial" w:eastAsia="Arial" w:hAnsi="Arial"/>
          <w:sz w:val="16"/>
          <w:szCs w:val="16"/>
          <w:u w:val="single" w:color="auto"/>
          <w:color w:val="auto"/>
        </w:rPr>
        <w:t>Wells Fargo</w:t>
      </w:r>
      <w:r>
        <w:rPr>
          <w:rFonts w:ascii="Arial" w:cs="Arial" w:eastAsia="Arial" w:hAnsi="Arial"/>
          <w:sz w:val="16"/>
          <w:szCs w:val="16"/>
          <w:color w:val="auto"/>
        </w:rPr>
        <w:t>”), dated May 7, 2018 (the “</w:t>
      </w:r>
      <w:r>
        <w:rPr>
          <w:rFonts w:ascii="Arial" w:cs="Arial" w:eastAsia="Arial" w:hAnsi="Arial"/>
          <w:sz w:val="16"/>
          <w:szCs w:val="16"/>
          <w:u w:val="single" w:color="auto"/>
          <w:color w:val="auto"/>
        </w:rPr>
        <w:t>Agreement</w:t>
      </w:r>
      <w:r>
        <w:rPr>
          <w:rFonts w:ascii="Arial" w:cs="Arial" w:eastAsia="Arial" w:hAnsi="Arial"/>
          <w:sz w:val="16"/>
          <w:szCs w:val="16"/>
          <w:color w:val="auto"/>
        </w:rPr>
        <w:t>”), I hereby request on behalf of the Company that Wells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Fargo sell up to [*]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of the Company’s common shares of beneficial interest, par value $.01 per share, at a minimum market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per share, and agree that the Company will pay Wells Fargo, as compensation for such sales, [*]% of the gross sales price of Placement Securities sold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this Placement Notice.</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ADDITIONAL SALES PARAMETERS MAY BE ADDED, SUCH AS THE TIME PERIOD IN WHICH SALES ARE REQUESTED TO BE MADE, SPECIFIC DATES THE SHARES MAY NOT BE SOLD ON, THE MANNER IN WHICH SALES ARE TO BE MADE BY WELLS FARGO AND/OR THE CAPACITY IN WHICH WELLS FARGO MAY ACT IN SELLING SHARES (AS PRINCIPAL, AGENT, OR BOTH).</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 A-1</w:t>
      </w:r>
    </w:p>
    <w:p>
      <w:pPr>
        <w:sectPr>
          <w:pgSz w:w="11900" w:h="16838" w:orient="portrait"/>
          <w:cols w:equalWidth="0" w:num="1">
            <w:col w:w="11280"/>
          </w:cols>
          <w:pgMar w:left="240" w:top="274" w:right="379" w:bottom="1440" w:gutter="0" w:footer="0" w:header="0"/>
        </w:sectPr>
      </w:pPr>
    </w:p>
    <w:bookmarkStart w:id="42" w:name="page43"/>
    <w:bookmarkEnd w:id="42"/>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u w:val="single" w:color="auto"/>
          <w:color w:val="auto"/>
        </w:rPr>
        <w:t>AUTHORIZED INDIVIDUALS FOR PLACEMENT NOTICES AND ACCEPTANCES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5"/>
          </w:tcPr>
          <w:p>
            <w:pPr>
              <w:spacing w:after="0"/>
              <w:rPr>
                <w:sz w:val="20"/>
                <w:szCs w:val="20"/>
                <w:color w:val="auto"/>
              </w:rPr>
            </w:pPr>
            <w:r>
              <w:rPr>
                <w:rFonts w:ascii="Arial" w:cs="Arial" w:eastAsia="Arial" w:hAnsi="Arial"/>
                <w:sz w:val="18"/>
                <w:szCs w:val="18"/>
                <w:b w:val="1"/>
                <w:bCs w:val="1"/>
                <w:color w:val="auto"/>
              </w:rPr>
              <w:t>Wells Fargo Securities, LLC</w:t>
            </w:r>
          </w:p>
        </w:tc>
        <w:tc>
          <w:tcPr>
            <w:tcW w:w="3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39"/>
        </w:trPr>
        <w:tc>
          <w:tcPr>
            <w:tcW w:w="21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center"/>
              <w:ind w:right="1400"/>
              <w:spacing w:after="0"/>
              <w:rPr>
                <w:sz w:val="20"/>
                <w:szCs w:val="20"/>
                <w:color w:val="auto"/>
              </w:rPr>
            </w:pPr>
            <w:r>
              <w:rPr>
                <w:rFonts w:ascii="Arial" w:cs="Arial" w:eastAsia="Arial" w:hAnsi="Arial"/>
                <w:sz w:val="18"/>
                <w:szCs w:val="18"/>
                <w:color w:val="auto"/>
                <w:w w:val="87"/>
              </w:rPr>
              <w:t>Name</w:t>
            </w:r>
          </w:p>
        </w:tc>
        <w:tc>
          <w:tcPr>
            <w:tcW w:w="3940" w:type="dxa"/>
            <w:vAlign w:val="bottom"/>
          </w:tcPr>
          <w:p>
            <w:pPr>
              <w:spacing w:after="0"/>
              <w:rPr>
                <w:sz w:val="24"/>
                <w:szCs w:val="24"/>
                <w:color w:val="auto"/>
              </w:rPr>
            </w:pPr>
          </w:p>
        </w:tc>
        <w:tc>
          <w:tcPr>
            <w:tcW w:w="1200" w:type="dxa"/>
            <w:vAlign w:val="bottom"/>
            <w:gridSpan w:val="2"/>
          </w:tcPr>
          <w:p>
            <w:pPr>
              <w:jc w:val="center"/>
              <w:ind w:right="780"/>
              <w:spacing w:after="0"/>
              <w:rPr>
                <w:sz w:val="20"/>
                <w:szCs w:val="20"/>
                <w:color w:val="auto"/>
              </w:rPr>
            </w:pPr>
            <w:r>
              <w:rPr>
                <w:rFonts w:ascii="Arial" w:cs="Arial" w:eastAsia="Arial" w:hAnsi="Arial"/>
                <w:sz w:val="18"/>
                <w:szCs w:val="18"/>
                <w:color w:val="auto"/>
                <w:w w:val="93"/>
              </w:rPr>
              <w:t>Email</w:t>
            </w:r>
          </w:p>
        </w:tc>
      </w:tr>
      <w:tr>
        <w:trPr>
          <w:trHeight w:val="345"/>
        </w:trPr>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324"/>
        </w:trPr>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color w:val="auto"/>
                <w:w w:val="96"/>
              </w:rPr>
              <w:t>●</w:t>
            </w:r>
            <w:r>
              <w:rPr>
                <w:rFonts w:ascii="Arial" w:cs="Arial" w:eastAsia="Arial" w:hAnsi="Arial"/>
                <w:sz w:val="18"/>
                <w:szCs w:val="18"/>
                <w:b w:val="1"/>
                <w:bCs w:val="1"/>
                <w:color w:val="auto"/>
                <w:w w:val="96"/>
              </w:rPr>
              <w:t>]</w:t>
            </w:r>
          </w:p>
        </w:tc>
        <w:tc>
          <w:tcPr>
            <w:tcW w:w="3940" w:type="dxa"/>
            <w:vAlign w:val="bottom"/>
          </w:tcPr>
          <w:p>
            <w:pPr>
              <w:spacing w:after="0"/>
              <w:rPr>
                <w:sz w:val="24"/>
                <w:szCs w:val="24"/>
                <w:color w:val="auto"/>
              </w:rPr>
            </w:pPr>
          </w:p>
        </w:tc>
        <w:tc>
          <w:tcPr>
            <w:tcW w:w="12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color w:val="auto"/>
                <w:w w:val="96"/>
              </w:rPr>
              <w:t>●</w:t>
            </w:r>
            <w:r>
              <w:rPr>
                <w:rFonts w:ascii="Arial" w:cs="Arial" w:eastAsia="Arial" w:hAnsi="Arial"/>
                <w:sz w:val="18"/>
                <w:szCs w:val="18"/>
                <w:b w:val="1"/>
                <w:bCs w:val="1"/>
                <w:color w:val="auto"/>
                <w:w w:val="96"/>
              </w:rPr>
              <w:t>]</w:t>
            </w:r>
          </w:p>
        </w:tc>
      </w:tr>
      <w:tr>
        <w:trPr>
          <w:trHeight w:val="500"/>
        </w:trPr>
        <w:tc>
          <w:tcPr>
            <w:tcW w:w="4500" w:type="dxa"/>
            <w:vAlign w:val="bottom"/>
            <w:gridSpan w:val="5"/>
          </w:tcPr>
          <w:p>
            <w:pPr>
              <w:spacing w:after="0"/>
              <w:rPr>
                <w:sz w:val="20"/>
                <w:szCs w:val="20"/>
                <w:color w:val="auto"/>
              </w:rPr>
            </w:pPr>
            <w:r>
              <w:rPr>
                <w:rFonts w:ascii="Arial" w:cs="Arial" w:eastAsia="Arial" w:hAnsi="Arial"/>
                <w:sz w:val="18"/>
                <w:szCs w:val="18"/>
                <w:b w:val="1"/>
                <w:bCs w:val="1"/>
                <w:color w:val="auto"/>
              </w:rPr>
              <w:t>Federal Realty Investment Trust</w:t>
            </w:r>
          </w:p>
        </w:tc>
        <w:tc>
          <w:tcPr>
            <w:tcW w:w="3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9"/>
        </w:trPr>
        <w:tc>
          <w:tcPr>
            <w:tcW w:w="2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center"/>
              <w:ind w:right="1400"/>
              <w:spacing w:after="0"/>
              <w:rPr>
                <w:sz w:val="20"/>
                <w:szCs w:val="20"/>
                <w:color w:val="auto"/>
              </w:rPr>
            </w:pPr>
            <w:r>
              <w:rPr>
                <w:rFonts w:ascii="Arial" w:cs="Arial" w:eastAsia="Arial" w:hAnsi="Arial"/>
                <w:sz w:val="18"/>
                <w:szCs w:val="18"/>
                <w:color w:val="auto"/>
                <w:w w:val="87"/>
              </w:rPr>
              <w:t>Name</w:t>
            </w:r>
          </w:p>
        </w:tc>
        <w:tc>
          <w:tcPr>
            <w:tcW w:w="3940" w:type="dxa"/>
            <w:vAlign w:val="bottom"/>
          </w:tcPr>
          <w:p>
            <w:pPr>
              <w:spacing w:after="0"/>
              <w:rPr>
                <w:sz w:val="24"/>
                <w:szCs w:val="24"/>
                <w:color w:val="auto"/>
              </w:rPr>
            </w:pPr>
          </w:p>
        </w:tc>
        <w:tc>
          <w:tcPr>
            <w:tcW w:w="1200" w:type="dxa"/>
            <w:vAlign w:val="bottom"/>
            <w:gridSpan w:val="2"/>
          </w:tcPr>
          <w:p>
            <w:pPr>
              <w:jc w:val="center"/>
              <w:ind w:right="780"/>
              <w:spacing w:after="0"/>
              <w:rPr>
                <w:sz w:val="20"/>
                <w:szCs w:val="20"/>
                <w:color w:val="auto"/>
              </w:rPr>
            </w:pPr>
            <w:r>
              <w:rPr>
                <w:rFonts w:ascii="Arial" w:cs="Arial" w:eastAsia="Arial" w:hAnsi="Arial"/>
                <w:sz w:val="18"/>
                <w:szCs w:val="18"/>
                <w:color w:val="auto"/>
                <w:w w:val="93"/>
              </w:rPr>
              <w:t>Email</w:t>
            </w:r>
          </w:p>
        </w:tc>
      </w:tr>
      <w:tr>
        <w:trPr>
          <w:trHeight w:val="20"/>
        </w:trPr>
        <w:tc>
          <w:tcPr>
            <w:tcW w:w="2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45"/>
        </w:trPr>
        <w:tc>
          <w:tcPr>
            <w:tcW w:w="2180" w:type="dxa"/>
            <w:vAlign w:val="bottom"/>
          </w:tcPr>
          <w:p>
            <w:pPr>
              <w:spacing w:after="0"/>
              <w:rPr>
                <w:sz w:val="24"/>
                <w:szCs w:val="24"/>
                <w:color w:val="auto"/>
              </w:rPr>
            </w:pPr>
          </w:p>
        </w:tc>
        <w:tc>
          <w:tcPr>
            <w:tcW w:w="2320" w:type="dxa"/>
            <w:vAlign w:val="bottom"/>
            <w:gridSpan w:val="4"/>
          </w:tcPr>
          <w:p>
            <w:pPr>
              <w:jc w:val="center"/>
              <w:ind w:right="900"/>
              <w:spacing w:after="0"/>
              <w:rPr>
                <w:sz w:val="20"/>
                <w:szCs w:val="20"/>
                <w:color w:val="auto"/>
              </w:rPr>
            </w:pPr>
            <w:r>
              <w:rPr>
                <w:rFonts w:ascii="Arial" w:cs="Arial" w:eastAsia="Arial" w:hAnsi="Arial"/>
                <w:sz w:val="18"/>
                <w:szCs w:val="18"/>
                <w:color w:val="auto"/>
                <w:w w:val="91"/>
              </w:rPr>
              <w:t>Don Wood</w:t>
            </w:r>
          </w:p>
        </w:tc>
        <w:tc>
          <w:tcPr>
            <w:tcW w:w="5140" w:type="dxa"/>
            <w:vAlign w:val="bottom"/>
            <w:gridSpan w:val="3"/>
          </w:tcPr>
          <w:p>
            <w:pPr>
              <w:jc w:val="center"/>
              <w:ind w:left="3070"/>
              <w:spacing w:after="0"/>
              <w:rPr>
                <w:sz w:val="20"/>
                <w:szCs w:val="20"/>
                <w:color w:val="auto"/>
              </w:rPr>
            </w:pPr>
            <w:r>
              <w:rPr>
                <w:rFonts w:ascii="Arial" w:cs="Arial" w:eastAsia="Arial" w:hAnsi="Arial"/>
                <w:sz w:val="18"/>
                <w:szCs w:val="18"/>
                <w:color w:val="auto"/>
                <w:w w:val="90"/>
              </w:rPr>
              <w:t>dwood@federalrealty.com</w:t>
            </w:r>
          </w:p>
        </w:tc>
      </w:tr>
      <w:tr>
        <w:trPr>
          <w:trHeight w:val="324"/>
        </w:trPr>
        <w:tc>
          <w:tcPr>
            <w:tcW w:w="2180" w:type="dxa"/>
            <w:vAlign w:val="bottom"/>
          </w:tcPr>
          <w:p>
            <w:pPr>
              <w:spacing w:after="0"/>
              <w:rPr>
                <w:sz w:val="24"/>
                <w:szCs w:val="24"/>
                <w:color w:val="auto"/>
              </w:rPr>
            </w:pPr>
          </w:p>
        </w:tc>
        <w:tc>
          <w:tcPr>
            <w:tcW w:w="2320" w:type="dxa"/>
            <w:vAlign w:val="bottom"/>
            <w:gridSpan w:val="4"/>
          </w:tcPr>
          <w:p>
            <w:pPr>
              <w:jc w:val="center"/>
              <w:ind w:right="900"/>
              <w:spacing w:after="0"/>
              <w:rPr>
                <w:sz w:val="20"/>
                <w:szCs w:val="20"/>
                <w:color w:val="auto"/>
              </w:rPr>
            </w:pPr>
            <w:r>
              <w:rPr>
                <w:rFonts w:ascii="Arial" w:cs="Arial" w:eastAsia="Arial" w:hAnsi="Arial"/>
                <w:sz w:val="18"/>
                <w:szCs w:val="18"/>
                <w:color w:val="auto"/>
                <w:w w:val="91"/>
              </w:rPr>
              <w:t>Dawn Becker</w:t>
            </w:r>
          </w:p>
        </w:tc>
        <w:tc>
          <w:tcPr>
            <w:tcW w:w="5140" w:type="dxa"/>
            <w:vAlign w:val="bottom"/>
            <w:gridSpan w:val="3"/>
          </w:tcPr>
          <w:p>
            <w:pPr>
              <w:jc w:val="center"/>
              <w:ind w:left="3070"/>
              <w:spacing w:after="0"/>
              <w:rPr>
                <w:sz w:val="20"/>
                <w:szCs w:val="20"/>
                <w:color w:val="auto"/>
              </w:rPr>
            </w:pPr>
            <w:r>
              <w:rPr>
                <w:rFonts w:ascii="Arial" w:cs="Arial" w:eastAsia="Arial" w:hAnsi="Arial"/>
                <w:sz w:val="18"/>
                <w:szCs w:val="18"/>
                <w:color w:val="auto"/>
                <w:w w:val="89"/>
              </w:rPr>
              <w:t>dbecker@federalrealty.com</w:t>
            </w:r>
          </w:p>
        </w:tc>
      </w:tr>
      <w:tr>
        <w:trPr>
          <w:trHeight w:val="324"/>
        </w:trPr>
        <w:tc>
          <w:tcPr>
            <w:tcW w:w="4500" w:type="dxa"/>
            <w:vAlign w:val="bottom"/>
            <w:gridSpan w:val="5"/>
          </w:tcPr>
          <w:p>
            <w:pPr>
              <w:jc w:val="center"/>
              <w:ind w:left="1190"/>
              <w:spacing w:after="0"/>
              <w:rPr>
                <w:sz w:val="20"/>
                <w:szCs w:val="20"/>
                <w:color w:val="auto"/>
              </w:rPr>
            </w:pPr>
            <w:r>
              <w:rPr>
                <w:rFonts w:ascii="Arial" w:cs="Arial" w:eastAsia="Arial" w:hAnsi="Arial"/>
                <w:sz w:val="18"/>
                <w:szCs w:val="18"/>
                <w:color w:val="auto"/>
                <w:w w:val="92"/>
              </w:rPr>
              <w:t>Daniel Guglielmone</w:t>
            </w:r>
          </w:p>
        </w:tc>
        <w:tc>
          <w:tcPr>
            <w:tcW w:w="5140" w:type="dxa"/>
            <w:vAlign w:val="bottom"/>
            <w:gridSpan w:val="3"/>
          </w:tcPr>
          <w:p>
            <w:pPr>
              <w:jc w:val="center"/>
              <w:ind w:left="3070"/>
              <w:spacing w:after="0"/>
              <w:rPr>
                <w:sz w:val="20"/>
                <w:szCs w:val="20"/>
                <w:color w:val="auto"/>
              </w:rPr>
            </w:pPr>
            <w:r>
              <w:rPr>
                <w:rFonts w:ascii="Arial" w:cs="Arial" w:eastAsia="Arial" w:hAnsi="Arial"/>
                <w:sz w:val="18"/>
                <w:szCs w:val="18"/>
                <w:color w:val="auto"/>
                <w:w w:val="90"/>
              </w:rPr>
              <w:t>dang@federalrealty.com</w:t>
            </w:r>
          </w:p>
        </w:tc>
      </w:tr>
      <w:tr>
        <w:trPr>
          <w:trHeight w:val="365"/>
        </w:trPr>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140" w:type="dxa"/>
            <w:vAlign w:val="bottom"/>
            <w:gridSpan w:val="3"/>
          </w:tcPr>
          <w:p>
            <w:pPr>
              <w:ind w:left="880"/>
              <w:spacing w:after="0"/>
              <w:rPr>
                <w:sz w:val="20"/>
                <w:szCs w:val="20"/>
                <w:color w:val="auto"/>
              </w:rPr>
            </w:pPr>
            <w:r>
              <w:rPr>
                <w:rFonts w:ascii="Arial" w:cs="Arial" w:eastAsia="Arial" w:hAnsi="Arial"/>
                <w:sz w:val="18"/>
                <w:szCs w:val="18"/>
                <w:color w:val="auto"/>
              </w:rPr>
              <w:t>Exh. B-1</w:t>
            </w:r>
          </w:p>
        </w:tc>
      </w:tr>
    </w:tbl>
    <w:p>
      <w:pPr>
        <w:sectPr>
          <w:pgSz w:w="11900" w:h="16838" w:orient="portrait"/>
          <w:cols w:equalWidth="0" w:num="1">
            <w:col w:w="10219"/>
          </w:cols>
          <w:pgMar w:left="240" w:top="274"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Wells Fargo shall be paid compensation at a mutually agreed rate not to exceed 2.00% of the gross sales price of Securities sold pursuant to the terms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C-1</w:t>
      </w:r>
    </w:p>
    <w:p>
      <w:pPr>
        <w:sectPr>
          <w:pgSz w:w="11900" w:h="16838" w:orient="portrait"/>
          <w:cols w:equalWidth="0" w:num="1">
            <w:col w:w="11400"/>
          </w:cols>
          <w:pgMar w:left="240" w:top="274" w:right="25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FORM OF OPINION OF PILLSBURY WINTHROP SHAW PITTMAN LLP (CORPORATE)</w:t>
      </w:r>
    </w:p>
    <w:p>
      <w:pPr>
        <w:sectPr>
          <w:pgSz w:w="11900" w:h="16838" w:orient="portrait"/>
          <w:cols w:equalWidth="0" w:num="1">
            <w:col w:w="9019"/>
          </w:cols>
          <w:pgMar w:left="1440" w:top="274"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OPINION OF PILLSBURY WINTHROP SHAW PITTMAN LLP (TAX)</w:t>
      </w:r>
    </w:p>
    <w:p>
      <w:pPr>
        <w:sectPr>
          <w:pgSz w:w="11900" w:h="16838" w:orient="portrait"/>
          <w:cols w:equalWidth="0" w:num="1">
            <w:col w:w="9019"/>
          </w:cols>
          <w:pgMar w:left="1440" w:top="274"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 CERTIFICATE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undersigned, [*], the duly qualified and elected [*] of Federal Realty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a Maryland real estate investment trust, does hereby certify on behalf of the Company, pursuant to Section 7(o) of the Equity Distribution Agreement dated May [7], 2018 (the “</w:t>
      </w:r>
      <w:r>
        <w:rPr>
          <w:rFonts w:ascii="Arial" w:cs="Arial" w:eastAsia="Arial" w:hAnsi="Arial"/>
          <w:sz w:val="18"/>
          <w:szCs w:val="18"/>
          <w:u w:val="single" w:color="auto"/>
          <w:color w:val="auto"/>
        </w:rPr>
        <w:t>Agreement</w:t>
      </w:r>
      <w:r>
        <w:rPr>
          <w:rFonts w:ascii="Arial" w:cs="Arial" w:eastAsia="Arial" w:hAnsi="Arial"/>
          <w:sz w:val="18"/>
          <w:szCs w:val="18"/>
          <w:color w:val="auto"/>
        </w:rPr>
        <w:t>”) between the Company and Wells Fargo Securities, LLC (the “</w:t>
      </w:r>
      <w:r>
        <w:rPr>
          <w:rFonts w:ascii="Arial" w:cs="Arial" w:eastAsia="Arial" w:hAnsi="Arial"/>
          <w:sz w:val="18"/>
          <w:szCs w:val="18"/>
          <w:u w:val="single" w:color="auto"/>
          <w:color w:val="auto"/>
        </w:rPr>
        <w:t>Agent</w:t>
      </w:r>
      <w:r>
        <w:rPr>
          <w:rFonts w:ascii="Arial" w:cs="Arial" w:eastAsia="Arial" w:hAnsi="Arial"/>
          <w:sz w:val="18"/>
          <w:szCs w:val="18"/>
          <w:color w:val="auto"/>
        </w:rPr>
        <w:t>”), that to the knowledge of the undersigned:</w:t>
      </w:r>
    </w:p>
    <w:p>
      <w:pPr>
        <w:spacing w:after="0" w:line="181" w:lineRule="exact"/>
        <w:rPr>
          <w:sz w:val="20"/>
          <w:szCs w:val="20"/>
          <w:color w:val="auto"/>
        </w:rPr>
      </w:pPr>
    </w:p>
    <w:p>
      <w:pPr>
        <w:ind w:right="20" w:firstLine="464"/>
        <w:spacing w:after="0" w:line="255" w:lineRule="auto"/>
        <w:tabs>
          <w:tab w:leader="none" w:pos="8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9" w:lineRule="exact"/>
        <w:rPr>
          <w:rFonts w:ascii="Arial" w:cs="Arial" w:eastAsia="Arial" w:hAnsi="Arial"/>
          <w:sz w:val="18"/>
          <w:szCs w:val="18"/>
          <w:color w:val="auto"/>
        </w:rPr>
      </w:pPr>
    </w:p>
    <w:p>
      <w:pPr>
        <w:ind w:right="640" w:firstLine="464"/>
        <w:spacing w:after="0" w:line="277" w:lineRule="auto"/>
        <w:tabs>
          <w:tab w:leader="none" w:pos="8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agreements and satisfied all conditions on its part to be performed or satisfied pursuant to the Agreement at or prior to the date hereof (other than those conditions waived by the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but not otherwise defined shall have the meanings assigned to such terms in the Agreement.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E-1</w:t>
      </w:r>
    </w:p>
    <w:p>
      <w:pPr>
        <w:sectPr>
          <w:pgSz w:w="11900" w:h="16838" w:orient="portrait"/>
          <w:cols w:equalWidth="0" w:num="1">
            <w:col w:w="11420"/>
          </w:cols>
          <w:pgMar w:left="240" w:top="27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PERMITTED FREE WRITING PROSPECTUSES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Dated: May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9880" w:type="dxa"/>
            <w:vAlign w:val="bottom"/>
            <w:gridSpan w:val="3"/>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0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3560" w:type="dxa"/>
            <w:vAlign w:val="bottom"/>
            <w:vMerge w:val="restart"/>
          </w:tcPr>
          <w:p>
            <w:pPr>
              <w:ind w:left="140"/>
              <w:spacing w:after="0"/>
              <w:rPr>
                <w:sz w:val="20"/>
                <w:szCs w:val="20"/>
                <w:color w:val="auto"/>
              </w:rPr>
            </w:pPr>
            <w:r>
              <w:rPr>
                <w:rFonts w:ascii="Arial" w:cs="Arial" w:eastAsia="Arial" w:hAnsi="Arial"/>
                <w:sz w:val="18"/>
                <w:szCs w:val="18"/>
                <w:color w:val="auto"/>
              </w:rPr>
              <w:t>Description of Securities</w:t>
            </w:r>
          </w:p>
        </w:tc>
        <w:tc>
          <w:tcPr>
            <w:tcW w:w="1920" w:type="dxa"/>
            <w:vAlign w:val="bottom"/>
            <w:tcBorders>
              <w:top w:val="single" w:sz="8" w:color="auto"/>
              <w:bottom w:val="single" w:sz="8" w:color="auto"/>
            </w:tcBorders>
            <w:vMerge w:val="restart"/>
          </w:tcPr>
          <w:p>
            <w:pPr>
              <w:spacing w:after="0"/>
              <w:rPr>
                <w:sz w:val="24"/>
                <w:szCs w:val="24"/>
                <w:color w:val="auto"/>
              </w:rPr>
            </w:pPr>
          </w:p>
        </w:tc>
        <w:tc>
          <w:tcPr>
            <w:tcW w:w="4400" w:type="dxa"/>
            <w:vAlign w:val="bottom"/>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200" w:type="dxa"/>
            <w:vAlign w:val="bottom"/>
            <w:vMerge w:val="continue"/>
          </w:tcPr>
          <w:p>
            <w:pPr>
              <w:spacing w:after="0"/>
              <w:rPr>
                <w:sz w:val="16"/>
                <w:szCs w:val="16"/>
                <w:color w:val="auto"/>
              </w:rPr>
            </w:pPr>
          </w:p>
        </w:tc>
        <w:tc>
          <w:tcPr>
            <w:tcW w:w="3560" w:type="dxa"/>
            <w:vAlign w:val="bottom"/>
            <w:vMerge w:val="continue"/>
          </w:tcPr>
          <w:p>
            <w:pPr>
              <w:spacing w:after="0"/>
              <w:rPr>
                <w:sz w:val="16"/>
                <w:szCs w:val="16"/>
                <w:color w:val="auto"/>
              </w:rPr>
            </w:pPr>
          </w:p>
        </w:tc>
        <w:tc>
          <w:tcPr>
            <w:tcW w:w="1920" w:type="dxa"/>
            <w:vAlign w:val="bottom"/>
            <w:vMerge w:val="continue"/>
          </w:tcPr>
          <w:p>
            <w:pPr>
              <w:spacing w:after="0"/>
              <w:rPr>
                <w:sz w:val="16"/>
                <w:szCs w:val="16"/>
                <w:color w:val="auto"/>
              </w:rPr>
            </w:pPr>
          </w:p>
        </w:tc>
        <w:tc>
          <w:tcPr>
            <w:tcW w:w="4400" w:type="dxa"/>
            <w:vAlign w:val="bottom"/>
            <w:vMerge w:val="continue"/>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Placements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Sale of Placement Securities by Merrill Lynch</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Suspension of Sales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Sale and Delivery to Merrill Lynch; Settlement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Covenants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Payment of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9.</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Conditions of Merrill Lynch’s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Representations, Warranties and Agreements to Survive Delivery</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13.</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Termination of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14.</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15.</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Adjustments for Stock Splits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17.</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Governing Law and Time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18.</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19.</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Effect of 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21.</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Permitted Free Writing Prospectuses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22.</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Absence of Fiduciary Relationship</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57" w:right="299" w:bottom="1440" w:gutter="0" w:footer="0" w:header="0"/>
        </w:sectPr>
      </w:pPr>
    </w:p>
    <w:bookmarkStart w:id="50" w:name="page51"/>
    <w:bookmarkEnd w:id="50"/>
    <w:p>
      <w:pPr>
        <w:jc w:val="center"/>
        <w:ind w:right="-12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3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7"/>
          <w:szCs w:val="17"/>
          <w:color w:val="auto"/>
        </w:rPr>
        <w:t>— Form of Placement Notice</w:t>
      </w:r>
    </w:p>
    <w:p>
      <w:pPr>
        <w:spacing w:after="0" w:line="23" w:lineRule="exact"/>
        <w:rPr>
          <w:sz w:val="20"/>
          <w:szCs w:val="20"/>
          <w:color w:val="auto"/>
        </w:rPr>
      </w:pPr>
    </w:p>
    <w:p>
      <w:pPr>
        <w:ind w:right="4339"/>
        <w:spacing w:after="0" w:line="250" w:lineRule="auto"/>
        <w:rPr>
          <w:sz w:val="20"/>
          <w:szCs w:val="20"/>
          <w:color w:val="auto"/>
        </w:rPr>
      </w:pPr>
      <w:r>
        <w:rPr>
          <w:rFonts w:ascii="Arial" w:cs="Arial" w:eastAsia="Arial" w:hAnsi="Arial"/>
          <w:sz w:val="18"/>
          <w:szCs w:val="18"/>
          <w:color w:val="auto"/>
        </w:rPr>
        <w:t>Exhibit B — Authorized Individuals for Placement Notices and Acceptances Exhibit C — Compensation</w:t>
      </w:r>
    </w:p>
    <w:p>
      <w:pPr>
        <w:spacing w:after="0" w:line="1" w:lineRule="exact"/>
        <w:rPr>
          <w:sz w:val="20"/>
          <w:szCs w:val="20"/>
          <w:color w:val="auto"/>
        </w:rPr>
      </w:pPr>
    </w:p>
    <w:p>
      <w:pPr>
        <w:ind w:right="3779"/>
        <w:spacing w:after="0" w:line="250" w:lineRule="auto"/>
        <w:rPr>
          <w:sz w:val="20"/>
          <w:szCs w:val="20"/>
          <w:color w:val="auto"/>
        </w:rPr>
      </w:pPr>
      <w:r>
        <w:rPr>
          <w:rFonts w:ascii="Arial" w:cs="Arial" w:eastAsia="Arial" w:hAnsi="Arial"/>
          <w:sz w:val="18"/>
          <w:szCs w:val="18"/>
          <w:color w:val="auto"/>
        </w:rPr>
        <w:t>Exhibit D-1 — Form of Opinion of Pillsbury Winthrop Shaw Pittman LLP (Corporate) Exhibit D-2 — Form of Opinion of Pillsbury Winthrop Shaw Pittman LLP (Tax) Exhibit E — Officer’s Certificate</w:t>
      </w:r>
    </w:p>
    <w:p>
      <w:pPr>
        <w:spacing w:after="0" w:line="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 Permitted Free Writing Prospectuses</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270"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Maryland Real Estate Investment Trust)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Federal Realty Investment Trust, a Maryland real estate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Merrill Lynch, Pierce, Fenner &amp; Smith Incorporated (“</w:t>
      </w:r>
      <w:r>
        <w:rPr>
          <w:rFonts w:ascii="Arial" w:cs="Arial" w:eastAsia="Arial" w:hAnsi="Arial"/>
          <w:sz w:val="18"/>
          <w:szCs w:val="18"/>
          <w:u w:val="single" w:color="auto"/>
          <w:color w:val="auto"/>
        </w:rPr>
        <w:t>Merrill Lynch</w:t>
      </w:r>
      <w:r>
        <w:rPr>
          <w:rFonts w:ascii="Arial" w:cs="Arial" w:eastAsia="Arial" w:hAnsi="Arial"/>
          <w:sz w:val="18"/>
          <w:szCs w:val="18"/>
          <w:color w:val="auto"/>
        </w:rPr>
        <w:t>”), as follows: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Description of Securities</w:t>
      </w:r>
      <w:r>
        <w:rPr>
          <w:rFonts w:ascii="Arial" w:cs="Arial" w:eastAsia="Arial" w:hAnsi="Arial"/>
          <w:sz w:val="17"/>
          <w:szCs w:val="17"/>
          <w:color w:val="auto"/>
        </w:rPr>
        <w:t>. The Company agrees that, from time to time during the term of this Agreement, on the terms and subject to the conditions set forth herein, the Company may issue and sell through Merrill Lynch, acting as agent and/or principal, its common shares of beneficial interest, par value $.01 per share (the “</w:t>
      </w:r>
      <w:r>
        <w:rPr>
          <w:rFonts w:ascii="Arial" w:cs="Arial" w:eastAsia="Arial" w:hAnsi="Arial"/>
          <w:sz w:val="17"/>
          <w:szCs w:val="17"/>
          <w:u w:val="single" w:color="auto"/>
          <w:color w:val="auto"/>
        </w:rPr>
        <w:t>Common Shares</w:t>
      </w:r>
      <w:r>
        <w:rPr>
          <w:rFonts w:ascii="Arial" w:cs="Arial" w:eastAsia="Arial" w:hAnsi="Arial"/>
          <w:sz w:val="17"/>
          <w:szCs w:val="17"/>
          <w:color w:val="auto"/>
        </w:rPr>
        <w:t>”), having an aggregate offering price of up to $400,000,000 (the “</w:t>
      </w:r>
      <w:r>
        <w:rPr>
          <w:rFonts w:ascii="Arial" w:cs="Arial" w:eastAsia="Arial" w:hAnsi="Arial"/>
          <w:sz w:val="17"/>
          <w:szCs w:val="17"/>
          <w:u w:val="single" w:color="auto"/>
          <w:color w:val="auto"/>
        </w:rPr>
        <w:t>Maximum Amount</w:t>
      </w:r>
      <w:r>
        <w:rPr>
          <w:rFonts w:ascii="Arial" w:cs="Arial" w:eastAsia="Arial" w:hAnsi="Arial"/>
          <w:sz w:val="17"/>
          <w:szCs w:val="17"/>
          <w:color w:val="auto"/>
        </w:rPr>
        <w:t>”). The Common Shares sold pursuant to this Agreement, up to the Maximum Amount, shall be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 Notwithstanding anything to the contrary contained herein, the parties hereto agree that compliance with the limitations set forth in this Section 1 regarding the aggregate offering price of the Securities issued and sold under this Agreement shall be the sole responsibility of the Company, and Merrill Lynch shall have no obligation in connection with such compliance. The issuance and sale of the Securities through Merrill Lynch will be effected pursuant to the Registration Statement (as defined below) that was filed by the Company and became effective upon filing under Rule 462(e) of the Securities Act of 1933, as amended, and the rules and regulations thereunder (collectively,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t>
      </w:r>
      <w:r>
        <w:rPr>
          <w:rFonts w:ascii="Arial" w:cs="Arial" w:eastAsia="Arial" w:hAnsi="Arial"/>
          <w:sz w:val="17"/>
          <w:szCs w:val="17"/>
          <w:u w:val="single" w:color="auto"/>
          <w:color w:val="auto"/>
        </w:rPr>
        <w:t>Rule 462(e)</w:t>
      </w:r>
      <w:r>
        <w:rPr>
          <w:rFonts w:ascii="Arial" w:cs="Arial" w:eastAsia="Arial" w:hAnsi="Arial"/>
          <w:sz w:val="17"/>
          <w:szCs w:val="17"/>
          <w:color w:val="auto"/>
        </w:rPr>
        <w:t>”), although nothing in this Agreement shall be construed as requiring the Company to use the Registration Statement to issue the Securities.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has filed, in accordance with the provisions of the Securities Act,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an automatic shelf registration statement on Form S-3 (File No. 333-224701), including a base prospectus, relating to certain securities, including the Securities,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Company has prepared a prospectus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52" w:name="page53"/>
    <w:bookmarkEnd w:id="5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 specifically relating to the Securities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to the base prospectus included as part of such registration statement. The Company will furnish to Merrill Lynch, for use by Merrill Lynch, copies of the prospectus included as part of such registration statement, as supplemented by the Prospectus Supplement, relating to the Securities.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(the “</w:t>
      </w:r>
      <w:r>
        <w:rPr>
          <w:rFonts w:ascii="Arial" w:cs="Arial" w:eastAsia="Arial" w:hAnsi="Arial"/>
          <w:sz w:val="16"/>
          <w:szCs w:val="16"/>
          <w:u w:val="single" w:color="auto"/>
          <w:color w:val="auto"/>
        </w:rPr>
        <w:t>Rule 430B Information</w:t>
      </w:r>
      <w:r>
        <w:rPr>
          <w:rFonts w:ascii="Arial" w:cs="Arial" w:eastAsia="Arial" w:hAnsi="Arial"/>
          <w:sz w:val="16"/>
          <w:szCs w:val="16"/>
          <w:color w:val="auto"/>
        </w:rPr>
        <w:t>”) of the Securities Act,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at the time it originally became effective is herein called the “</w:t>
      </w:r>
      <w:r>
        <w:rPr>
          <w:rFonts w:ascii="Arial" w:cs="Arial" w:eastAsia="Arial" w:hAnsi="Arial"/>
          <w:sz w:val="16"/>
          <w:szCs w:val="16"/>
          <w:u w:val="single" w:color="auto"/>
          <w:color w:val="auto"/>
        </w:rPr>
        <w:t>Original 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172"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The Company has also entered into separate equity distribution agreements (the “</w:t>
      </w:r>
      <w:r>
        <w:rPr>
          <w:rFonts w:ascii="Arial" w:cs="Arial" w:eastAsia="Arial" w:hAnsi="Arial"/>
          <w:sz w:val="16"/>
          <w:szCs w:val="16"/>
          <w:u w:val="single" w:color="auto"/>
          <w:color w:val="auto"/>
        </w:rPr>
        <w:t>Alternative Distribution Agreements</w:t>
      </w:r>
      <w:r>
        <w:rPr>
          <w:rFonts w:ascii="Arial" w:cs="Arial" w:eastAsia="Arial" w:hAnsi="Arial"/>
          <w:sz w:val="16"/>
          <w:szCs w:val="16"/>
          <w:color w:val="auto"/>
        </w:rPr>
        <w:t>”), of even date herewith, with each of Wells Fargo Securities, LLC and Merrill Lynch, Pierce, Fenner &amp; Smith Incorporated (together, the “</w:t>
      </w:r>
      <w:r>
        <w:rPr>
          <w:rFonts w:ascii="Arial" w:cs="Arial" w:eastAsia="Arial" w:hAnsi="Arial"/>
          <w:sz w:val="16"/>
          <w:szCs w:val="16"/>
          <w:u w:val="single" w:color="auto"/>
          <w:color w:val="auto"/>
        </w:rPr>
        <w:t>Alternative Agents</w:t>
      </w:r>
      <w:r>
        <w:rPr>
          <w:rFonts w:ascii="Arial" w:cs="Arial" w:eastAsia="Arial" w:hAnsi="Arial"/>
          <w:sz w:val="16"/>
          <w:szCs w:val="16"/>
          <w:color w:val="auto"/>
        </w:rPr>
        <w:t>”). The aggregate offering price of the Securities that may be sold pursuant to this Agreement and the Alternative Distribution Agreements shall not exceed the Maximum Amount.</w:t>
      </w:r>
    </w:p>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Securities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Merrill Lynch by email notice (or other method mutually agreed to in writing by the parties) (a “</w:t>
      </w:r>
      <w:r>
        <w:rPr>
          <w:rFonts w:ascii="Arial" w:cs="Arial" w:eastAsia="Arial" w:hAnsi="Arial"/>
          <w:sz w:val="16"/>
          <w:szCs w:val="16"/>
          <w:u w:val="single" w:color="auto"/>
          <w:color w:val="auto"/>
        </w:rPr>
        <w:t>Placement Notice</w:t>
      </w:r>
      <w:r>
        <w:rPr>
          <w:rFonts w:ascii="Arial" w:cs="Arial" w:eastAsia="Arial" w:hAnsi="Arial"/>
          <w:sz w:val="16"/>
          <w:szCs w:val="16"/>
          <w:color w:val="auto"/>
        </w:rPr>
        <w:t xml:space="preserve">”), a form of which containing such minimum sales parameters necessary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containing the parameters in accordance with which it desires the Securities to be sold, which shall at a minimum include (a) the number of Securities to be issued (the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(b) the time period during which sales are requested to be made,</w:t>
      </w:r>
    </w:p>
    <w:p>
      <w:pPr>
        <w:spacing w:after="0" w:line="2" w:lineRule="exact"/>
        <w:rPr>
          <w:sz w:val="20"/>
          <w:szCs w:val="20"/>
          <w:color w:val="auto"/>
        </w:rPr>
      </w:pPr>
    </w:p>
    <w:p>
      <w:pPr>
        <w:ind w:right="40" w:firstLine="8"/>
        <w:spacing w:after="0" w:line="254"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any limitation on the number of Placement Securities that may be sold in any one day and (d) any minimum price below which sales may not be made. The Placement Notice shall originate from any of the individuals from the Company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 a copy to each of the other individuals from the Company listed on such schedule), and shall be addressed to each of the individuals from Merrill Lynch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(any reference to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contained herein shall refer to such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may be amended from time to time).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3" w:name="page54"/>
    <w:bookmarkEnd w:id="53"/>
    <w:p>
      <w:pPr>
        <w:ind w:right="6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Merrill Lynch wishes to accept such proposed terms included in the Placement Notice (which it may decline to do for any reason in its sole discretion) or, following discussion with the Company, wishes to accept amended terms, Merrill Lynch will, prior to 4:30 p.m. (New York City Time) on the business day following the business day on which such Placement Notice is delivered to Merrill Lynch, issue to the Company a notice by email (or other method mutually agreed to in writing by the parties) addressed to all of the individuals from the Company and Merrill Lynch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setting forth the terms that Merrill Lynch is willing to accept. Where the terms provided in the Placement Notice are amended as provided for in the immediately preceding sentence, such terms will not be binding on the Company or Merrill Lynch until the Company delivers to Merrill Lynch an acceptance by email (or other method mutually agreed to in writing by the parties) of all of the terms of such Placement Notice, as amended (the “</w:t>
      </w: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Merrill Lynch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Placement Notice (as amended by the corresponding Acceptance, if applicable) shall be effective upon receipt by the Company of Merrill Lynch’s acceptance of the terms of the Placement Notice or upon receipt by Merrill Lynch of the Company’s Acceptance, as the case may be, unless and until (i) the entire amount of the Placement Securities has been sold, (ii) the Company terminates the Placement Notice by delivering a termination notice by email (or other method mutually agreed to in writing by the parties) expressly indicating that the Company desires to terminate the Placement Notice,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Merrill Lynch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(iii) 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The amount of any commission, discount or other compensation to be paid by the Company to Merrill Lynch, when Merrill Lynch is acting as agent, in connection with the sale of the Placement Securities shall be calculated in accordance with the terms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It is expressly acknowledged and agreed that neither the Company nor Merrill Lynch will have any obligation whatsoever with respect to a Placement or any Placement Securities unless and until the Company delivers a Placement Notice to Merrill Lynch and either (i) Merrill Lynch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7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Sale of Placement Securities by Merrill Lynch</w:t>
      </w:r>
      <w:r>
        <w:rPr>
          <w:rFonts w:ascii="Arial" w:cs="Arial" w:eastAsia="Arial" w:hAnsi="Arial"/>
          <w:sz w:val="16"/>
          <w:szCs w:val="16"/>
          <w:color w:val="auto"/>
        </w:rPr>
        <w:t>. Subject to the provisions of Section 6(a), Merrill Lynch, for the period specified in the Placement Notice (as amended by the corresponding Acceptance, if applicable), will use its commercially reasonable efforts consistent with its normal trading and sales practices to sell the Placement Securities up to the amount specified, and otherwise in accordance with the terms of such Placement Notice (as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4" w:name="page55"/>
    <w:bookmarkEnd w:id="54"/>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by the corresponding Acceptance, if applicable). Merrill Lynch will provide written confirmation to the Company no later than the opening of the Trading Day (as defined below) immediately following the Trading Day on which it has made sales of Placement Securities hereunder setting forth the number of Placement Securities sold on such day, the compensation payable by the Company to Merrill Lynch pursuant to Section 2 with respect to such sales, and the Net Proceeds (as defined below) payable to the Company, with an itemization of the deductions made by Merrill Lynch (as set forth in Section 6(b)) from the gross proceeds that it receives from such sales. Subject to the terms of the Placement Notice (as amended by the corresponding Acceptance, if applicable), Merrill Lynch may sell Placement Securities by any method permitted by law deemed to be an “at the market” offering as defined in Rule 415 of the Securities Act, including without limitation sales made directly on the New York Stock Exchange (the “</w:t>
      </w:r>
      <w:r>
        <w:rPr>
          <w:rFonts w:ascii="Arial" w:cs="Arial" w:eastAsia="Arial" w:hAnsi="Arial"/>
          <w:sz w:val="17"/>
          <w:szCs w:val="17"/>
          <w:u w:val="single" w:color="auto"/>
          <w:color w:val="auto"/>
        </w:rPr>
        <w:t>NYSE</w:t>
      </w:r>
      <w:r>
        <w:rPr>
          <w:rFonts w:ascii="Arial" w:cs="Arial" w:eastAsia="Arial" w:hAnsi="Arial"/>
          <w:sz w:val="17"/>
          <w:szCs w:val="17"/>
          <w:color w:val="auto"/>
        </w:rPr>
        <w:t>”), on any other existing trading market for the Common Shares or to or through a market maker. Subject to the terms of the Placement Notice (as amended by the corresponding Acceptance, if applicable), Merrill Lynch may also sell Placement Securities by any other method permitted by law, including but not limited to sales in privately negotiated transactions. For the purposes hereof, “</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Common Shares are purchased and sold on the principal market on which the Common Shares are listed or quoted.</w:t>
      </w:r>
    </w:p>
    <w:p>
      <w:pPr>
        <w:spacing w:after="0" w:line="18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Suspension of Sales</w:t>
      </w:r>
      <w:r>
        <w:rPr>
          <w:rFonts w:ascii="Arial" w:cs="Arial" w:eastAsia="Arial" w:hAnsi="Arial"/>
          <w:sz w:val="17"/>
          <w:szCs w:val="17"/>
          <w:color w:val="auto"/>
        </w:rPr>
        <w:t xml:space="preserve">. The Company or Merrill Lynch may, upon notice to the other party in writing (including by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suspend any sale of Placement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suspension shall not affect or impair either party’s obligations with respect to any Placement Securities sold hereunder prior to the receipt of such notice or any Placement Securities sold under the Alternative Distribution Agreements. Each of the parties agrees that no such notice under this Section 4 shall be effective against the other unless it is made to one of the individuals (or to each of the individuals, if notice is made by email correspondence) named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as such Exhibit may be amended from time to time, and (i) receipt is actually acknowledged, other than via auto-reply, by any of the individuals to whom the notice is sent if made by email correspondence or (ii) notice is confirmed promptly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notice is made by telephone. Each party shall acknowledge any notice received pursuant to this Section 4 as promptly as possible.</w:t>
      </w:r>
    </w:p>
    <w:p>
      <w:pPr>
        <w:spacing w:after="0" w:line="183"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117" w:lineRule="exact"/>
        <w:rPr>
          <w:sz w:val="20"/>
          <w:szCs w:val="20"/>
          <w:color w:val="auto"/>
        </w:rPr>
      </w:pPr>
    </w:p>
    <w:p>
      <w:pPr>
        <w:ind w:right="220" w:firstLine="464"/>
        <w:spacing w:after="0" w:line="264" w:lineRule="auto"/>
        <w:tabs>
          <w:tab w:leader="none" w:pos="836"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by the Company. </w:t>
      </w:r>
      <w:r>
        <w:rPr>
          <w:rFonts w:ascii="Arial" w:cs="Arial" w:eastAsia="Arial" w:hAnsi="Arial"/>
          <w:sz w:val="18"/>
          <w:szCs w:val="18"/>
          <w:color w:val="auto"/>
        </w:rPr>
        <w:t>The Company represents and warrants to Merrill Lynch as of the date hereof and as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Date (as defined below), as of each Applicable Time (as defined below) and as of each Settlement Date (as defined below), and agrees with Merrill Lynch, as follows:</w:t>
      </w:r>
    </w:p>
    <w:p>
      <w:pPr>
        <w:spacing w:after="0" w:line="73" w:lineRule="exact"/>
        <w:rPr>
          <w:rFonts w:ascii="Arial" w:cs="Arial" w:eastAsia="Arial" w:hAnsi="Arial"/>
          <w:sz w:val="18"/>
          <w:szCs w:val="18"/>
          <w:color w:val="auto"/>
        </w:rPr>
      </w:pPr>
    </w:p>
    <w:p>
      <w:pPr>
        <w:ind w:left="460" w:right="700" w:firstLine="443"/>
        <w:spacing w:after="0" w:line="277" w:lineRule="auto"/>
        <w:tabs>
          <w:tab w:leader="none" w:pos="1288"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Status as a Well-Known Seasoned Issuer; Registration Statement Effective; Conform to Securities Act; No Misleading Statements; Conformity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5" w:name="page56"/>
    <w:bookmarkEnd w:id="55"/>
    <w:p>
      <w:pPr>
        <w:ind w:right="20"/>
        <w:spacing w:after="0" w:line="268"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EDGAR filings</w:t>
      </w:r>
      <w:r>
        <w:rPr>
          <w:rFonts w:ascii="Arial" w:cs="Arial" w:eastAsia="Arial" w:hAnsi="Arial"/>
          <w:sz w:val="17"/>
          <w:szCs w:val="17"/>
          <w:color w:val="auto"/>
        </w:rPr>
        <w:t>. (A) At the time of filing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of the Securities Act) made any offer relating to the Securities in reliance on the exemption of Rule 163 of the Securities Act, (D) at the earliest time that the Company or another offering participant made a bona fide offer (within the meaning of Rule 164(h)(2) under the Securities Act) of the Securities and (E) at the date hereof, the Company was, is and will be a “well-known seasoned issuer” as defined in Rule 405 under the Securities Act (“</w:t>
      </w:r>
      <w:r>
        <w:rPr>
          <w:rFonts w:ascii="Arial" w:cs="Arial" w:eastAsia="Arial" w:hAnsi="Arial"/>
          <w:sz w:val="17"/>
          <w:szCs w:val="17"/>
          <w:u w:val="single" w:color="auto"/>
          <w:color w:val="auto"/>
        </w:rPr>
        <w:t>Rule 405</w:t>
      </w:r>
      <w:r>
        <w:rPr>
          <w:rFonts w:ascii="Arial" w:cs="Arial" w:eastAsia="Arial" w:hAnsi="Arial"/>
          <w:sz w:val="17"/>
          <w:szCs w:val="17"/>
          <w:color w:val="auto"/>
        </w:rPr>
        <w:t>”),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75" w:lineRule="exact"/>
        <w:rPr>
          <w:sz w:val="20"/>
          <w:szCs w:val="20"/>
          <w:color w:val="auto"/>
        </w:rPr>
      </w:pPr>
    </w:p>
    <w:p>
      <w:pPr>
        <w:ind w:right="140" w:firstLine="438"/>
        <w:spacing w:after="0" w:line="279" w:lineRule="auto"/>
        <w:rPr>
          <w:sz w:val="20"/>
          <w:szCs w:val="20"/>
          <w:color w:val="auto"/>
        </w:rPr>
      </w:pPr>
      <w:r>
        <w:rPr>
          <w:rFonts w:ascii="Arial" w:cs="Arial" w:eastAsia="Arial" w:hAnsi="Arial"/>
          <w:sz w:val="17"/>
          <w:szCs w:val="17"/>
          <w:color w:val="auto"/>
        </w:rPr>
        <w:t>The Original Registration Statement became effective upon filing under Rule 462(e) on May 8, 2015,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63" w:lineRule="exact"/>
        <w:rPr>
          <w:sz w:val="20"/>
          <w:szCs w:val="20"/>
          <w:color w:val="auto"/>
        </w:rPr>
      </w:pPr>
    </w:p>
    <w:p>
      <w:pPr>
        <w:ind w:right="80" w:firstLine="438"/>
        <w:spacing w:after="0" w:line="257" w:lineRule="auto"/>
        <w:rPr>
          <w:sz w:val="20"/>
          <w:szCs w:val="20"/>
          <w:color w:val="auto"/>
        </w:rPr>
      </w:pPr>
      <w:r>
        <w:rPr>
          <w:rFonts w:ascii="Arial" w:cs="Arial" w:eastAsia="Arial" w:hAnsi="Arial"/>
          <w:sz w:val="18"/>
          <w:szCs w:val="18"/>
          <w:color w:val="auto"/>
        </w:rPr>
        <w:t>At the respective times the Original Registration Statement and any amendment thereto became effective, at each deemed effective date with respect to Merrill Lynch and the Securities pursuant to Rule 430B(f)(2) under the Securities Act,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80" w:lineRule="exact"/>
        <w:rPr>
          <w:sz w:val="20"/>
          <w:szCs w:val="20"/>
          <w:color w:val="auto"/>
        </w:rPr>
      </w:pPr>
    </w:p>
    <w:p>
      <w:pPr>
        <w:ind w:firstLine="438"/>
        <w:spacing w:after="0" w:line="264" w:lineRule="auto"/>
        <w:rPr>
          <w:sz w:val="20"/>
          <w:szCs w:val="20"/>
          <w:color w:val="auto"/>
        </w:rPr>
      </w:pPr>
      <w:r>
        <w:rPr>
          <w:rFonts w:ascii="Arial" w:cs="Arial" w:eastAsia="Arial" w:hAnsi="Arial"/>
          <w:sz w:val="18"/>
          <w:szCs w:val="18"/>
          <w:color w:val="auto"/>
        </w:rPr>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56" w:name="page57"/>
    <w:bookmarkEnd w:id="56"/>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supplements thereto, at the time the Prospectus or any such amendment or supplement 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73" w:lineRule="exact"/>
        <w:rPr>
          <w:sz w:val="20"/>
          <w:szCs w:val="20"/>
          <w:color w:val="auto"/>
        </w:rPr>
      </w:pPr>
    </w:p>
    <w:p>
      <w:pPr>
        <w:ind w:right="100" w:firstLine="438"/>
        <w:spacing w:after="0" w:line="259" w:lineRule="auto"/>
        <w:rPr>
          <w:sz w:val="20"/>
          <w:szCs w:val="20"/>
          <w:color w:val="auto"/>
        </w:rPr>
      </w:pPr>
      <w:r>
        <w:rPr>
          <w:rFonts w:ascii="Arial" w:cs="Arial" w:eastAsia="Arial" w:hAnsi="Arial"/>
          <w:sz w:val="18"/>
          <w:szCs w:val="18"/>
          <w:color w:val="auto"/>
        </w:rPr>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Merrill Lynch for use in connection with the offering of any Securities was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firstLine="438"/>
        <w:spacing w:after="0" w:line="273" w:lineRule="auto"/>
        <w:rPr>
          <w:sz w:val="20"/>
          <w:szCs w:val="20"/>
          <w:color w:val="auto"/>
        </w:rPr>
      </w:pPr>
      <w:r>
        <w:rPr>
          <w:rFonts w:ascii="Arial" w:cs="Arial" w:eastAsia="Arial" w:hAnsi="Arial"/>
          <w:sz w:val="17"/>
          <w:szCs w:val="17"/>
          <w:color w:val="auto"/>
        </w:rPr>
        <w:t>Each Issuer Free Writing Prospectus, as of its issue date and as of the relevant Applicable Time and Settlement Date, or until any earlier date that the issuer notified or notifies Merrill Lynch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any material fact or omit to state a material fact necessary in order to make the statements therein, in the light of the circumstances under which they were made, not misleading.</w:t>
      </w:r>
    </w:p>
    <w:p>
      <w:pPr>
        <w:spacing w:after="0" w:line="70" w:lineRule="exact"/>
        <w:rPr>
          <w:sz w:val="20"/>
          <w:szCs w:val="20"/>
          <w:color w:val="auto"/>
        </w:rPr>
      </w:pPr>
    </w:p>
    <w:p>
      <w:pPr>
        <w:jc w:val="both"/>
        <w:ind w:right="200" w:firstLine="438"/>
        <w:spacing w:after="0" w:line="286" w:lineRule="auto"/>
        <w:rPr>
          <w:sz w:val="20"/>
          <w:szCs w:val="20"/>
          <w:color w:val="auto"/>
        </w:rPr>
      </w:pPr>
      <w:r>
        <w:rPr>
          <w:rFonts w:ascii="Arial" w:cs="Arial" w:eastAsia="Arial" w:hAnsi="Arial"/>
          <w:sz w:val="17"/>
          <w:szCs w:val="17"/>
          <w:color w:val="auto"/>
        </w:rPr>
        <w:t>The representations and warranties in this Section 5(a)(1) shall not apply to statements in or omissions from the Registration Statement or any post-effective amendment thereto, the Prospectus or any amendments or supplements thereto or any Issuer Free Writing Prospectus made in reliance upon and in conformity with information furnished to the Company in writing by Merrill Lynch expressly for use therein.</w:t>
      </w:r>
    </w:p>
    <w:p>
      <w:pPr>
        <w:spacing w:after="0" w:line="57" w:lineRule="exact"/>
        <w:rPr>
          <w:sz w:val="20"/>
          <w:szCs w:val="20"/>
          <w:color w:val="auto"/>
        </w:rPr>
      </w:pPr>
    </w:p>
    <w:p>
      <w:pPr>
        <w:ind w:right="80" w:firstLine="443"/>
        <w:spacing w:after="0" w:line="312" w:lineRule="auto"/>
        <w:tabs>
          <w:tab w:leader="none" w:pos="828"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Registration Statement and the Prospectus, when they became effective or at the time 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right="60" w:firstLine="443"/>
        <w:spacing w:after="0" w:line="293" w:lineRule="auto"/>
        <w:tabs>
          <w:tab w:leader="none" w:pos="828"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Good Standing of the Company and Significant Subsidiaries</w:t>
      </w:r>
      <w:r>
        <w:rPr>
          <w:rFonts w:ascii="Arial" w:cs="Arial" w:eastAsia="Arial" w:hAnsi="Arial"/>
          <w:sz w:val="16"/>
          <w:szCs w:val="16"/>
          <w:color w:val="auto"/>
        </w:rPr>
        <w:t>. 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and the Prospectus; each “significant subsidiary” of the Company (as such term is defined in Rule 1-02 of Regulation S-X) (each, a “</w:t>
      </w:r>
      <w:r>
        <w:rPr>
          <w:rFonts w:ascii="Arial" w:cs="Arial" w:eastAsia="Arial" w:hAnsi="Arial"/>
          <w:sz w:val="16"/>
          <w:szCs w:val="16"/>
          <w:u w:val="single" w:color="auto"/>
          <w:color w:val="auto"/>
        </w:rPr>
        <w:t>Subsidiary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Subsidiaries</w:t>
      </w:r>
      <w:r>
        <w:rPr>
          <w:rFonts w:ascii="Arial" w:cs="Arial" w:eastAsia="Arial" w:hAnsi="Arial"/>
          <w:sz w:val="16"/>
          <w:szCs w:val="16"/>
          <w:color w:val="auto"/>
        </w:rPr>
        <w:t>”)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w:t>
      </w:r>
    </w:p>
    <w:p>
      <w:pPr>
        <w:spacing w:after="0" w:line="9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700" w:top="274" w:right="299" w:bottom="1440" w:gutter="0" w:footer="0" w:header="0"/>
        </w:sectPr>
      </w:pPr>
    </w:p>
    <w:bookmarkStart w:id="57" w:name="page58"/>
    <w:bookmarkEnd w:id="57"/>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 power and authority to own, lease and operate its properties and conduct its business as described in the Registration Statement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 may result in the issuance of Common Shares of the Company;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65" w:lineRule="exact"/>
        <w:rPr>
          <w:sz w:val="20"/>
          <w:szCs w:val="20"/>
          <w:color w:val="auto"/>
        </w:rPr>
      </w:pPr>
    </w:p>
    <w:p>
      <w:pPr>
        <w:ind w:firstLine="443"/>
        <w:spacing w:after="0" w:line="285" w:lineRule="auto"/>
        <w:tabs>
          <w:tab w:leader="none" w:pos="828"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The Company and its subsidiaries, considered as one enterprise, have not, since the date of the latest audited financial statements included or incorporated by reference in the Registration Statement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or the Alternative Distribution Agreements, (ii)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 (v) the exercise of contractual rights existing on the date hereof by the current and former holders of partnership or other interests in certain of the “DownREIT” and other subsidiaries which may result in the issuance of Common Shares of the Company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Prospectus.</w:t>
      </w:r>
    </w:p>
    <w:p>
      <w:pPr>
        <w:spacing w:after="0" w:line="10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58" w:name="page59"/>
    <w:bookmarkEnd w:id="58"/>
    <w:p>
      <w:pPr>
        <w:ind w:right="100" w:firstLine="443"/>
        <w:spacing w:after="0" w:line="302" w:lineRule="auto"/>
        <w:tabs>
          <w:tab w:leader="none" w:pos="828"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Capitalization</w:t>
      </w:r>
      <w:r>
        <w:rPr>
          <w:rFonts w:ascii="Arial" w:cs="Arial" w:eastAsia="Arial" w:hAnsi="Arial"/>
          <w:sz w:val="16"/>
          <w:szCs w:val="16"/>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46" w:lineRule="exact"/>
        <w:rPr>
          <w:rFonts w:ascii="Arial" w:cs="Arial" w:eastAsia="Arial" w:hAnsi="Arial"/>
          <w:sz w:val="16"/>
          <w:szCs w:val="16"/>
          <w:color w:val="auto"/>
        </w:rPr>
      </w:pPr>
    </w:p>
    <w:p>
      <w:pPr>
        <w:ind w:right="660" w:firstLine="443"/>
        <w:spacing w:after="0" w:line="277" w:lineRule="auto"/>
        <w:tabs>
          <w:tab w:leader="none" w:pos="82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The Company has full right, power and authority under its organizational documents to enter into this Agreement, and this Agreement has been duly and validly authorized, executed and delivered by the Company.</w:t>
      </w:r>
    </w:p>
    <w:p>
      <w:pPr>
        <w:spacing w:after="0" w:line="62" w:lineRule="exact"/>
        <w:rPr>
          <w:rFonts w:ascii="Arial" w:cs="Arial" w:eastAsia="Arial" w:hAnsi="Arial"/>
          <w:sz w:val="18"/>
          <w:szCs w:val="18"/>
          <w:color w:val="auto"/>
        </w:rPr>
      </w:pPr>
    </w:p>
    <w:p>
      <w:pPr>
        <w:jc w:val="both"/>
        <w:ind w:firstLine="443"/>
        <w:spacing w:after="0" w:line="270" w:lineRule="auto"/>
        <w:tabs>
          <w:tab w:leader="none" w:pos="828"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Authorization of Securities</w:t>
      </w:r>
      <w:r>
        <w:rPr>
          <w:rFonts w:ascii="Arial" w:cs="Arial" w:eastAsia="Arial" w:hAnsi="Arial"/>
          <w:sz w:val="17"/>
          <w:szCs w:val="17"/>
          <w:color w:val="auto"/>
        </w:rPr>
        <w:t>. The Securities have been duly and validly authorized by the Company, and, when such Securities are issued and delivered pursuant to this Agreement, such Securities will be duly and validly issued and fully paid and non-assessable; and the issuance and sale of the Securities is not subject to any preemptive, co-sale right, right of first refusal or other similar rights arising under applicable law, under the Charter or bylaws or similar organizational documents of the Company or under any agreement to which the Company or any Subsidiary is a party or otherwise. The Securities conform in all material respects to all statements related thereto contained in the Registration Statement and the Prospectus as amended or supplemented with respect to such Securities and such description conforms in all material respects to the rights set forth in the instruments defining the same; except as set forth under the caption “Description of Shares of Beneficial Interest—Certain Provisions of Maryland Law and our Declaration of Trust and Bylaws—Shareholder Liability and Indemnification” in the Prospectus, no holder of the Securities is or will be subject to personal liability by reason of being such a holder.</w:t>
      </w:r>
    </w:p>
    <w:p>
      <w:pPr>
        <w:spacing w:after="0" w:line="73" w:lineRule="exact"/>
        <w:rPr>
          <w:rFonts w:ascii="Arial" w:cs="Arial" w:eastAsia="Arial" w:hAnsi="Arial"/>
          <w:sz w:val="17"/>
          <w:szCs w:val="17"/>
          <w:color w:val="auto"/>
        </w:rPr>
      </w:pPr>
    </w:p>
    <w:p>
      <w:pPr>
        <w:ind w:firstLine="443"/>
        <w:spacing w:after="0" w:line="270" w:lineRule="auto"/>
        <w:tabs>
          <w:tab w:leader="none" w:pos="828"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No Violations</w:t>
      </w:r>
      <w:r>
        <w:rPr>
          <w:rFonts w:ascii="Arial" w:cs="Arial" w:eastAsia="Arial" w:hAnsi="Arial"/>
          <w:sz w:val="17"/>
          <w:szCs w:val="17"/>
          <w:color w:val="auto"/>
        </w:rPr>
        <w:t>. (i) Neither the Company nor any of its Subsidiaries is in violation of its charter or bylaws or similar organizational documents; (ii) 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59" w:name="page60"/>
    <w:bookmarkEnd w:id="59"/>
    <w:p>
      <w:pPr>
        <w:ind w:right="80" w:firstLine="443"/>
        <w:spacing w:after="0" w:line="269" w:lineRule="auto"/>
        <w:tabs>
          <w:tab w:leader="none" w:pos="828"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Absence of Conflicts; Absence of Further Requirements</w:t>
      </w:r>
      <w:r>
        <w:rPr>
          <w:rFonts w:ascii="Arial" w:cs="Arial" w:eastAsia="Arial" w:hAnsi="Arial"/>
          <w:sz w:val="17"/>
          <w:szCs w:val="17"/>
          <w:color w:val="auto"/>
        </w:rPr>
        <w:t>. The issue and sale of the Securities and the compliance by the Company with all of the provisions of this Agreement with respect to such Securities, and the consummation of the transactions 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Charter or the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NYSE, which will be obtained prior to the first sale of Securities pursuant to this Agreement.</w:t>
      </w:r>
    </w:p>
    <w:p>
      <w:pPr>
        <w:spacing w:after="0" w:line="71" w:lineRule="exact"/>
        <w:rPr>
          <w:rFonts w:ascii="Arial" w:cs="Arial" w:eastAsia="Arial" w:hAnsi="Arial"/>
          <w:sz w:val="17"/>
          <w:szCs w:val="17"/>
          <w:color w:val="auto"/>
        </w:rPr>
      </w:pPr>
    </w:p>
    <w:p>
      <w:pPr>
        <w:ind w:firstLine="443"/>
        <w:spacing w:after="0" w:line="255" w:lineRule="auto"/>
        <w:tabs>
          <w:tab w:leader="none" w:pos="91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Other than as set forth in the Registration Statement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5" w:lineRule="exact"/>
        <w:rPr>
          <w:rFonts w:ascii="Arial" w:cs="Arial" w:eastAsia="Arial" w:hAnsi="Arial"/>
          <w:sz w:val="18"/>
          <w:szCs w:val="18"/>
          <w:color w:val="auto"/>
        </w:rPr>
      </w:pPr>
    </w:p>
    <w:p>
      <w:pPr>
        <w:ind w:right="40" w:firstLine="443"/>
        <w:spacing w:after="0" w:line="255" w:lineRule="auto"/>
        <w:tabs>
          <w:tab w:leader="none" w:pos="911"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consolidated financial statements of the Company and its subsidiaries, together with related notes and schedules as set forth or incorporated by reference in the Registration Statement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in the United States (“</w:t>
      </w:r>
      <w:r>
        <w:rPr>
          <w:rFonts w:ascii="Arial" w:cs="Arial" w:eastAsia="Arial" w:hAnsi="Arial"/>
          <w:sz w:val="18"/>
          <w:szCs w:val="18"/>
          <w:u w:val="single" w:color="auto"/>
          <w:color w:val="auto"/>
        </w:rPr>
        <w:t>GAAP</w:t>
      </w:r>
      <w:r>
        <w:rPr>
          <w:rFonts w:ascii="Arial" w:cs="Arial" w:eastAsia="Arial" w:hAnsi="Arial"/>
          <w:sz w:val="18"/>
          <w:szCs w:val="18"/>
          <w:color w:val="auto"/>
        </w:rPr>
        <w:t>”),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60" w:name="page61"/>
    <w:bookmarkEnd w:id="60"/>
    <w:p>
      <w:pPr>
        <w:jc w:val="both"/>
        <w:ind w:right="60" w:firstLine="443"/>
        <w:spacing w:after="0" w:line="259" w:lineRule="auto"/>
        <w:tabs>
          <w:tab w:leader="none" w:pos="91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 Title</w:t>
      </w:r>
      <w:r>
        <w:rPr>
          <w:rFonts w:ascii="Arial" w:cs="Arial" w:eastAsia="Arial" w:hAnsi="Arial"/>
          <w:sz w:val="18"/>
          <w:szCs w:val="18"/>
          <w:color w:val="auto"/>
        </w:rPr>
        <w:t>. The Company and its subsidiaries have good and marketable title to, or valid and enforceable leasehold estates in, all items of real and personal property referred to in the Registration Statement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firstLine="443"/>
        <w:spacing w:after="0" w:line="257" w:lineRule="auto"/>
        <w:tabs>
          <w:tab w:leader="none" w:pos="91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80" w:lineRule="exact"/>
        <w:rPr>
          <w:rFonts w:ascii="Arial" w:cs="Arial" w:eastAsia="Arial" w:hAnsi="Arial"/>
          <w:sz w:val="18"/>
          <w:szCs w:val="18"/>
          <w:color w:val="auto"/>
        </w:rPr>
      </w:pPr>
    </w:p>
    <w:p>
      <w:pPr>
        <w:jc w:val="both"/>
        <w:ind w:right="380" w:firstLine="443"/>
        <w:spacing w:after="0" w:line="312" w:lineRule="auto"/>
        <w:tabs>
          <w:tab w:leader="none" w:pos="918"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Licenses and Permits</w:t>
      </w:r>
      <w:r>
        <w:rPr>
          <w:rFonts w:ascii="Arial" w:cs="Arial" w:eastAsia="Arial" w:hAnsi="Arial"/>
          <w:sz w:val="16"/>
          <w:szCs w:val="16"/>
          <w:color w:val="auto"/>
        </w:rPr>
        <w:t>. 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38" w:lineRule="exact"/>
        <w:rPr>
          <w:rFonts w:ascii="Arial" w:cs="Arial" w:eastAsia="Arial" w:hAnsi="Arial"/>
          <w:sz w:val="16"/>
          <w:szCs w:val="16"/>
          <w:color w:val="auto"/>
        </w:rPr>
      </w:pPr>
    </w:p>
    <w:p>
      <w:pPr>
        <w:ind w:firstLine="443"/>
        <w:spacing w:after="0" w:line="264" w:lineRule="auto"/>
        <w:tabs>
          <w:tab w:leader="none" w:pos="91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40" w:firstLine="443"/>
        <w:spacing w:after="0" w:line="269" w:lineRule="auto"/>
        <w:tabs>
          <w:tab w:leader="none" w:pos="918"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Internal Controls Over Financial Reporting</w:t>
      </w:r>
      <w:r>
        <w:rPr>
          <w:rFonts w:ascii="Arial" w:cs="Arial" w:eastAsia="Arial" w:hAnsi="Arial"/>
          <w:sz w:val="17"/>
          <w:szCs w:val="17"/>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61" w:name="page62"/>
    <w:bookmarkEnd w:id="6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79" w:lineRule="exact"/>
        <w:rPr>
          <w:sz w:val="20"/>
          <w:szCs w:val="20"/>
          <w:color w:val="auto"/>
        </w:rPr>
      </w:pPr>
    </w:p>
    <w:p>
      <w:pPr>
        <w:ind w:right="80" w:firstLine="443"/>
        <w:spacing w:after="0" w:line="277" w:lineRule="auto"/>
        <w:tabs>
          <w:tab w:leader="none" w:pos="91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Form S-3 Requirements</w:t>
      </w:r>
      <w:r>
        <w:rPr>
          <w:rFonts w:ascii="Arial" w:cs="Arial" w:eastAsia="Arial" w:hAnsi="Arial"/>
          <w:sz w:val="18"/>
          <w:szCs w:val="18"/>
          <w:color w:val="auto"/>
        </w:rPr>
        <w:t>. The conditions for use of registration statements on Form S-3 set forth in the General Instructions on Form S-3 have been satisfied and the Company is entitled to use such form for the transactions contemplated by this Agreement.</w:t>
      </w:r>
    </w:p>
    <w:p>
      <w:pPr>
        <w:spacing w:after="0" w:line="62" w:lineRule="exact"/>
        <w:rPr>
          <w:rFonts w:ascii="Arial" w:cs="Arial" w:eastAsia="Arial" w:hAnsi="Arial"/>
          <w:sz w:val="18"/>
          <w:szCs w:val="18"/>
          <w:color w:val="auto"/>
        </w:rPr>
      </w:pPr>
    </w:p>
    <w:p>
      <w:pPr>
        <w:ind w:right="120" w:firstLine="443"/>
        <w:spacing w:after="0" w:line="291" w:lineRule="auto"/>
        <w:tabs>
          <w:tab w:leader="none" w:pos="918"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Hazardous Materials</w:t>
      </w:r>
      <w:r>
        <w:rPr>
          <w:rFonts w:ascii="Arial" w:cs="Arial" w:eastAsia="Arial" w:hAnsi="Arial"/>
          <w:sz w:val="16"/>
          <w:szCs w:val="16"/>
          <w:color w:val="auto"/>
        </w:rPr>
        <w:t>. Although the Company is aware of the presence of hazardous substances, hazardous materials, toxic substances or waste materials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59" w:lineRule="exact"/>
        <w:rPr>
          <w:rFonts w:ascii="Arial" w:cs="Arial" w:eastAsia="Arial" w:hAnsi="Arial"/>
          <w:sz w:val="16"/>
          <w:szCs w:val="16"/>
          <w:color w:val="auto"/>
        </w:rPr>
      </w:pPr>
    </w:p>
    <w:p>
      <w:pPr>
        <w:ind w:right="180" w:firstLine="443"/>
        <w:spacing w:after="0" w:line="276" w:lineRule="auto"/>
        <w:tabs>
          <w:tab w:leader="none" w:pos="918"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Taxes; Investment Company Act</w:t>
      </w:r>
      <w:r>
        <w:rPr>
          <w:rFonts w:ascii="Arial" w:cs="Arial" w:eastAsia="Arial" w:hAnsi="Arial"/>
          <w:sz w:val="17"/>
          <w:szCs w:val="17"/>
          <w:color w:val="auto"/>
        </w:rPr>
        <w:t>. With respect to all tax periods regarding which the Internal Revenue Service is or will be entitled to assert any claim, the Company has met the requirements for qualification as a REIT under Sections 856 through 860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 (the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firstLine="443"/>
        <w:spacing w:after="0" w:line="255" w:lineRule="auto"/>
        <w:tabs>
          <w:tab w:leader="none" w:pos="91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62" w:name="page63"/>
    <w:bookmarkEnd w:id="62"/>
    <w:p>
      <w:pPr>
        <w:ind w:firstLine="443"/>
        <w:spacing w:after="0" w:line="288" w:lineRule="auto"/>
        <w:tabs>
          <w:tab w:leader="none" w:pos="918"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Corrupt Practices</w:t>
      </w:r>
      <w:r>
        <w:rPr>
          <w:rFonts w:ascii="Arial" w:cs="Arial" w:eastAsia="Arial" w:hAnsi="Arial"/>
          <w:sz w:val="16"/>
          <w:szCs w:val="16"/>
          <w:color w:val="auto"/>
        </w:rPr>
        <w:t>. 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61" w:lineRule="exact"/>
        <w:rPr>
          <w:rFonts w:ascii="Arial" w:cs="Arial" w:eastAsia="Arial" w:hAnsi="Arial"/>
          <w:sz w:val="16"/>
          <w:szCs w:val="16"/>
          <w:color w:val="auto"/>
        </w:rPr>
      </w:pPr>
    </w:p>
    <w:p>
      <w:pPr>
        <w:ind w:right="40" w:firstLine="443"/>
        <w:spacing w:after="0" w:line="273" w:lineRule="auto"/>
        <w:tabs>
          <w:tab w:leader="none" w:pos="918"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Anti-Money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70" w:lineRule="exact"/>
        <w:rPr>
          <w:rFonts w:ascii="Arial" w:cs="Arial" w:eastAsia="Arial" w:hAnsi="Arial"/>
          <w:sz w:val="17"/>
          <w:szCs w:val="17"/>
          <w:color w:val="auto"/>
        </w:rPr>
      </w:pPr>
    </w:p>
    <w:p>
      <w:pPr>
        <w:ind w:right="140" w:firstLine="443"/>
        <w:spacing w:after="0" w:line="291" w:lineRule="auto"/>
        <w:tabs>
          <w:tab w:leader="none" w:pos="918"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w:t>
      </w:r>
      <w:r>
        <w:rPr>
          <w:rFonts w:ascii="Arial" w:cs="Arial" w:eastAsia="Arial" w:hAnsi="Arial"/>
          <w:sz w:val="16"/>
          <w:szCs w:val="16"/>
          <w:u w:val="single" w:color="auto"/>
          <w:color w:val="auto"/>
        </w:rPr>
        <w:t>OFAC</w:t>
      </w:r>
      <w:r>
        <w:rPr>
          <w:rFonts w:ascii="Arial" w:cs="Arial" w:eastAsia="Arial" w:hAnsi="Arial"/>
          <w:sz w:val="16"/>
          <w:szCs w:val="16"/>
          <w:color w:val="auto"/>
        </w:rPr>
        <w:t>”)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or (ii) located, organized or resident in a country or territory that is, or whose government is, the subject of Sanctions that broadly prohibit dealings with that country or territory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59" w:lineRule="exact"/>
        <w:rPr>
          <w:rFonts w:ascii="Arial" w:cs="Arial" w:eastAsia="Arial" w:hAnsi="Arial"/>
          <w:sz w:val="16"/>
          <w:szCs w:val="16"/>
          <w:color w:val="auto"/>
        </w:rPr>
      </w:pPr>
    </w:p>
    <w:p>
      <w:pPr>
        <w:ind w:firstLine="443"/>
        <w:spacing w:after="0" w:line="277" w:lineRule="auto"/>
        <w:tabs>
          <w:tab w:leader="none" w:pos="91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NYSE</w:t>
      </w:r>
      <w:r>
        <w:rPr>
          <w:rFonts w:ascii="Arial" w:cs="Arial" w:eastAsia="Arial" w:hAnsi="Arial"/>
          <w:sz w:val="18"/>
          <w:szCs w:val="18"/>
          <w:color w:val="auto"/>
        </w:rPr>
        <w:t>. The outstanding Common Shares have been, and prior to the first sale of Securities pursuant to this Agreement, the Securities to be sold by the Company hereunder will be, approved for listing, subject only to official notice of issuance, on the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74" w:right="279" w:bottom="1440" w:gutter="0" w:footer="0" w:header="0"/>
        </w:sectPr>
      </w:pPr>
    </w:p>
    <w:bookmarkStart w:id="63" w:name="page64"/>
    <w:bookmarkEnd w:id="6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NYSE, and are registered pursuant to 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 The Company has taken all necessary actions to ensure that it is in compliance with all applicable NYSE listing standards that are currently in effect and will take such steps as are necessary to ensure that the Company will be in compliance with other applicable requirements set forth in the NYSE’s listing standards not currently in effect upon the effectiveness of such requirements.</w:t>
      </w:r>
    </w:p>
    <w:p>
      <w:pPr>
        <w:spacing w:after="0" w:line="85" w:lineRule="exact"/>
        <w:rPr>
          <w:sz w:val="20"/>
          <w:szCs w:val="20"/>
          <w:color w:val="auto"/>
        </w:rPr>
      </w:pPr>
    </w:p>
    <w:p>
      <w:pPr>
        <w:ind w:right="80" w:firstLine="443"/>
        <w:spacing w:after="0" w:line="264" w:lineRule="auto"/>
        <w:tabs>
          <w:tab w:leader="none" w:pos="91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Neither the Company nor any of its subsidiaries has distributed or will distribute any offering material in connection with the offering and sale of the Securities to be sold hereunder by Merrill Lynch, as principal or agent for the Company, other than the Prospectus and any Permitted Free Writing Prospectus reviewed and consented to by Merrill Lynch.</w:t>
      </w:r>
    </w:p>
    <w:p>
      <w:pPr>
        <w:spacing w:after="0" w:line="73" w:lineRule="exact"/>
        <w:rPr>
          <w:rFonts w:ascii="Arial" w:cs="Arial" w:eastAsia="Arial" w:hAnsi="Arial"/>
          <w:sz w:val="18"/>
          <w:szCs w:val="18"/>
          <w:color w:val="auto"/>
        </w:rPr>
      </w:pPr>
    </w:p>
    <w:p>
      <w:pPr>
        <w:ind w:right="900" w:firstLine="443"/>
        <w:spacing w:after="0" w:line="277" w:lineRule="auto"/>
        <w:tabs>
          <w:tab w:leader="none" w:pos="91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Actively Traded Security</w:t>
      </w:r>
      <w:r>
        <w:rPr>
          <w:rFonts w:ascii="Arial" w:cs="Arial" w:eastAsia="Arial" w:hAnsi="Arial"/>
          <w:sz w:val="18"/>
          <w:szCs w:val="18"/>
          <w:color w:val="auto"/>
        </w:rPr>
        <w:t>. The Common Shares are “actively traded securities” excepted from the requirements of Rule 101 of Regulation M under the Exchange Act by subsection (c)(1) of such rule.</w:t>
      </w:r>
    </w:p>
    <w:p>
      <w:pPr>
        <w:spacing w:after="0" w:line="62" w:lineRule="exact"/>
        <w:rPr>
          <w:rFonts w:ascii="Arial" w:cs="Arial" w:eastAsia="Arial" w:hAnsi="Arial"/>
          <w:sz w:val="18"/>
          <w:szCs w:val="18"/>
          <w:color w:val="auto"/>
        </w:rPr>
      </w:pPr>
    </w:p>
    <w:p>
      <w:pPr>
        <w:jc w:val="both"/>
        <w:ind w:right="200" w:firstLine="443"/>
        <w:spacing w:after="0" w:line="259" w:lineRule="auto"/>
        <w:tabs>
          <w:tab w:leader="none" w:pos="91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any of its subsidiaries, nor any of the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78" w:lineRule="exact"/>
        <w:rPr>
          <w:rFonts w:ascii="Arial" w:cs="Arial" w:eastAsia="Arial" w:hAnsi="Arial"/>
          <w:sz w:val="18"/>
          <w:szCs w:val="18"/>
          <w:color w:val="auto"/>
        </w:rPr>
      </w:pPr>
    </w:p>
    <w:p>
      <w:pPr>
        <w:ind w:firstLine="443"/>
        <w:spacing w:after="0" w:line="272" w:lineRule="auto"/>
        <w:tabs>
          <w:tab w:leader="none" w:pos="918"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Proprietary Trading by Merrill Lynch</w:t>
      </w:r>
      <w:r>
        <w:rPr>
          <w:rFonts w:ascii="Arial" w:cs="Arial" w:eastAsia="Arial" w:hAnsi="Arial"/>
          <w:sz w:val="17"/>
          <w:szCs w:val="17"/>
          <w:color w:val="auto"/>
        </w:rPr>
        <w:t>. The Company acknowledges and agrees that Merrill Lynch has informed the Company that Merrill Lynch may, to the extent permitted under the Securities Act and the Exchange Act, purchase and sell Common Shares for its own account while this Agreement is in effect, and shall be under no obligation to purchase Securities on a principal basis pursuant to this Agreement, except as otherwise agreed to by Merrill Lynch in the applicable Placement Notice (as amended by the corresponding Acceptance, if applicable); provided, that no such purchase or sale shall take place while a Placement Notice is in effect (except (i) as agreed to by Merrill Lynch in the Placement Notice (as amended by the corresponding Acceptance, if applicable) or (ii) to the extent Merrill Lynch may engage in sales of Placement Securities purchased or deemed purchased from the Company as a “riskless principal” or in a similar capacity).</w:t>
      </w:r>
    </w:p>
    <w:p>
      <w:pPr>
        <w:spacing w:after="0" w:line="69" w:lineRule="exact"/>
        <w:rPr>
          <w:rFonts w:ascii="Arial" w:cs="Arial" w:eastAsia="Arial" w:hAnsi="Arial"/>
          <w:sz w:val="17"/>
          <w:szCs w:val="17"/>
          <w:color w:val="auto"/>
        </w:rPr>
      </w:pPr>
    </w:p>
    <w:p>
      <w:pPr>
        <w:ind w:right="140" w:firstLine="443"/>
        <w:spacing w:after="0" w:line="264" w:lineRule="auto"/>
        <w:tabs>
          <w:tab w:leader="none" w:pos="91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eXtensible Business Reporting Language</w:t>
      </w:r>
      <w:r>
        <w:rPr>
          <w:rFonts w:ascii="Arial" w:cs="Arial" w:eastAsia="Arial" w:hAnsi="Arial"/>
          <w:sz w:val="18"/>
          <w:szCs w:val="18"/>
          <w:color w:val="auto"/>
        </w:rPr>
        <w:t>. The interactive data in the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74" w:right="279" w:bottom="1440" w:gutter="0" w:footer="0" w:header="0"/>
        </w:sectPr>
      </w:pPr>
    </w:p>
    <w:bookmarkStart w:id="64" w:name="page65"/>
    <w:bookmarkEnd w:id="64"/>
    <w:p>
      <w:pPr>
        <w:ind w:left="-20" w:right="60" w:firstLine="464"/>
        <w:spacing w:after="0" w:line="277" w:lineRule="auto"/>
        <w:tabs>
          <w:tab w:leader="none" w:pos="82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Certificates. </w:t>
      </w:r>
      <w:r>
        <w:rPr>
          <w:rFonts w:ascii="Arial" w:cs="Arial" w:eastAsia="Arial" w:hAnsi="Arial"/>
          <w:sz w:val="18"/>
          <w:szCs w:val="18"/>
          <w:color w:val="auto"/>
        </w:rPr>
        <w:t>Any certificate signed by any officer of the Company and delivered to Merrill Lynch or to counsel for Merrill Lynch shall be deemed</w:t>
      </w:r>
      <w:r>
        <w:rPr>
          <w:rFonts w:ascii="Arial" w:cs="Arial" w:eastAsia="Arial" w:hAnsi="Arial"/>
          <w:sz w:val="18"/>
          <w:szCs w:val="18"/>
          <w:i w:val="1"/>
          <w:iCs w:val="1"/>
          <w:color w:val="auto"/>
        </w:rPr>
        <w:t xml:space="preserve"> </w:t>
      </w:r>
      <w:r>
        <w:rPr>
          <w:rFonts w:ascii="Arial" w:cs="Arial" w:eastAsia="Arial" w:hAnsi="Arial"/>
          <w:sz w:val="18"/>
          <w:szCs w:val="18"/>
          <w:color w:val="auto"/>
        </w:rPr>
        <w:t>a representation and warranty by the Company to Merrill Lynch as to the matters covered thereby.</w:t>
      </w:r>
    </w:p>
    <w:p>
      <w:pPr>
        <w:spacing w:after="0" w:line="170"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Sale and Delivery to Merrill Lynch; Settlement</w:t>
      </w:r>
      <w:r>
        <w:rPr>
          <w:rFonts w:ascii="Arial" w:cs="Arial" w:eastAsia="Arial" w:hAnsi="Arial"/>
          <w:sz w:val="16"/>
          <w:szCs w:val="16"/>
          <w:color w:val="auto"/>
        </w:rPr>
        <w:t>.</w:t>
      </w:r>
    </w:p>
    <w:p>
      <w:pPr>
        <w:spacing w:after="0" w:line="117" w:lineRule="exact"/>
        <w:rPr>
          <w:sz w:val="20"/>
          <w:szCs w:val="20"/>
          <w:color w:val="auto"/>
        </w:rPr>
      </w:pPr>
    </w:p>
    <w:p>
      <w:pPr>
        <w:ind w:left="-20" w:firstLine="464"/>
        <w:spacing w:after="0" w:line="269" w:lineRule="auto"/>
        <w:tabs>
          <w:tab w:leader="none" w:pos="816"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Sale of Placement Securities. </w:t>
      </w:r>
      <w:r>
        <w:rPr>
          <w:rFonts w:ascii="Arial" w:cs="Arial" w:eastAsia="Arial" w:hAnsi="Arial"/>
          <w:sz w:val="17"/>
          <w:szCs w:val="17"/>
          <w:color w:val="auto"/>
        </w:rPr>
        <w:t>On the basis of the representations and warranties herein contained and subject to the terms and conditions herein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upon Merrill Lynch’s acceptance of the terms of a Placement Notice or upon receipt by Merrill Lynch of an Acceptance, as the case may be, and unless the sale of the Placement Securities described therein has been declined, suspended, or otherwise terminated in accordance with the terms of this Agreement, Merrill Lynch, for the period specified in the Placement Notice (as amended by the corresponding Acceptance, if applicable), will use its commercially reasonable efforts consistent with its normal trading and sales practices to sell such Placement Securities up to the amount specified, and otherwise in accordance with the terms of such Placement Notice (as amended by the corresponding Acceptance, if applicable). The Company acknowledges and agrees that (i) there can be no assurance that Merrill Lynch will be successful in selling Placement Securities, (ii) Merrill Lynch will incur no liability or obligation to the Company or any other person or entity if it does not sell Placement Securities for any reason other than a failure by Merrill Lynch to use its commercially reasonable efforts consistent with its normal trading and sales practices to sell such Placement Securities as required under this Section 6 and (iii) Merrill Lynch shall be under no obligation to purchase Securities on a principal basis pursuant to this Agreement, except as otherwise agreed by Merrill Lynch in the Placement Notice (as amended by the corresponding Acceptance, if applicable).</w:t>
      </w:r>
    </w:p>
    <w:p>
      <w:pPr>
        <w:spacing w:after="0" w:line="74" w:lineRule="exact"/>
        <w:rPr>
          <w:rFonts w:ascii="Arial" w:cs="Arial" w:eastAsia="Arial" w:hAnsi="Arial"/>
          <w:sz w:val="17"/>
          <w:szCs w:val="17"/>
          <w:color w:val="auto"/>
        </w:rPr>
      </w:pPr>
    </w:p>
    <w:p>
      <w:pPr>
        <w:ind w:left="-20" w:right="20" w:firstLine="464"/>
        <w:spacing w:after="0" w:line="291" w:lineRule="auto"/>
        <w:tabs>
          <w:tab w:leader="none" w:pos="826"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Settlement of Placement Securities. </w:t>
      </w:r>
      <w:r>
        <w:rPr>
          <w:rFonts w:ascii="Arial" w:cs="Arial" w:eastAsia="Arial" w:hAnsi="Arial"/>
          <w:sz w:val="16"/>
          <w:szCs w:val="16"/>
          <w:color w:val="auto"/>
        </w:rPr>
        <w:t>Unless otherwise specified in the applicable Placement Notice (as amended by the corresponding Acceptance,</w:t>
      </w:r>
      <w:r>
        <w:rPr>
          <w:rFonts w:ascii="Arial" w:cs="Arial" w:eastAsia="Arial" w:hAnsi="Arial"/>
          <w:sz w:val="16"/>
          <w:szCs w:val="16"/>
          <w:i w:val="1"/>
          <w:iCs w:val="1"/>
          <w:color w:val="auto"/>
        </w:rPr>
        <w:t xml:space="preserve"> </w:t>
      </w:r>
      <w:r>
        <w:rPr>
          <w:rFonts w:ascii="Arial" w:cs="Arial" w:eastAsia="Arial" w:hAnsi="Arial"/>
          <w:sz w:val="16"/>
          <w:szCs w:val="16"/>
          <w:color w:val="auto"/>
        </w:rPr>
        <w:t>if applicable), settlement for sales of Placement Securities will occur on the third (2</w:t>
      </w:r>
      <w:r>
        <w:rPr>
          <w:rFonts w:ascii="Arial" w:cs="Arial" w:eastAsia="Arial" w:hAnsi="Arial"/>
          <w:sz w:val="13"/>
          <w:szCs w:val="13"/>
          <w:color w:val="auto"/>
        </w:rPr>
        <w:t>nd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u w:val="single" w:color="auto"/>
          <w:color w:val="auto"/>
        </w:rPr>
        <w:t>Settlement Date</w:t>
      </w:r>
      <w:r>
        <w:rPr>
          <w:rFonts w:ascii="Arial" w:cs="Arial" w:eastAsia="Arial" w:hAnsi="Arial"/>
          <w:sz w:val="16"/>
          <w:szCs w:val="16"/>
          <w:color w:val="auto"/>
        </w:rPr>
        <w:t>”). The amount of proceeds to be delivered to the Company on a Settlement Date against receipt of the Placement Securities sold (the “</w:t>
      </w:r>
      <w:r>
        <w:rPr>
          <w:rFonts w:ascii="Arial" w:cs="Arial" w:eastAsia="Arial" w:hAnsi="Arial"/>
          <w:sz w:val="16"/>
          <w:szCs w:val="16"/>
          <w:u w:val="single" w:color="auto"/>
          <w:color w:val="auto"/>
        </w:rPr>
        <w:t>Net Proceeds</w:t>
      </w:r>
      <w:r>
        <w:rPr>
          <w:rFonts w:ascii="Arial" w:cs="Arial" w:eastAsia="Arial" w:hAnsi="Arial"/>
          <w:sz w:val="16"/>
          <w:szCs w:val="16"/>
          <w:color w:val="auto"/>
        </w:rPr>
        <w:t>”) will be equal to the aggregate offering price received by Merrill Lynch at which such Placement Securities were sold, after deduction for (i) Merrill Lynch’s commission, discount or other compensation for such sales payable by the Company pursuant to Section 2 hereof, (ii) any other amounts due and payable by the Company to Merrill Lynch hereunder pursuant to Section 8(a) hereof, and (iii) any transaction fees imposed by any governmental or self-regulatory organization in respect of such sales.</w:t>
      </w:r>
    </w:p>
    <w:p>
      <w:pPr>
        <w:spacing w:after="0" w:line="59" w:lineRule="exact"/>
        <w:rPr>
          <w:rFonts w:ascii="Arial" w:cs="Arial" w:eastAsia="Arial" w:hAnsi="Arial"/>
          <w:sz w:val="16"/>
          <w:szCs w:val="16"/>
          <w:color w:val="auto"/>
        </w:rPr>
      </w:pPr>
    </w:p>
    <w:p>
      <w:pPr>
        <w:ind w:left="-20" w:right="100" w:firstLine="464"/>
        <w:spacing w:after="0" w:line="297" w:lineRule="auto"/>
        <w:tabs>
          <w:tab w:leader="none" w:pos="816"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Delivery of Placement Securities</w:t>
      </w:r>
      <w:r>
        <w:rPr>
          <w:rFonts w:ascii="Arial" w:cs="Arial" w:eastAsia="Arial" w:hAnsi="Arial"/>
          <w:sz w:val="16"/>
          <w:szCs w:val="16"/>
          <w:color w:val="auto"/>
        </w:rPr>
        <w:t>. On or before each Settlement Date, the Company will, or will cause its transfer agent to, electronically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Placement Securities being sold by crediting Merrill Lynch’s or its designee’s account (provided Merrill Lynch shall have given the Company written notice of such designee prior to the Settlement Date)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through its Deposit and Withdrawal at Custodian System or by such other means of delivery as may be mutually agreed upon by the parties hereto which in all cases shall be freely tradable, transferable, registered shares in good deliverable form. On each Settlement Date, Merrill Lynch will deliver the related Net Proceeds in same day funds to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4" w:right="239" w:bottom="1440" w:gutter="0" w:footer="0" w:header="0"/>
        </w:sectPr>
      </w:pPr>
    </w:p>
    <w:bookmarkStart w:id="65" w:name="page66"/>
    <w:bookmarkEnd w:id="65"/>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account designated by the Company prior to the Settlement Date. The Company agrees that if the Company, or its transfer agent (if applicable), defaults in its obligation to deliver Placement Securities on a Settlement Date, the Company agrees that in addition to and in no way limiting the rights and obligations set forth in Section 10(a) and Section 11 hereto, it will (i) hold Merrill Lynch harmless against any loss, liability, claim, damage, or expense whatsoever (including reasonable legal fees and expenses), as incurred, arising out of or in connection with such default by the Company or its transfer agent (if applicable) and (ii) pay to Merrill Lynch any commission, discount, or other compensation to which it would otherwise have been entitled absent such default.</w:t>
      </w:r>
    </w:p>
    <w:p>
      <w:pPr>
        <w:spacing w:after="0" w:line="50" w:lineRule="exact"/>
        <w:rPr>
          <w:sz w:val="20"/>
          <w:szCs w:val="20"/>
          <w:color w:val="auto"/>
        </w:rPr>
      </w:pPr>
    </w:p>
    <w:p>
      <w:pPr>
        <w:jc w:val="both"/>
        <w:ind w:right="40" w:firstLine="464"/>
        <w:spacing w:after="0" w:line="264" w:lineRule="auto"/>
        <w:tabs>
          <w:tab w:leader="none" w:pos="846" w:val="left"/>
        </w:tabs>
        <w:numPr>
          <w:ilvl w:val="1"/>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Denominations; Registration. </w:t>
      </w:r>
      <w:r>
        <w:rPr>
          <w:rFonts w:ascii="Arial" w:cs="Arial" w:eastAsia="Arial" w:hAnsi="Arial"/>
          <w:sz w:val="18"/>
          <w:szCs w:val="18"/>
          <w:color w:val="auto"/>
        </w:rPr>
        <w:t>The Securities shall be in such denominations and registered in such names as Merrill Lynch may request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one full business day before the Settlement Date. The Company shall deliver the Securities, if any, through the facilities of DTC unless Merrill Lynch shall otherwise instruct.</w:t>
      </w:r>
    </w:p>
    <w:p>
      <w:pPr>
        <w:spacing w:after="0" w:line="73" w:lineRule="exact"/>
        <w:rPr>
          <w:rFonts w:ascii="Arial" w:cs="Arial" w:eastAsia="Arial" w:hAnsi="Arial"/>
          <w:sz w:val="18"/>
          <w:szCs w:val="18"/>
          <w:color w:val="auto"/>
        </w:rPr>
      </w:pPr>
    </w:p>
    <w:p>
      <w:pPr>
        <w:ind w:right="80" w:firstLine="464"/>
        <w:spacing w:after="0" w:line="271" w:lineRule="auto"/>
        <w:tabs>
          <w:tab w:leader="none" w:pos="836" w:val="left"/>
        </w:tabs>
        <w:numPr>
          <w:ilvl w:val="1"/>
          <w:numId w:val="59"/>
        </w:numPr>
        <w:rPr>
          <w:rFonts w:ascii="Arial" w:cs="Arial" w:eastAsia="Arial" w:hAnsi="Arial"/>
          <w:sz w:val="17"/>
          <w:szCs w:val="17"/>
          <w:color w:val="auto"/>
        </w:rPr>
      </w:pPr>
      <w:r>
        <w:rPr>
          <w:rFonts w:ascii="Arial" w:cs="Arial" w:eastAsia="Arial" w:hAnsi="Arial"/>
          <w:sz w:val="17"/>
          <w:szCs w:val="17"/>
          <w:i w:val="1"/>
          <w:iCs w:val="1"/>
          <w:color w:val="auto"/>
        </w:rPr>
        <w:t>Limitations on Offering Size</w:t>
      </w:r>
      <w:r>
        <w:rPr>
          <w:rFonts w:ascii="Arial" w:cs="Arial" w:eastAsia="Arial" w:hAnsi="Arial"/>
          <w:sz w:val="17"/>
          <w:szCs w:val="17"/>
          <w:color w:val="auto"/>
        </w:rPr>
        <w:t>. Under no circumstances shall the Company cause or request the offer or sale of any Securities, if after giving effect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sale of such Securities, the aggregate offering price of the Securities sold pursuant to this Agreement would exceed the lesser of (A) together with all the sales under this Agreement and the Alternative Distribution Agreements, the Maximum Amount and (B) the amount authorized from time to time to be issued and sold under this Agreement by the Company and notified to Merrill Lynch in writing. Under no circumstances shall the Company cause or request the offer or sale of any Securities pursuant to this Agreement at a price lower than the minimum price authorized from time to time by the Company and notified to Merrill Lynch in writing. Further, under no circumstances shall the aggregate offering price of Securities sold pursuant to this Agreement and the Alternative Distribution Agreements, including any separate underwriting or similar agreement covering principal transactions referred to in Section 1 of this Agreement and the Alternative Distribution Agreements, exceed the Maximum Amount.</w:t>
      </w:r>
    </w:p>
    <w:p>
      <w:pPr>
        <w:spacing w:after="0" w:line="70" w:lineRule="exact"/>
        <w:rPr>
          <w:rFonts w:ascii="Arial" w:cs="Arial" w:eastAsia="Arial" w:hAnsi="Arial"/>
          <w:sz w:val="17"/>
          <w:szCs w:val="17"/>
          <w:color w:val="auto"/>
        </w:rPr>
      </w:pPr>
    </w:p>
    <w:p>
      <w:pPr>
        <w:ind w:right="120" w:firstLine="464"/>
        <w:spacing w:after="0" w:line="288" w:lineRule="auto"/>
        <w:tabs>
          <w:tab w:leader="none" w:pos="816"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Agent. </w:t>
      </w:r>
      <w:r>
        <w:rPr>
          <w:rFonts w:ascii="Arial" w:cs="Arial" w:eastAsia="Arial" w:hAnsi="Arial"/>
          <w:sz w:val="16"/>
          <w:szCs w:val="16"/>
          <w:color w:val="auto"/>
        </w:rPr>
        <w:t>The Company agrees that any offer to sell, any solicitation of an offer to buy or any sales of Securities shall only be effected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or through one of Merrill Lynch or the Alternative Agents on any single given day, but in no event more than one, and the Company shall in no event request that Merrill Lynch or the Alternative Agents sell Securities on the same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foregoing limitation shall not apply to</w:t>
      </w:r>
    </w:p>
    <w:p>
      <w:pPr>
        <w:ind w:right="180" w:firstLine="8"/>
        <w:spacing w:after="0" w:line="281" w:lineRule="auto"/>
        <w:tabs>
          <w:tab w:leader="none" w:pos="215"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and (b) such limitation shall not apply on any day during which no sales are made pursuant to this Agreement. Notwithstanding the foregoing or anything to the contrary contained herein, the Company shall be permitted, at any time and from time to time, to engage one or more additional agents and/or principals, that, once engaged, may offer to sell, solicit an offer to buy or sell the Securities, and at such time(s) Merrill Lynch (x) shall promptly, upon request by the Company, enter into an amendment to this Agreement, or into a new agreement superseding this Agreement upon terms and conditions substantially similar to those contained herein or such other terms and conditions otherwise agreed to between Merrill Lynch and the Company, providing for such engagement(s) and/or</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shall agree to cooperate with and do such other things reasonably requested by the Company in order to allow for such engagement(s).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66" w:name="page67"/>
    <w:bookmarkEnd w:id="66"/>
    <w:p>
      <w:pPr>
        <w:ind w:right="40" w:firstLine="464"/>
        <w:spacing w:after="0" w:line="253" w:lineRule="auto"/>
        <w:tabs>
          <w:tab w:leader="none" w:pos="846"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Period for Restriction on Offers and Sales. </w:t>
      </w:r>
      <w:r>
        <w:rPr>
          <w:rFonts w:ascii="Arial" w:cs="Arial" w:eastAsia="Arial" w:hAnsi="Arial"/>
          <w:sz w:val="18"/>
          <w:szCs w:val="18"/>
          <w:color w:val="auto"/>
        </w:rPr>
        <w:t>Notwithstanding any other provision of this Agreement, the Company shall not offer, sell or deliver, or</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the offer or sale of, any Securities and, by notice to Merrill Lynch given by telephone (confirmed promptly by facsimile transmission or email), shall cancel any instructions for the offer or sale of any Securities, and Merrill Lynch shall not be obligated to offer or sell any Securities, (i) during any period in which the Company’s insider trading policy, as it exists on the date of this Agreement, would prohibit the purchases or sales of the Company’s Common Shares by its officers or trustees, (ii) during any other period in which the Company is, or could be deemed to be, in possession of material non-public information or (iii) except as provided in Section 6(h) below, at any time from and including the date (each, an “</w:t>
      </w:r>
      <w:r>
        <w:rPr>
          <w:rFonts w:ascii="Arial" w:cs="Arial" w:eastAsia="Arial" w:hAnsi="Arial"/>
          <w:sz w:val="18"/>
          <w:szCs w:val="18"/>
          <w:u w:val="single" w:color="auto"/>
          <w:color w:val="auto"/>
        </w:rPr>
        <w:t>Announcement Date</w:t>
      </w:r>
      <w:r>
        <w:rPr>
          <w:rFonts w:ascii="Arial" w:cs="Arial" w:eastAsia="Arial" w:hAnsi="Arial"/>
          <w:sz w:val="18"/>
          <w:szCs w:val="18"/>
          <w:color w:val="auto"/>
        </w:rPr>
        <w:t>”) on which the Company shall issue a press release containing, or shall otherwise publicly announce, its earnings, revenues or other results of operations (each, an “</w:t>
      </w:r>
      <w:r>
        <w:rPr>
          <w:rFonts w:ascii="Arial" w:cs="Arial" w:eastAsia="Arial" w:hAnsi="Arial"/>
          <w:sz w:val="18"/>
          <w:szCs w:val="18"/>
          <w:u w:val="single" w:color="auto"/>
          <w:color w:val="auto"/>
        </w:rPr>
        <w:t>Earnings</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Announcement</w:t>
      </w:r>
      <w:r>
        <w:rPr>
          <w:rFonts w:ascii="Arial" w:cs="Arial" w:eastAsia="Arial" w:hAnsi="Arial"/>
          <w:sz w:val="18"/>
          <w:szCs w:val="18"/>
          <w:color w:val="auto"/>
        </w:rPr>
        <w:t>”) through and including the time that is 24 hours after the time that the Company files (a “</w:t>
      </w:r>
      <w:r>
        <w:rPr>
          <w:rFonts w:ascii="Arial" w:cs="Arial" w:eastAsia="Arial" w:hAnsi="Arial"/>
          <w:sz w:val="18"/>
          <w:szCs w:val="18"/>
          <w:u w:val="single" w:color="auto"/>
          <w:color w:val="auto"/>
        </w:rPr>
        <w:t>Filing Time</w:t>
      </w:r>
      <w:r>
        <w:rPr>
          <w:rFonts w:ascii="Arial" w:cs="Arial" w:eastAsia="Arial" w:hAnsi="Arial"/>
          <w:sz w:val="18"/>
          <w:szCs w:val="18"/>
          <w:color w:val="auto"/>
        </w:rPr>
        <w:t>”) a Quarterly Report on Form 10-Q or an Annual Report on Form 10-K that includes consolidated financial statements as of and for the same period or periods, as the case may be, covered by such Earnings Announcement.</w:t>
      </w:r>
    </w:p>
    <w:p>
      <w:pPr>
        <w:spacing w:after="0" w:line="86" w:lineRule="exact"/>
        <w:rPr>
          <w:rFonts w:ascii="Arial" w:cs="Arial" w:eastAsia="Arial" w:hAnsi="Arial"/>
          <w:sz w:val="18"/>
          <w:szCs w:val="18"/>
          <w:color w:val="auto"/>
        </w:rPr>
      </w:pPr>
    </w:p>
    <w:p>
      <w:pPr>
        <w:ind w:right="220" w:firstLine="464"/>
        <w:spacing w:after="0" w:line="283" w:lineRule="auto"/>
        <w:tabs>
          <w:tab w:leader="none" w:pos="846"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Removal of Restriction on Offers and Sales. </w:t>
      </w:r>
      <w:r>
        <w:rPr>
          <w:rFonts w:ascii="Arial" w:cs="Arial" w:eastAsia="Arial" w:hAnsi="Arial"/>
          <w:sz w:val="16"/>
          <w:szCs w:val="16"/>
          <w:color w:val="auto"/>
        </w:rPr>
        <w:t>If the Company wishes to offer, sell or deliver Securities at any time during the period from and</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 Announcement Date through and including the time that is 24 hours after the corresponding Filing Time, the Company shall (i) prepare and deliver to Merrill Lynch (with a copy to its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Arial" w:cs="Arial" w:eastAsia="Arial" w:hAnsi="Arial"/>
          <w:sz w:val="16"/>
          <w:szCs w:val="16"/>
          <w:u w:val="single" w:color="auto"/>
          <w:color w:val="auto"/>
        </w:rPr>
        <w:t>Earnings 8-K</w:t>
      </w:r>
      <w:r>
        <w:rPr>
          <w:rFonts w:ascii="Arial" w:cs="Arial" w:eastAsia="Arial" w:hAnsi="Arial"/>
          <w:sz w:val="16"/>
          <w:szCs w:val="16"/>
          <w:color w:val="auto"/>
        </w:rPr>
        <w:t>”), in form and substance reasonably satisfactory to Merrill Lynch, and obtain the consent of Merrill Lynch to the filing thereof (such consent not to be unreasonably withheld), (ii) provide Merrill Lynch with the officer’s certificate, opinions/letters of counsel and accountants’ letter called for by Sections 7(o), (p) and (q) hereof; respectively, (iii) afford Merrill Lynch the opportunity to conduct a due diligence review in accordance with Section 7(m) hereof and (iv) file such Earnings 8-K with the Commission, then the provisions of clause (iii) of Section 6(g)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w:t>
      </w:r>
    </w:p>
    <w:p>
      <w:pPr>
        <w:spacing w:after="0" w:line="4" w:lineRule="exact"/>
        <w:rPr>
          <w:rFonts w:ascii="Arial" w:cs="Arial" w:eastAsia="Arial" w:hAnsi="Arial"/>
          <w:sz w:val="16"/>
          <w:szCs w:val="16"/>
          <w:color w:val="auto"/>
        </w:rPr>
      </w:pPr>
    </w:p>
    <w:p>
      <w:pPr>
        <w:ind w:firstLine="8"/>
        <w:spacing w:after="0" w:line="281" w:lineRule="auto"/>
        <w:tabs>
          <w:tab w:leader="none" w:pos="2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delivery of any officer’s certificate, opinions/letters of counsel and accountants’ letter pursuant to this Section 6(h)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Sections 7(o),</w:t>
      </w:r>
    </w:p>
    <w:p>
      <w:pPr>
        <w:spacing w:after="0" w:line="2" w:lineRule="exact"/>
        <w:rPr>
          <w:rFonts w:ascii="Arial" w:cs="Arial" w:eastAsia="Arial" w:hAnsi="Arial"/>
          <w:sz w:val="16"/>
          <w:szCs w:val="16"/>
          <w:color w:val="auto"/>
        </w:rPr>
      </w:pPr>
    </w:p>
    <w:p>
      <w:pPr>
        <w:ind w:right="320"/>
        <w:spacing w:after="0" w:line="261" w:lineRule="auto"/>
        <w:rPr>
          <w:rFonts w:ascii="Arial" w:cs="Arial" w:eastAsia="Arial" w:hAnsi="Arial"/>
          <w:sz w:val="16"/>
          <w:szCs w:val="16"/>
          <w:color w:val="auto"/>
        </w:rPr>
      </w:pPr>
      <w:r>
        <w:rPr>
          <w:rFonts w:ascii="Arial" w:cs="Arial" w:eastAsia="Arial" w:hAnsi="Arial"/>
          <w:sz w:val="18"/>
          <w:szCs w:val="18"/>
          <w:color w:val="auto"/>
        </w:rPr>
        <w:t>(p) and (q) hereof and (B) this Section 6(h) shall in no way affect or limit the operation of the provisions of clauses (i) and (ii) of Section 6(g), which shall have independent application.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7" w:name="page68"/>
    <w:bookmarkEnd w:id="67"/>
    <w:p>
      <w:pPr>
        <w:ind w:left="460"/>
        <w:spacing w:after="0"/>
        <w:tabs>
          <w:tab w:leader="none" w:pos="1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covenants with Merrill Lynch as follows:</w:t>
      </w:r>
    </w:p>
    <w:p>
      <w:pPr>
        <w:spacing w:after="0" w:line="117" w:lineRule="exact"/>
        <w:rPr>
          <w:sz w:val="20"/>
          <w:szCs w:val="20"/>
          <w:color w:val="auto"/>
        </w:rPr>
      </w:pPr>
    </w:p>
    <w:p>
      <w:pPr>
        <w:ind w:firstLine="464"/>
        <w:spacing w:after="0" w:line="285" w:lineRule="auto"/>
        <w:tabs>
          <w:tab w:leader="none" w:pos="836"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Registration Statement Amendments</w:t>
      </w:r>
      <w:r>
        <w:rPr>
          <w:rFonts w:ascii="Arial" w:cs="Arial" w:eastAsia="Arial" w:hAnsi="Arial"/>
          <w:sz w:val="16"/>
          <w:szCs w:val="16"/>
          <w:color w:val="auto"/>
        </w:rPr>
        <w:t>. After the date of this Agreement and during any period in which a Prospectus relating to any 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is required to be delivered by Merrill Lynch under the Securities Act (including in circumstances where such requirement may be satisfied pursuant to Rule 172 under the Securities Act), (i) the Company will notify Merrill Lynch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Merrill Lynch’s request, any amendments or supplements to the Registration Statement or Prospectus that, in Merrill Lynch’s reasonable opinion, may be necessary or advisable in connection with the distribution of the Placement Securities by Merrill Lynch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Merrill Lynch to make such request shall not relieve the Company of any obligation or liability hereunder, or affect Merrill Lynch’s right to rely on the representations and warranties made by the Company in this Agreement); (iii) the Company will not file any amendment or supplement to the Registration Statement or Prospectus, other than documents incorporated by reference, relating to the Placement Securities or a security convertible into the Placement Securities unless a copy thereof has been submitted to Merrill Lynch within a reasonable period of time before the filing and Merrill Lynch has not reasonably objected thereto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Merrill Lynch to make such objection shall not relieve the Company of any obligation or liability hereunder, or affect Merrill Lynch’s right to rely on the representations and warranties made by the Company in this Agreement) and the Company will furnish to Merrill Lynch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283" w:lineRule="exact"/>
        <w:rPr>
          <w:rFonts w:ascii="Arial" w:cs="Arial" w:eastAsia="Arial" w:hAnsi="Arial"/>
          <w:sz w:val="16"/>
          <w:szCs w:val="16"/>
          <w:color w:val="auto"/>
        </w:rPr>
      </w:pPr>
    </w:p>
    <w:p>
      <w:pPr>
        <w:ind w:right="20" w:firstLine="464"/>
        <w:spacing w:after="0" w:line="270" w:lineRule="auto"/>
        <w:tabs>
          <w:tab w:leader="none" w:pos="846"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Notice of Commission Stop Orders</w:t>
      </w:r>
      <w:r>
        <w:rPr>
          <w:rFonts w:ascii="Arial" w:cs="Arial" w:eastAsia="Arial" w:hAnsi="Arial"/>
          <w:sz w:val="17"/>
          <w:szCs w:val="17"/>
          <w:color w:val="auto"/>
        </w:rPr>
        <w:t>. The Company will advise Merrill Lynch, promptly after it receives notice or obtains knowledge thereof,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Placement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68" w:name="page69"/>
    <w:bookmarkEnd w:id="68"/>
    <w:p>
      <w:pPr>
        <w:ind w:left="-20" w:right="120" w:firstLine="464"/>
        <w:spacing w:after="0" w:line="253" w:lineRule="auto"/>
        <w:tabs>
          <w:tab w:leader="none" w:pos="816"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Delivery of Registration Statement and Prospectus. </w:t>
      </w:r>
      <w:r>
        <w:rPr>
          <w:rFonts w:ascii="Arial" w:cs="Arial" w:eastAsia="Arial" w:hAnsi="Arial"/>
          <w:sz w:val="18"/>
          <w:szCs w:val="18"/>
          <w:color w:val="auto"/>
        </w:rPr>
        <w:t>The Company will furnish to Merrill Lynch and its counsel (at the expense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copies of the Registration Statement, the Prospectus (including all documents incorporated by reference therein) and all amendments and supplements to the Registration Statement or Prospectus, and any Issuer Free Writing Prospectuses, that are filed with the Commission during any period in which a Prospectus relating to the Placement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Merrill Lynch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Company shall not be required to furnish to Merrill Lynch any document that is available via EDGAR. The copies of the Registration Statement and the Prospectus and any supplements or amendments thereto furnished to Merrill Lynch will be identical to the electronically transmitted copies thereof filed with the Commission pursuant to EDGAR, except to the extent permitted by Regulation S-T.</w:t>
      </w:r>
    </w:p>
    <w:p>
      <w:pPr>
        <w:spacing w:after="0" w:line="89" w:lineRule="exact"/>
        <w:rPr>
          <w:rFonts w:ascii="Arial" w:cs="Arial" w:eastAsia="Arial" w:hAnsi="Arial"/>
          <w:sz w:val="18"/>
          <w:szCs w:val="18"/>
          <w:color w:val="auto"/>
        </w:rPr>
      </w:pPr>
    </w:p>
    <w:p>
      <w:pPr>
        <w:ind w:left="-20" w:firstLine="464"/>
        <w:spacing w:after="0" w:line="267" w:lineRule="auto"/>
        <w:tabs>
          <w:tab w:leader="none" w:pos="826"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Continued Compliance with Securities Laws. </w:t>
      </w:r>
      <w:r>
        <w:rPr>
          <w:rFonts w:ascii="Arial" w:cs="Arial" w:eastAsia="Arial" w:hAnsi="Arial"/>
          <w:sz w:val="17"/>
          <w:szCs w:val="17"/>
          <w:color w:val="auto"/>
        </w:rPr>
        <w:t>If at any time when a Prospectus is required by the Securities Act or the Exchange Act to be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in connection with a pending sale of the Placement Securities (including, without limitation, pursuant to Rule 172), any event shall occur or condition shall exist as a result of which it is necessary, in the opinion of counsel for Merrill Lynch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Securities Act, the Company will promptly notify Merrill Lynch to suspend the offering of Placement Securities during such period and the Company will promptly prepare and file with the Commission such amendment, supplement or new registration statement as may be necessary to correct such statement or omission or to comply with such requirements, the Company will use its reasonable best efforts to have such amendment or new registration statement declared effective as soon as practicable (if it is not an automatic shelf registration statement with respect to the Securities) and the Company will furnish to Merrill Lynch such number of copies of such amendment, supplement or new registration statement as Merrill Lynch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Merrill Lynch to suspend the offering of Placement Securities during such period and the Company will, subject to Section 7(a) hereof, promptly amend or supplement, at its own expense, such Issuer Free Writing Prospectus to eliminate or correct such conflict, untrue statement or omission.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74" w:right="239" w:bottom="1440" w:gutter="0" w:footer="0" w:header="0"/>
        </w:sectPr>
      </w:pPr>
    </w:p>
    <w:bookmarkStart w:id="69" w:name="page70"/>
    <w:bookmarkEnd w:id="69"/>
    <w:p>
      <w:pPr>
        <w:ind w:left="-20" w:right="40" w:firstLine="464"/>
        <w:spacing w:after="0" w:line="270" w:lineRule="auto"/>
        <w:tabs>
          <w:tab w:leader="none" w:pos="816"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Blue Sky and Other Qualifications. </w:t>
      </w:r>
      <w:r>
        <w:rPr>
          <w:rFonts w:ascii="Arial" w:cs="Arial" w:eastAsia="Arial" w:hAnsi="Arial"/>
          <w:sz w:val="17"/>
          <w:szCs w:val="17"/>
          <w:color w:val="auto"/>
        </w:rPr>
        <w:t>The Company will use its commercially reasonable efforts, in cooperation with Merrill Lynch, to qualify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Placement Securities for offering and sale, or to obtain an exemption for the Securities to be offered and sold, under the applicable securities laws of such states and other jurisdictions (domestic or foreign) as Merrill Lynch may designate and to maintain such qualifications and exemptions in effect for so long as required for the distribution of the Securities (but in no event for less than one year from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Securities have been so qualified or exempted, the Company will file such statements and reports as may be required by the laws of such jurisdiction to continue such qualification or exemption, as the case may be, in effect for so long as required for the distribution of the Placement Securities (but in no event for less than one year from the date of this Agreement).</w:t>
      </w:r>
    </w:p>
    <w:p>
      <w:pPr>
        <w:spacing w:after="0" w:line="73" w:lineRule="exact"/>
        <w:rPr>
          <w:rFonts w:ascii="Arial" w:cs="Arial" w:eastAsia="Arial" w:hAnsi="Arial"/>
          <w:sz w:val="17"/>
          <w:szCs w:val="17"/>
          <w:color w:val="auto"/>
        </w:rPr>
      </w:pPr>
    </w:p>
    <w:p>
      <w:pPr>
        <w:ind w:left="-20" w:right="360" w:firstLine="464"/>
        <w:spacing w:after="0" w:line="264" w:lineRule="auto"/>
        <w:tabs>
          <w:tab w:leader="none" w:pos="796"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Rule 158. </w:t>
      </w:r>
      <w:r>
        <w:rPr>
          <w:rFonts w:ascii="Arial" w:cs="Arial" w:eastAsia="Arial" w:hAnsi="Arial"/>
          <w:sz w:val="18"/>
          <w:szCs w:val="18"/>
          <w:color w:val="auto"/>
        </w:rPr>
        <w:t>The Company will timely file such reports pursuant to the Exchange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Merrill Lynch the benefits contemplated by, the last paragraph of Section 11(a) of the Securities Act.</w:t>
      </w:r>
    </w:p>
    <w:p>
      <w:pPr>
        <w:spacing w:after="0" w:line="73" w:lineRule="exact"/>
        <w:rPr>
          <w:rFonts w:ascii="Arial" w:cs="Arial" w:eastAsia="Arial" w:hAnsi="Arial"/>
          <w:sz w:val="18"/>
          <w:szCs w:val="18"/>
          <w:color w:val="auto"/>
        </w:rPr>
      </w:pPr>
    </w:p>
    <w:p>
      <w:pPr>
        <w:ind w:left="-20" w:right="160" w:firstLine="464"/>
        <w:spacing w:after="0" w:line="277" w:lineRule="auto"/>
        <w:tabs>
          <w:tab w:leader="none" w:pos="826"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caption “Use of Proceeds.”</w:t>
      </w:r>
    </w:p>
    <w:p>
      <w:pPr>
        <w:spacing w:after="0" w:line="62" w:lineRule="exact"/>
        <w:rPr>
          <w:rFonts w:ascii="Arial" w:cs="Arial" w:eastAsia="Arial" w:hAnsi="Arial"/>
          <w:sz w:val="18"/>
          <w:szCs w:val="18"/>
          <w:color w:val="auto"/>
        </w:rPr>
      </w:pPr>
    </w:p>
    <w:p>
      <w:pPr>
        <w:jc w:val="both"/>
        <w:ind w:left="-20" w:right="320" w:firstLine="464"/>
        <w:spacing w:after="0" w:line="312" w:lineRule="auto"/>
        <w:tabs>
          <w:tab w:leader="none" w:pos="826"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During any period in which the Prospectus relating to the Placement Securities is required to be delivered by Merrill Lynch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with respect to a pending sale of the Placement Securities (including in circumstances where such requirement may be satisfied pursuant to Rule 172 under the Securities Act), the Company will use its commercially reasonable efforts to cause the Placement Securities to be listed on the NYSE.</w:t>
      </w:r>
    </w:p>
    <w:p>
      <w:pPr>
        <w:spacing w:after="0" w:line="38" w:lineRule="exact"/>
        <w:rPr>
          <w:rFonts w:ascii="Arial" w:cs="Arial" w:eastAsia="Arial" w:hAnsi="Arial"/>
          <w:sz w:val="16"/>
          <w:szCs w:val="16"/>
          <w:color w:val="auto"/>
        </w:rPr>
      </w:pPr>
    </w:p>
    <w:p>
      <w:pPr>
        <w:ind w:left="-20" w:right="100" w:firstLine="464"/>
        <w:spacing w:after="0" w:line="277" w:lineRule="auto"/>
        <w:tabs>
          <w:tab w:leader="none" w:pos="786"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Filings with the NYSE</w:t>
      </w:r>
      <w:r>
        <w:rPr>
          <w:rFonts w:ascii="Arial" w:cs="Arial" w:eastAsia="Arial" w:hAnsi="Arial"/>
          <w:sz w:val="18"/>
          <w:szCs w:val="18"/>
          <w:color w:val="auto"/>
        </w:rPr>
        <w:t>. The Company will timely file with the NYSE all material documents and notices required by the NYSE of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or will issue securities that are traded on the NYSE.</w:t>
      </w:r>
    </w:p>
    <w:p>
      <w:pPr>
        <w:spacing w:after="0" w:line="62" w:lineRule="exact"/>
        <w:rPr>
          <w:rFonts w:ascii="Arial" w:cs="Arial" w:eastAsia="Arial" w:hAnsi="Arial"/>
          <w:sz w:val="18"/>
          <w:szCs w:val="18"/>
          <w:color w:val="auto"/>
        </w:rPr>
      </w:pPr>
    </w:p>
    <w:p>
      <w:pPr>
        <w:ind w:left="-20" w:right="260" w:firstLine="464"/>
        <w:spacing w:after="0" w:line="286" w:lineRule="auto"/>
        <w:tabs>
          <w:tab w:leader="none" w:pos="786"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Reporting Requirements. </w:t>
      </w:r>
      <w:r>
        <w:rPr>
          <w:rFonts w:ascii="Arial" w:cs="Arial" w:eastAsia="Arial" w:hAnsi="Arial"/>
          <w:sz w:val="17"/>
          <w:szCs w:val="17"/>
          <w:color w:val="auto"/>
        </w:rPr>
        <w:t>The Company, during any period when the Prospectus is required to be delivered under the Securities Act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57" w:lineRule="exact"/>
        <w:rPr>
          <w:rFonts w:ascii="Arial" w:cs="Arial" w:eastAsia="Arial" w:hAnsi="Arial"/>
          <w:sz w:val="17"/>
          <w:szCs w:val="17"/>
          <w:color w:val="auto"/>
        </w:rPr>
      </w:pPr>
    </w:p>
    <w:p>
      <w:pPr>
        <w:ind w:left="-20" w:firstLine="464"/>
        <w:spacing w:after="0" w:line="312" w:lineRule="auto"/>
        <w:tabs>
          <w:tab w:leader="none" w:pos="826"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Notice of Other Sales</w:t>
      </w:r>
      <w:r>
        <w:rPr>
          <w:rFonts w:ascii="Arial" w:cs="Arial" w:eastAsia="Arial" w:hAnsi="Arial"/>
          <w:sz w:val="16"/>
          <w:szCs w:val="16"/>
          <w:color w:val="auto"/>
        </w:rPr>
        <w:t>. During the pendency of any Placement Notice (as amended by the corresponding Acceptance, if applicable) given</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the Company shall provide Merrill Lynch notice as promptly as reasonably possible before it offers to sell, contracts to sell, sells, grants any option to sell or otherwise disposes of any Common Shares (other than Placement Securities offered pursuant to the provisions of this Agreement or the Alternative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274" w:right="259" w:bottom="1440" w:gutter="0" w:footer="0" w:header="0"/>
        </w:sectPr>
      </w:pPr>
    </w:p>
    <w:bookmarkStart w:id="70" w:name="page71"/>
    <w:bookmarkEnd w:id="7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Distribution Agreements) or securities convertible into or exchangeable for Common Shares, warrants or any rights to purchase or acquire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notice shall not be required in connection with (i) the issuance, grant or sale of Common Shares, options to purchase Common Shares or Common Shares issuable upon the exercise of options or other 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or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(v) a non-material acquisition, merger or purchase of assets or</w:t>
      </w:r>
    </w:p>
    <w:p>
      <w:pPr>
        <w:spacing w:after="0" w:line="7" w:lineRule="exact"/>
        <w:rPr>
          <w:sz w:val="20"/>
          <w:szCs w:val="20"/>
          <w:color w:val="auto"/>
        </w:rPr>
      </w:pPr>
    </w:p>
    <w:p>
      <w:pPr>
        <w:ind w:right="220" w:firstLine="8"/>
        <w:spacing w:after="0" w:line="261" w:lineRule="auto"/>
        <w:tabs>
          <w:tab w:leader="none" w:pos="3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issuance or sale pursuant to the exercise of contractual rights described in the Prospectus by the current holders of partnership or other interests in certain “DownREIT” and other subsidiaries which may result in the issuance of Common Shares of the Company.</w:t>
      </w:r>
    </w:p>
    <w:p>
      <w:pPr>
        <w:spacing w:after="0" w:line="75" w:lineRule="exact"/>
        <w:rPr>
          <w:rFonts w:ascii="Arial" w:cs="Arial" w:eastAsia="Arial" w:hAnsi="Arial"/>
          <w:sz w:val="18"/>
          <w:szCs w:val="18"/>
          <w:color w:val="auto"/>
        </w:rPr>
      </w:pPr>
    </w:p>
    <w:p>
      <w:pPr>
        <w:ind w:right="180" w:firstLine="464"/>
        <w:spacing w:after="0" w:line="264" w:lineRule="auto"/>
        <w:tabs>
          <w:tab w:leader="none" w:pos="806"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Change of Circumstances</w:t>
      </w:r>
      <w:r>
        <w:rPr>
          <w:rFonts w:ascii="Arial" w:cs="Arial" w:eastAsia="Arial" w:hAnsi="Arial"/>
          <w:sz w:val="18"/>
          <w:szCs w:val="18"/>
          <w:color w:val="auto"/>
        </w:rPr>
        <w:t>. The Company will, prior to tendering a Placement Notice or selling Placement Securities, advise Merrill Lynch</w:t>
      </w:r>
      <w:r>
        <w:rPr>
          <w:rFonts w:ascii="Arial" w:cs="Arial" w:eastAsia="Arial" w:hAnsi="Arial"/>
          <w:sz w:val="18"/>
          <w:szCs w:val="18"/>
          <w:i w:val="1"/>
          <w:iCs w:val="1"/>
          <w:color w:val="auto"/>
        </w:rPr>
        <w:t xml:space="preserve"> </w:t>
      </w:r>
      <w:r>
        <w:rPr>
          <w:rFonts w:ascii="Arial" w:cs="Arial" w:eastAsia="Arial" w:hAnsi="Arial"/>
          <w:sz w:val="18"/>
          <w:szCs w:val="18"/>
          <w:color w:val="auto"/>
        </w:rPr>
        <w:t>promptly after it shall have received notice or obtained knowledge thereof, of any information or fact that would alter or affect in any material respect any opinion, certificate, letter or other document provided to Merrill Lynch pursuant to this Agreement.</w:t>
      </w:r>
    </w:p>
    <w:p>
      <w:pPr>
        <w:spacing w:after="0" w:line="73" w:lineRule="exact"/>
        <w:rPr>
          <w:rFonts w:ascii="Arial" w:cs="Arial" w:eastAsia="Arial" w:hAnsi="Arial"/>
          <w:sz w:val="18"/>
          <w:szCs w:val="18"/>
          <w:color w:val="auto"/>
        </w:rPr>
      </w:pPr>
    </w:p>
    <w:p>
      <w:pPr>
        <w:ind w:firstLine="464"/>
        <w:spacing w:after="0" w:line="286" w:lineRule="auto"/>
        <w:tabs>
          <w:tab w:leader="none" w:pos="896" w:val="left"/>
        </w:tabs>
        <w:numPr>
          <w:ilvl w:val="1"/>
          <w:numId w:val="67"/>
        </w:numPr>
        <w:rPr>
          <w:rFonts w:ascii="Arial" w:cs="Arial" w:eastAsia="Arial" w:hAnsi="Arial"/>
          <w:sz w:val="17"/>
          <w:szCs w:val="17"/>
          <w:color w:val="auto"/>
        </w:rPr>
      </w:pPr>
      <w:r>
        <w:rPr>
          <w:rFonts w:ascii="Arial" w:cs="Arial" w:eastAsia="Arial" w:hAnsi="Arial"/>
          <w:sz w:val="17"/>
          <w:szCs w:val="17"/>
          <w:i w:val="1"/>
          <w:iCs w:val="1"/>
          <w:color w:val="auto"/>
        </w:rPr>
        <w:t>Due Diligence Cooperation</w:t>
      </w:r>
      <w:r>
        <w:rPr>
          <w:rFonts w:ascii="Arial" w:cs="Arial" w:eastAsia="Arial" w:hAnsi="Arial"/>
          <w:sz w:val="17"/>
          <w:szCs w:val="17"/>
          <w:color w:val="auto"/>
        </w:rPr>
        <w:t>. The Company will cooperate with any reasonable due diligence review conducted by Merrill Lynch or its agents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transactions contemplated hereby, including, without limitation, providing information and making available documents and senior officers, during regular business hours and at the Company’s principal offices, as Merrill Lynch may reasonably request.</w:t>
      </w:r>
    </w:p>
    <w:p>
      <w:pPr>
        <w:spacing w:after="0" w:line="57" w:lineRule="exact"/>
        <w:rPr>
          <w:rFonts w:ascii="Arial" w:cs="Arial" w:eastAsia="Arial" w:hAnsi="Arial"/>
          <w:sz w:val="17"/>
          <w:szCs w:val="17"/>
          <w:color w:val="auto"/>
        </w:rPr>
      </w:pPr>
    </w:p>
    <w:p>
      <w:pPr>
        <w:ind w:right="100" w:firstLine="464"/>
        <w:spacing w:after="0" w:line="286" w:lineRule="auto"/>
        <w:tabs>
          <w:tab w:leader="none" w:pos="846" w:val="left"/>
        </w:tabs>
        <w:numPr>
          <w:ilvl w:val="1"/>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Disclosure of Sales. </w:t>
      </w:r>
      <w:r>
        <w:rPr>
          <w:rFonts w:ascii="Arial" w:cs="Arial" w:eastAsia="Arial" w:hAnsi="Arial"/>
          <w:sz w:val="17"/>
          <w:szCs w:val="17"/>
          <w:color w:val="auto"/>
        </w:rPr>
        <w:t>The Company will disclose in its quarterly reports on Form 10-Q, in its annual report on Form 10-K and/or in a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on Form 8-K, the number of Placement Securities sold through Merrill Lynch and the Alternative Agents, the Net Proceeds to the Company and the compensation payable by the Company to Merrill Lynch and the Alternative Agents with respect to such Placement Securities.</w:t>
      </w:r>
    </w:p>
    <w:p>
      <w:pPr>
        <w:spacing w:after="0" w:line="57" w:lineRule="exact"/>
        <w:rPr>
          <w:rFonts w:ascii="Arial" w:cs="Arial" w:eastAsia="Arial" w:hAnsi="Arial"/>
          <w:sz w:val="17"/>
          <w:szCs w:val="17"/>
          <w:color w:val="auto"/>
        </w:rPr>
      </w:pPr>
    </w:p>
    <w:p>
      <w:pPr>
        <w:ind w:right="280" w:firstLine="464"/>
        <w:spacing w:after="0" w:line="277" w:lineRule="auto"/>
        <w:tabs>
          <w:tab w:leader="none" w:pos="846"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Representation Dates; Certificates</w:t>
      </w:r>
      <w:r>
        <w:rPr>
          <w:rFonts w:ascii="Arial" w:cs="Arial" w:eastAsia="Arial" w:hAnsi="Arial"/>
          <w:sz w:val="18"/>
          <w:szCs w:val="18"/>
          <w:color w:val="auto"/>
        </w:rPr>
        <w:t>. On or prior to the date that the first Securities are sold pursuant to the terms of this Agreement, each time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delivered to Merrill Lynch, as principal on a Settlement Date and:</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each time the Company:</w:t>
      </w:r>
    </w:p>
    <w:p>
      <w:pPr>
        <w:spacing w:after="0" w:line="130" w:lineRule="exact"/>
        <w:rPr>
          <w:rFonts w:ascii="Arial" w:cs="Arial" w:eastAsia="Arial" w:hAnsi="Arial"/>
          <w:sz w:val="18"/>
          <w:szCs w:val="18"/>
          <w:color w:val="auto"/>
        </w:rPr>
      </w:pPr>
    </w:p>
    <w:p>
      <w:pPr>
        <w:ind w:left="1920" w:right="200" w:hanging="440"/>
        <w:spacing w:after="0" w:line="312" w:lineRule="auto"/>
        <w:tabs>
          <w:tab w:leader="none" w:pos="1920" w:val="left"/>
        </w:tabs>
        <w:numPr>
          <w:ilvl w:val="3"/>
          <w:numId w:val="67"/>
        </w:numPr>
        <w:rPr>
          <w:rFonts w:ascii="Arial" w:cs="Arial" w:eastAsia="Arial" w:hAnsi="Arial"/>
          <w:sz w:val="16"/>
          <w:szCs w:val="16"/>
          <w:color w:val="auto"/>
        </w:rPr>
      </w:pPr>
      <w:r>
        <w:rPr>
          <w:rFonts w:ascii="Arial" w:cs="Arial" w:eastAsia="Arial" w:hAnsi="Arial"/>
          <w:sz w:val="16"/>
          <w:szCs w:val="16"/>
          <w:color w:val="auto"/>
        </w:rPr>
        <w:t>files the Prospectus relating to the Placement Securities or amends or supplements the Registration Statement or the Prospectus relating to the Placement Securities by means of a post-effective amendment, sticker, or supplement but not by means of incorporation of documents by reference into the Registration Statement or the Prospectus relating to the Placement Securities;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274" w:right="379" w:bottom="1440" w:gutter="0" w:footer="0" w:header="0"/>
        </w:sectPr>
      </w:pPr>
    </w:p>
    <w:bookmarkStart w:id="71" w:name="page72"/>
    <w:bookmarkEnd w:id="71"/>
    <w:p>
      <w:pPr>
        <w:ind w:left="1920" w:hanging="440"/>
        <w:spacing w:after="0"/>
        <w:tabs>
          <w:tab w:leader="none" w:pos="1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files an Annual Report on Form 10-K under the Exchange Act;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files a Quarterly Report on Form 10-Q under the Exchange Act; or</w:t>
      </w:r>
    </w:p>
    <w:p>
      <w:pPr>
        <w:spacing w:after="0" w:line="130" w:lineRule="exact"/>
        <w:rPr>
          <w:rFonts w:ascii="Arial" w:cs="Arial" w:eastAsia="Arial" w:hAnsi="Arial"/>
          <w:sz w:val="18"/>
          <w:szCs w:val="18"/>
          <w:color w:val="auto"/>
        </w:rPr>
      </w:pPr>
    </w:p>
    <w:p>
      <w:pPr>
        <w:ind w:left="1920" w:right="620" w:hanging="440"/>
        <w:spacing w:after="0" w:line="277" w:lineRule="auto"/>
        <w:tabs>
          <w:tab w:leader="none" w:pos="1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62" w:lineRule="exact"/>
        <w:rPr>
          <w:sz w:val="20"/>
          <w:szCs w:val="20"/>
          <w:color w:val="auto"/>
        </w:rPr>
      </w:pPr>
    </w:p>
    <w:p>
      <w:pPr>
        <w:ind w:left="1300" w:hanging="397"/>
        <w:spacing w:after="0"/>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at any other time reasonably requested by Merrill Lynch (each such date of filing of one or more of the documents referred to in clauses (1)</w:t>
      </w:r>
    </w:p>
    <w:p>
      <w:pPr>
        <w:spacing w:after="0" w:line="46" w:lineRule="exact"/>
        <w:rPr>
          <w:rFonts w:ascii="Arial" w:cs="Arial" w:eastAsia="Arial" w:hAnsi="Arial"/>
          <w:sz w:val="16"/>
          <w:szCs w:val="16"/>
          <w:color w:val="auto"/>
        </w:rPr>
      </w:pPr>
    </w:p>
    <w:p>
      <w:pPr>
        <w:ind w:left="680" w:hanging="216"/>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through (iv) and any time of request pursuant to this Section 7(o)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10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the Company shall furnish Merrill Lynch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as promptly as possible and in no event later than three (3) Trading Days of any Representation Date. The requirement to provide a certificate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waiver shall not apply for any Representation Date on which the Company files its annual report on Form 10-K. Notwithstanding the foregoing, if the Company subsequently decides to sell Placement Securities following a Representation Date when the Company relied on such waiver and did not provide Merrill Lynch with a certificate under this Section 7(o), then before the Company delivers the Placement Notice or Merrill Lynch sells any Placement Securities, the Company shall provide Merrill Lynch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dated the date of the Placement Notice.</w:t>
      </w:r>
    </w:p>
    <w:p>
      <w:pPr>
        <w:spacing w:after="0" w:line="74" w:lineRule="exact"/>
        <w:rPr>
          <w:sz w:val="20"/>
          <w:szCs w:val="20"/>
          <w:color w:val="auto"/>
        </w:rPr>
      </w:pPr>
    </w:p>
    <w:p>
      <w:pPr>
        <w:ind w:firstLine="464"/>
        <w:spacing w:after="0" w:line="290" w:lineRule="auto"/>
        <w:tabs>
          <w:tab w:leader="none" w:pos="846"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Legal Opinions</w:t>
      </w:r>
      <w:r>
        <w:rPr>
          <w:rFonts w:ascii="Arial" w:cs="Arial" w:eastAsia="Arial" w:hAnsi="Arial"/>
          <w:sz w:val="16"/>
          <w:szCs w:val="16"/>
          <w:color w:val="auto"/>
        </w:rPr>
        <w:t>. On or prior to the date that the first Securities are sold pursuant to the terms of this Agreement and each time Securities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delivered to Merrill Lynch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for which no waiver is applicable, the Company shall cause to be furnished to Merrill Lynch written opinions of Pillsbury Winthrop Shaw Pittman LLP (“</w:t>
      </w:r>
      <w:r>
        <w:rPr>
          <w:rFonts w:ascii="Arial" w:cs="Arial" w:eastAsia="Arial" w:hAnsi="Arial"/>
          <w:sz w:val="16"/>
          <w:szCs w:val="16"/>
          <w:u w:val="single" w:color="auto"/>
          <w:color w:val="auto"/>
        </w:rPr>
        <w:t>Company Counsel</w:t>
      </w:r>
      <w:r>
        <w:rPr>
          <w:rFonts w:ascii="Arial" w:cs="Arial" w:eastAsia="Arial" w:hAnsi="Arial"/>
          <w:sz w:val="16"/>
          <w:szCs w:val="16"/>
          <w:color w:val="auto"/>
        </w:rPr>
        <w:t xml:space="preserve">”), or other counsel satisfactory to Merrill Lynch, in form and substance satisfactory to Merrill Lynch and its counsel, dated the date that the opinion is required to be delivered, substantially similar to the forms attached hereto as </w:t>
      </w:r>
      <w:r>
        <w:rPr>
          <w:rFonts w:ascii="Arial" w:cs="Arial" w:eastAsia="Arial" w:hAnsi="Arial"/>
          <w:sz w:val="16"/>
          <w:szCs w:val="16"/>
          <w:u w:val="single" w:color="auto"/>
          <w:color w:val="auto"/>
        </w:rPr>
        <w:t>Exhibit D-1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D-2</w:t>
      </w:r>
      <w:r>
        <w:rPr>
          <w:rFonts w:ascii="Arial" w:cs="Arial" w:eastAsia="Arial" w:hAnsi="Arial"/>
          <w:sz w:val="16"/>
          <w:szCs w:val="16"/>
          <w:color w:val="auto"/>
        </w:rPr>
        <w:t xml:space="preserve">, subject to such assumptions, exceptions and qualifications reasonably acceptable to Merrill Lynch and its counsel, and modified, as necessary, to relate to the Registration Statement and the Prospectus as then amended or supplemented;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lieu of such opinions for subsequent Representation Dates, any such counsel may furnish Merrill Lynch with</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72" w:name="page73"/>
    <w:bookmarkEnd w:id="72"/>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letter to the effect that Merrill Lynch may rely on a prior opinion delivered under this Section 7(p) to the same extent as if it were dated the date of such letter (except that statements in such prior opinion shall be deemed to relate to the Registration Statement and the Prospectus as amended or supplemented at such Representation Date).</w:t>
      </w:r>
    </w:p>
    <w:p>
      <w:pPr>
        <w:spacing w:after="0" w:line="73" w:lineRule="exact"/>
        <w:rPr>
          <w:sz w:val="20"/>
          <w:szCs w:val="20"/>
          <w:color w:val="auto"/>
        </w:rPr>
      </w:pPr>
    </w:p>
    <w:p>
      <w:pPr>
        <w:ind w:firstLine="464"/>
        <w:spacing w:after="0" w:line="270" w:lineRule="auto"/>
        <w:tabs>
          <w:tab w:leader="none" w:pos="846"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Comfort Letter</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Merrill Lynch,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its independent accountants to furnish Merrill Lynch letter(s) (the “</w:t>
      </w:r>
      <w:r>
        <w:rPr>
          <w:rFonts w:ascii="Arial" w:cs="Arial" w:eastAsia="Arial" w:hAnsi="Arial"/>
          <w:sz w:val="17"/>
          <w:szCs w:val="17"/>
          <w:u w:val="single" w:color="auto"/>
          <w:color w:val="auto"/>
        </w:rPr>
        <w:t>Comfort Letter</w:t>
      </w:r>
      <w:r>
        <w:rPr>
          <w:rFonts w:ascii="Arial" w:cs="Arial" w:eastAsia="Arial" w:hAnsi="Arial"/>
          <w:sz w:val="17"/>
          <w:szCs w:val="17"/>
          <w:color w:val="auto"/>
        </w:rPr>
        <w:t>”), dated the date the Comfort Letter is delivered, in form and substance satisfactory to Merrill Lynch,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u w:val="single" w:color="auto"/>
          <w:color w:val="auto"/>
        </w:rPr>
        <w:t>Initial Comfort Letter</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69" w:lineRule="exact"/>
        <w:rPr>
          <w:rFonts w:ascii="Arial" w:cs="Arial" w:eastAsia="Arial" w:hAnsi="Arial"/>
          <w:sz w:val="17"/>
          <w:szCs w:val="17"/>
          <w:color w:val="auto"/>
        </w:rPr>
      </w:pPr>
    </w:p>
    <w:p>
      <w:pPr>
        <w:ind w:right="80" w:firstLine="464"/>
        <w:spacing w:after="0" w:line="273" w:lineRule="auto"/>
        <w:tabs>
          <w:tab w:leader="none" w:pos="816"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Market Activities</w:t>
      </w:r>
      <w:r>
        <w:rPr>
          <w:rFonts w:ascii="Arial" w:cs="Arial" w:eastAsia="Arial" w:hAnsi="Arial"/>
          <w:sz w:val="17"/>
          <w:szCs w:val="17"/>
          <w:color w:val="auto"/>
        </w:rPr>
        <w:t>. The Company will not, directly or indirectly, (i) take any action designed to cause or result in, or that constitutes or might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reasonably 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Merrill Lynch;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bid for and purchase its Common Shares in accordance with Rule 10b-18 under the Exchange Act,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 such bids or purchases shall be made by the Company during the three (3) Trading Days before or after any sale of any Securities pursuant to this Agreement.</w:t>
      </w:r>
    </w:p>
    <w:p>
      <w:pPr>
        <w:spacing w:after="0" w:line="70" w:lineRule="exact"/>
        <w:rPr>
          <w:rFonts w:ascii="Arial" w:cs="Arial" w:eastAsia="Arial" w:hAnsi="Arial"/>
          <w:sz w:val="17"/>
          <w:szCs w:val="17"/>
          <w:color w:val="auto"/>
        </w:rPr>
      </w:pPr>
    </w:p>
    <w:p>
      <w:pPr>
        <w:jc w:val="both"/>
        <w:ind w:right="220" w:firstLine="464"/>
        <w:spacing w:after="0" w:line="259" w:lineRule="auto"/>
        <w:tabs>
          <w:tab w:leader="none" w:pos="826"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Company and its subsidiaries shall maintain, or cause to be maintained, insurance in such amounts and covering such risks as 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and its subsidiaries, considered as one enterprise.</w:t>
      </w:r>
    </w:p>
    <w:p>
      <w:pPr>
        <w:spacing w:after="0" w:line="78" w:lineRule="exact"/>
        <w:rPr>
          <w:rFonts w:ascii="Arial" w:cs="Arial" w:eastAsia="Arial" w:hAnsi="Arial"/>
          <w:sz w:val="18"/>
          <w:szCs w:val="18"/>
          <w:color w:val="auto"/>
        </w:rPr>
      </w:pPr>
    </w:p>
    <w:p>
      <w:pPr>
        <w:ind w:firstLine="464"/>
        <w:spacing w:after="0" w:line="279" w:lineRule="auto"/>
        <w:tabs>
          <w:tab w:leader="none" w:pos="806"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Compliance with Laws</w:t>
      </w:r>
      <w:r>
        <w:rPr>
          <w:rFonts w:ascii="Arial" w:cs="Arial" w:eastAsia="Arial" w:hAnsi="Arial"/>
          <w:sz w:val="17"/>
          <w:szCs w:val="17"/>
          <w:color w:val="auto"/>
        </w:rPr>
        <w:t>. The Company and each of its subsidiaries shall maintain, or cause to be maintained, all material environmental permits,</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73" w:name="page74"/>
    <w:bookmarkEnd w:id="73"/>
    <w:p>
      <w:pPr>
        <w:ind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in compliance with such permits, licenses and authorizations could not reasonably be expected to have a material adverse effect on the condition, financial or otherwise, or on the earnings, business affairs or business prospects of the Company and its subsidiaries, considered as one enterprise.</w:t>
      </w:r>
    </w:p>
    <w:p>
      <w:pPr>
        <w:spacing w:after="0" w:line="38" w:lineRule="exact"/>
        <w:rPr>
          <w:sz w:val="20"/>
          <w:szCs w:val="20"/>
          <w:color w:val="auto"/>
        </w:rPr>
      </w:pPr>
    </w:p>
    <w:p>
      <w:pPr>
        <w:ind w:right="180" w:firstLine="464"/>
        <w:spacing w:after="0" w:line="259" w:lineRule="auto"/>
        <w:tabs>
          <w:tab w:leader="none" w:pos="846"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will conduct its affairs in such a manner so as to reasonably ensure that neither it nor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will be or become, at any time prior to the termination of this Agreement, required to register as an “investment company,” as such term is defined in the Investment Company Act, assuming no change in the Commission’s current interpretation as to entities that are not considered an investment company.</w:t>
      </w:r>
    </w:p>
    <w:p>
      <w:pPr>
        <w:spacing w:after="0" w:line="78" w:lineRule="exact"/>
        <w:rPr>
          <w:rFonts w:ascii="Arial" w:cs="Arial" w:eastAsia="Arial" w:hAnsi="Arial"/>
          <w:sz w:val="18"/>
          <w:szCs w:val="18"/>
          <w:color w:val="auto"/>
        </w:rPr>
      </w:pPr>
    </w:p>
    <w:p>
      <w:pPr>
        <w:jc w:val="both"/>
        <w:ind w:firstLine="464"/>
        <w:spacing w:after="0" w:line="264" w:lineRule="auto"/>
        <w:tabs>
          <w:tab w:leader="none" w:pos="846"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as from time to time in force and effect, so far as necessary to permit the continuance of sales of, or dealings in, the Placement Securities as contemplated by the provisions hereof and the Prospectus.</w:t>
      </w:r>
    </w:p>
    <w:p>
      <w:pPr>
        <w:spacing w:after="0" w:line="73" w:lineRule="exact"/>
        <w:rPr>
          <w:rFonts w:ascii="Arial" w:cs="Arial" w:eastAsia="Arial" w:hAnsi="Arial"/>
          <w:sz w:val="18"/>
          <w:szCs w:val="18"/>
          <w:color w:val="auto"/>
        </w:rPr>
      </w:pPr>
    </w:p>
    <w:p>
      <w:pPr>
        <w:ind w:right="120" w:firstLine="464"/>
        <w:spacing w:after="0" w:line="259" w:lineRule="auto"/>
        <w:tabs>
          <w:tab w:leader="none" w:pos="886"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No Offer to Sell</w:t>
      </w:r>
      <w:r>
        <w:rPr>
          <w:rFonts w:ascii="Arial" w:cs="Arial" w:eastAsia="Arial" w:hAnsi="Arial"/>
          <w:sz w:val="18"/>
          <w:szCs w:val="18"/>
          <w:color w:val="auto"/>
        </w:rPr>
        <w:t>. Other than a free writing prospectus (as defined in Rule 405 under the Securities Act) approved in advance in writing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Merrill Lynch, in its capacity as principal or agent hereunder, the Company (including its agents and representatives, other than Merrill Lynch in its capacity as such) will not, directly or indirectly, make, use, prepare, authorize, approve or refer to any free writing prospectus relating to the Securities to be sold by Merrill Lynch, as principal or agent hereunder.</w:t>
      </w:r>
    </w:p>
    <w:p>
      <w:pPr>
        <w:spacing w:after="0" w:line="78" w:lineRule="exact"/>
        <w:rPr>
          <w:rFonts w:ascii="Arial" w:cs="Arial" w:eastAsia="Arial" w:hAnsi="Arial"/>
          <w:sz w:val="18"/>
          <w:szCs w:val="18"/>
          <w:color w:val="auto"/>
        </w:rPr>
      </w:pPr>
    </w:p>
    <w:p>
      <w:pPr>
        <w:ind w:right="640" w:firstLine="464"/>
        <w:spacing w:after="0" w:line="277" w:lineRule="auto"/>
        <w:tabs>
          <w:tab w:leader="none" w:pos="846"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Company and its subsidiaries shall comply in all material respects with all effective applicable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Sarbanes-Oxley Act.</w:t>
      </w:r>
    </w:p>
    <w:p>
      <w:pPr>
        <w:spacing w:after="0" w:line="62" w:lineRule="exact"/>
        <w:rPr>
          <w:rFonts w:ascii="Arial" w:cs="Arial" w:eastAsia="Arial" w:hAnsi="Arial"/>
          <w:sz w:val="18"/>
          <w:szCs w:val="18"/>
          <w:color w:val="auto"/>
        </w:rPr>
      </w:pPr>
    </w:p>
    <w:p>
      <w:pPr>
        <w:ind w:right="620" w:firstLine="464"/>
        <w:spacing w:after="0" w:line="312" w:lineRule="auto"/>
        <w:tabs>
          <w:tab w:leader="none" w:pos="846"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Regulation M. </w:t>
      </w:r>
      <w:r>
        <w:rPr>
          <w:rFonts w:ascii="Arial" w:cs="Arial" w:eastAsia="Arial" w:hAnsi="Arial"/>
          <w:sz w:val="16"/>
          <w:szCs w:val="16"/>
          <w:color w:val="auto"/>
        </w:rPr>
        <w:t>If the Company has reason to believe that the exemptive provisions set forth in Rule 101(c)(1) of Regulation M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are not satisfied with respect to the Company or the Common Shares, it shall promptly notify Merrill Lynch and sales of the Placement Securities under this Agreement shall be suspended until that or other exemptive provisions have been satisfied in the judgment of each party.</w:t>
      </w:r>
    </w:p>
    <w:p>
      <w:pPr>
        <w:spacing w:after="0" w:line="38" w:lineRule="exact"/>
        <w:rPr>
          <w:rFonts w:ascii="Arial" w:cs="Arial" w:eastAsia="Arial" w:hAnsi="Arial"/>
          <w:sz w:val="16"/>
          <w:szCs w:val="16"/>
          <w:color w:val="auto"/>
        </w:rPr>
      </w:pPr>
    </w:p>
    <w:p>
      <w:pPr>
        <w:ind w:right="200" w:firstLine="464"/>
        <w:spacing w:after="0" w:line="277" w:lineRule="auto"/>
        <w:tabs>
          <w:tab w:leader="none" w:pos="836"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REIT Treatment</w:t>
      </w:r>
      <w:r>
        <w:rPr>
          <w:rFonts w:ascii="Arial" w:cs="Arial" w:eastAsia="Arial" w:hAnsi="Arial"/>
          <w:sz w:val="18"/>
          <w:szCs w:val="18"/>
          <w:color w:val="auto"/>
        </w:rPr>
        <w:t>. The Company will use its best efforts to meet the requirements to qualify as a “real estate investment trust” under the Code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taxable years that include any portion of the term of this Agreement.</w:t>
      </w:r>
    </w:p>
    <w:p>
      <w:pPr>
        <w:spacing w:after="0" w:line="62" w:lineRule="exact"/>
        <w:rPr>
          <w:sz w:val="20"/>
          <w:szCs w:val="20"/>
          <w:color w:val="auto"/>
        </w:rPr>
      </w:pPr>
    </w:p>
    <w:p>
      <w:pPr>
        <w:ind w:right="240" w:firstLine="464"/>
        <w:spacing w:after="0" w:line="273" w:lineRule="auto"/>
        <w:tabs>
          <w:tab w:leader="none" w:pos="916"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Renewal of Registration Statement. </w:t>
      </w:r>
      <w:r>
        <w:rPr>
          <w:rFonts w:ascii="Arial" w:cs="Arial" w:eastAsia="Arial" w:hAnsi="Arial"/>
          <w:sz w:val="17"/>
          <w:szCs w:val="17"/>
          <w:color w:val="auto"/>
        </w:rPr>
        <w:t>The date of this Agreement is not more than three years subsequent to the initial effective date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w:t>
      </w:r>
      <w:r>
        <w:rPr>
          <w:rFonts w:ascii="Arial" w:cs="Arial" w:eastAsia="Arial" w:hAnsi="Arial"/>
          <w:sz w:val="17"/>
          <w:szCs w:val="17"/>
          <w:u w:val="single" w:color="auto"/>
          <w:color w:val="auto"/>
        </w:rPr>
        <w:t>Renewal Date</w:t>
      </w:r>
      <w:r>
        <w:rPr>
          <w:rFonts w:ascii="Arial" w:cs="Arial" w:eastAsia="Arial" w:hAnsi="Arial"/>
          <w:sz w:val="17"/>
          <w:szCs w:val="17"/>
          <w:color w:val="auto"/>
        </w:rPr>
        <w:t>”). If, immediately prior to the third anniversary of the Renewal Date, this Agreement has not terminated and a prospectus is required to be delivered or made available by Merrill Lynch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74" w:name="page75"/>
    <w:bookmarkEnd w:id="74"/>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73" w:lineRule="exact"/>
        <w:rPr>
          <w:sz w:val="20"/>
          <w:szCs w:val="20"/>
          <w:color w:val="auto"/>
        </w:rPr>
      </w:pPr>
    </w:p>
    <w:p>
      <w:pPr>
        <w:ind w:firstLine="464"/>
        <w:spacing w:after="0" w:line="259" w:lineRule="auto"/>
        <w:tabs>
          <w:tab w:leader="none" w:pos="936"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Rights to Refuse Purchase. </w:t>
      </w:r>
      <w:r>
        <w:rPr>
          <w:rFonts w:ascii="Arial" w:cs="Arial" w:eastAsia="Arial" w:hAnsi="Arial"/>
          <w:sz w:val="18"/>
          <w:szCs w:val="18"/>
          <w:color w:val="auto"/>
        </w:rPr>
        <w:t>If, to the knowledge of the Company, all filings required by Rule 424 in connection with the offering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Merrill Lynch the right to refuse to purchase and pay for such Securities.</w:t>
      </w:r>
    </w:p>
    <w:p>
      <w:pPr>
        <w:spacing w:after="0" w:line="187"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117" w:lineRule="exact"/>
        <w:rPr>
          <w:sz w:val="20"/>
          <w:szCs w:val="20"/>
          <w:color w:val="auto"/>
        </w:rPr>
      </w:pPr>
    </w:p>
    <w:p>
      <w:pPr>
        <w:ind w:right="20" w:firstLine="464"/>
        <w:spacing w:after="0" w:line="282" w:lineRule="auto"/>
        <w:tabs>
          <w:tab w:leader="none" w:pos="836" w:val="left"/>
        </w:tabs>
        <w:numPr>
          <w:ilvl w:val="1"/>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will pay all expenses incident to the performance of its obligations under this Agreement, including (i) the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printing and filing of the Registration Statement (including financial statements and exhibits) as originally filed and of each amendment and supplement thereto, (ii) the preparation, issuance and delivery of the certificates for the Placement Securities to Merrill Lynch, including any stock or other transfer taxes and any capital duties, stamp duties or other duties or taxes payable upon the sale, issuance or delivery of the Placement Securities to Merrill Lynch, (iii) the fees and disbursements of the counsel, accountants and other advisors to the Company, (iv) the qualification or exemption of the Placement Securities under securities laws in accordance with the provisions of Section 7(e) hereof, including filing fees and the reasonable fees and disbursements of counsel for Merrill Lynch in connection therewith and in connection with the preparation of a state securities law or “blue sky” survey and any supplements thereto, (v) the printing and delivery to Merrill Lynch of copies of any Permitted Free Writing Prospectus and the Prospectus and any amendments or supplements thereto and any costs associated with electronic delivery of any of the foregoing by Merrill Lynch to investors, (vi) the preparation, printing and delivery to Merrill Lynch of copies of the Blue Sky Survey and any Canadian “wrapper” and any supplements thereto, (vii) the fees and expenses of the custodian and the transfer agent and registrar for the Securities, (viii) the filing fees incident to, and the reasonable fees and disbursements of counsel for Merrill Lynch in connection with, the review by FINRA of the terms of the sale of the Securities, (ix) the fees and expenses incurred in connection with the listing of the Placement Securities on the NYSE, (x) the disbursements of counsel for Merrill Lynch in connection with the copying and delivery of closing documents delivered by the Company or the Company’s accountants or counsel (including any local counsel) and (xi) if Securities having an aggregate offering price of $50,000,000 or more have not been offered and sold under this Agreement and/or the Alternative Distribution Agreements by the eighteen-month anniversary of this Agreement (or such earlier date at which the Company terminates this Agreement)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the Company shall reimburse Merrill Lynch and the Alternative Agents for all of its reasonable out-of-pocket expenses, including the reasonable fees and disbursements of counsel for Merrill Lynch and the Alternative Agents incurred by Merrill Lynch and the Alternative Agents in connection with the transactions contemplated by this Agreement and the Alternative Distribution Agreements (the “</w:t>
      </w:r>
      <w:r>
        <w:rPr>
          <w:rFonts w:ascii="Arial" w:cs="Arial" w:eastAsia="Arial" w:hAnsi="Arial"/>
          <w:sz w:val="16"/>
          <w:szCs w:val="16"/>
          <w:u w:val="single" w:color="auto"/>
          <w:color w:val="auto"/>
        </w:rPr>
        <w:t>Expenses</w:t>
      </w:r>
      <w:r>
        <w:rPr>
          <w:rFonts w:ascii="Arial" w:cs="Arial" w:eastAsia="Arial" w:hAnsi="Arial"/>
          <w:sz w:val="16"/>
          <w:szCs w:val="16"/>
          <w:color w:val="auto"/>
        </w:rPr>
        <w:t>”). The Expenses shall be due and payable by the Company to Merrill Lynch within five</w:t>
      </w:r>
    </w:p>
    <w:p>
      <w:pPr>
        <w:spacing w:after="0" w:line="12" w:lineRule="exact"/>
        <w:rPr>
          <w:rFonts w:ascii="Arial" w:cs="Arial" w:eastAsia="Arial" w:hAnsi="Arial"/>
          <w:sz w:val="16"/>
          <w:szCs w:val="16"/>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business days of the Determination Date.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75" w:name="page76"/>
    <w:bookmarkEnd w:id="75"/>
    <w:p>
      <w:pPr>
        <w:ind w:left="860" w:hanging="396"/>
        <w:spacing w:after="0"/>
        <w:tabs>
          <w:tab w:leader="none" w:pos="860" w:val="left"/>
        </w:tabs>
        <w:numPr>
          <w:ilvl w:val="1"/>
          <w:numId w:val="7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Termination of Agreement. </w:t>
      </w:r>
      <w:r>
        <w:rPr>
          <w:rFonts w:ascii="Arial" w:cs="Arial" w:eastAsia="Arial" w:hAnsi="Arial"/>
          <w:sz w:val="16"/>
          <w:szCs w:val="16"/>
          <w:color w:val="auto"/>
        </w:rPr>
        <w:t>If this Agreement is terminated by Merrill Lynch in accordance with the provisions of Section 9 or Section 13(a)(i) or</w:t>
      </w:r>
    </w:p>
    <w:p>
      <w:pPr>
        <w:spacing w:after="0" w:line="46" w:lineRule="exact"/>
        <w:rPr>
          <w:rFonts w:ascii="Arial" w:cs="Arial" w:eastAsia="Arial" w:hAnsi="Arial"/>
          <w:sz w:val="16"/>
          <w:szCs w:val="16"/>
          <w:color w:val="auto"/>
        </w:rPr>
      </w:pPr>
    </w:p>
    <w:p>
      <w:pPr>
        <w:ind w:right="220" w:firstLine="8"/>
        <w:spacing w:after="0" w:line="255" w:lineRule="auto"/>
        <w:tabs>
          <w:tab w:leader="none" w:pos="3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the first clause only) hereof, the Company shall reimburse Merrill Lynch for all of its out-of-pocket expenses, including the reasonable fees and disbursements of counsel for Merrill Lynch, unless Securities having an aggregate offering price of $50,000,000 or more have previously been offered and sold under this Agreement and/or the Alternative Distribution Agreements.</w:t>
      </w:r>
    </w:p>
    <w:p>
      <w:pPr>
        <w:spacing w:after="0" w:line="1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Conditions of Merrill Lynch’s Obligations</w:t>
      </w:r>
      <w:r>
        <w:rPr>
          <w:rFonts w:ascii="Arial" w:cs="Arial" w:eastAsia="Arial" w:hAnsi="Arial"/>
          <w:sz w:val="18"/>
          <w:szCs w:val="18"/>
          <w:color w:val="auto"/>
        </w:rPr>
        <w:t>. The obligations of Merrill Lynch hereunder with respect to a Placement will be subject to the continuing accuracy and completeness of the representations and warranties of the Company contained in this Agreement or in certificates of any officer of the Company or any subsidiary delivered pursuant to the provisions hereof, to the performance by the Company of its covenants and other obligations hereunder, and to the following further conditions:</w:t>
      </w:r>
    </w:p>
    <w:p>
      <w:pPr>
        <w:spacing w:after="0" w:line="79" w:lineRule="exact"/>
        <w:rPr>
          <w:sz w:val="20"/>
          <w:szCs w:val="20"/>
          <w:color w:val="auto"/>
        </w:rPr>
      </w:pPr>
    </w:p>
    <w:p>
      <w:pPr>
        <w:ind w:left="840" w:hanging="376"/>
        <w:spacing w:after="0"/>
        <w:tabs>
          <w:tab w:leader="none" w:pos="840" w:val="left"/>
        </w:tabs>
        <w:numPr>
          <w:ilvl w:val="1"/>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of Registration Statement; Payment of Filing Fee. </w:t>
      </w:r>
      <w:r>
        <w:rPr>
          <w:rFonts w:ascii="Arial" w:cs="Arial" w:eastAsia="Arial" w:hAnsi="Arial"/>
          <w:sz w:val="16"/>
          <w:szCs w:val="16"/>
          <w:color w:val="auto"/>
        </w:rPr>
        <w:t>The Registration Statement shall have become effective and shall be available for</w:t>
      </w:r>
    </w:p>
    <w:p>
      <w:pPr>
        <w:spacing w:after="0" w:line="46" w:lineRule="exact"/>
        <w:rPr>
          <w:rFonts w:ascii="Arial" w:cs="Arial" w:eastAsia="Arial" w:hAnsi="Arial"/>
          <w:sz w:val="16"/>
          <w:szCs w:val="16"/>
          <w:color w:val="auto"/>
        </w:rPr>
      </w:pPr>
    </w:p>
    <w:p>
      <w:pPr>
        <w:ind w:firstLine="8"/>
        <w:spacing w:after="0" w:line="252" w:lineRule="auto"/>
        <w:tabs>
          <w:tab w:leader="none" w:pos="2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sales of Placement Securities issued pursuant to all prior Placement Notices (each as amended by a corresponding Acceptance, if applicable) and (ii) the sale of all Placement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86" w:lineRule="exact"/>
        <w:rPr>
          <w:rFonts w:ascii="Arial" w:cs="Arial" w:eastAsia="Arial" w:hAnsi="Arial"/>
          <w:sz w:val="18"/>
          <w:szCs w:val="18"/>
          <w:color w:val="auto"/>
        </w:rPr>
      </w:pPr>
    </w:p>
    <w:p>
      <w:pPr>
        <w:ind w:right="80" w:firstLine="464"/>
        <w:spacing w:after="0" w:line="288" w:lineRule="auto"/>
        <w:tabs>
          <w:tab w:leader="none" w:pos="846" w:val="left"/>
        </w:tabs>
        <w:numPr>
          <w:ilvl w:val="1"/>
          <w:numId w:val="81"/>
        </w:numPr>
        <w:rPr>
          <w:rFonts w:ascii="Arial" w:cs="Arial" w:eastAsia="Arial" w:hAnsi="Arial"/>
          <w:sz w:val="16"/>
          <w:szCs w:val="16"/>
          <w:color w:val="auto"/>
        </w:rPr>
      </w:pPr>
      <w:r>
        <w:rPr>
          <w:rFonts w:ascii="Arial" w:cs="Arial" w:eastAsia="Arial" w:hAnsi="Arial"/>
          <w:sz w:val="16"/>
          <w:szCs w:val="16"/>
          <w:i w:val="1"/>
          <w:iCs w:val="1"/>
          <w:color w:val="auto"/>
        </w:rPr>
        <w:t>No Material Notices</w:t>
      </w:r>
      <w:r>
        <w:rPr>
          <w:rFonts w:ascii="Arial" w:cs="Arial" w:eastAsia="Arial" w:hAnsi="Arial"/>
          <w:sz w:val="16"/>
          <w:szCs w:val="16"/>
          <w:color w:val="auto"/>
        </w:rPr>
        <w:t>. None of the following events shall have occurred and be continuing: (i) receipt by the Company or any of its subsidiaries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w:t>
      </w:r>
    </w:p>
    <w:p>
      <w:pPr>
        <w:ind w:right="60" w:firstLine="8"/>
        <w:spacing w:after="0" w:line="268" w:lineRule="auto"/>
        <w:tabs>
          <w:tab w:leader="none" w:pos="26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Securities for sale in any jurisdiction or the initiation or threatening of any proceeding for such purpose;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untrue statement of a material fact or omit to state any material fact required to be stated therein or necessary to make the statements therein not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76" w:name="page77"/>
    <w:bookmarkEnd w:id="76"/>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73" w:lineRule="exact"/>
        <w:rPr>
          <w:sz w:val="20"/>
          <w:szCs w:val="20"/>
          <w:color w:val="auto"/>
        </w:rPr>
      </w:pPr>
    </w:p>
    <w:p>
      <w:pPr>
        <w:ind w:right="140" w:firstLine="464"/>
        <w:spacing w:after="0" w:line="257" w:lineRule="auto"/>
        <w:tabs>
          <w:tab w:leader="none" w:pos="836"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No Misstatement or Material Omission</w:t>
      </w:r>
      <w:r>
        <w:rPr>
          <w:rFonts w:ascii="Arial" w:cs="Arial" w:eastAsia="Arial" w:hAnsi="Arial"/>
          <w:sz w:val="18"/>
          <w:szCs w:val="18"/>
          <w:color w:val="auto"/>
        </w:rPr>
        <w:t>. Merrill Lynch shall not have advised the Company that the Registration Statement or Prospectus,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Issuer Free Writing Prospectus, or any amendment or supplement thereto, contains an untrue statement of fact that in Merrill Lynch’s opinion is material, or omits to state a fact that in Merrill Lynch’s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80" w:lineRule="exact"/>
        <w:rPr>
          <w:rFonts w:ascii="Arial" w:cs="Arial" w:eastAsia="Arial" w:hAnsi="Arial"/>
          <w:sz w:val="18"/>
          <w:szCs w:val="18"/>
          <w:color w:val="auto"/>
        </w:rPr>
      </w:pPr>
    </w:p>
    <w:p>
      <w:pPr>
        <w:ind w:right="20" w:firstLine="464"/>
        <w:spacing w:after="0" w:line="286" w:lineRule="auto"/>
        <w:tabs>
          <w:tab w:leader="none" w:pos="846" w:val="left"/>
        </w:tabs>
        <w:numPr>
          <w:ilvl w:val="1"/>
          <w:numId w:val="83"/>
        </w:numPr>
        <w:rPr>
          <w:rFonts w:ascii="Arial" w:cs="Arial" w:eastAsia="Arial" w:hAnsi="Arial"/>
          <w:sz w:val="17"/>
          <w:szCs w:val="17"/>
          <w:color w:val="auto"/>
        </w:rPr>
      </w:pPr>
      <w:r>
        <w:rPr>
          <w:rFonts w:ascii="Arial" w:cs="Arial" w:eastAsia="Arial" w:hAnsi="Arial"/>
          <w:sz w:val="17"/>
          <w:szCs w:val="17"/>
          <w:i w:val="1"/>
          <w:iCs w:val="1"/>
          <w:color w:val="auto"/>
        </w:rPr>
        <w:t>Material Changes</w:t>
      </w:r>
      <w:r>
        <w:rPr>
          <w:rFonts w:ascii="Arial" w:cs="Arial" w:eastAsia="Arial" w:hAnsi="Arial"/>
          <w:sz w:val="17"/>
          <w:szCs w:val="17"/>
          <w:color w:val="auto"/>
        </w:rPr>
        <w:t>. Except as contemplated in the Prospectus, or disclosed in the Company’s reports filed with the Commission, there shall not</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57" w:lineRule="exact"/>
        <w:rPr>
          <w:rFonts w:ascii="Arial" w:cs="Arial" w:eastAsia="Arial" w:hAnsi="Arial"/>
          <w:sz w:val="17"/>
          <w:szCs w:val="17"/>
          <w:color w:val="auto"/>
        </w:rPr>
      </w:pPr>
    </w:p>
    <w:p>
      <w:pPr>
        <w:ind w:firstLine="464"/>
        <w:spacing w:after="0" w:line="277" w:lineRule="auto"/>
        <w:tabs>
          <w:tab w:leader="none" w:pos="836"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Company. </w:t>
      </w:r>
      <w:r>
        <w:rPr>
          <w:rFonts w:ascii="Arial" w:cs="Arial" w:eastAsia="Arial" w:hAnsi="Arial"/>
          <w:sz w:val="18"/>
          <w:szCs w:val="18"/>
          <w:color w:val="auto"/>
        </w:rPr>
        <w:t>Merrill Lynch shall have received the favorable opinion of Company Counsel, required to be delivered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Section 7(p) on or before the date on which such delivery of such opinion is required pursuant to Section 7(p).</w:t>
      </w:r>
    </w:p>
    <w:p>
      <w:pPr>
        <w:spacing w:after="0" w:line="62" w:lineRule="exact"/>
        <w:rPr>
          <w:rFonts w:ascii="Arial" w:cs="Arial" w:eastAsia="Arial" w:hAnsi="Arial"/>
          <w:sz w:val="18"/>
          <w:szCs w:val="18"/>
          <w:color w:val="auto"/>
        </w:rPr>
      </w:pPr>
    </w:p>
    <w:p>
      <w:pPr>
        <w:ind w:right="40" w:firstLine="464"/>
        <w:spacing w:after="0" w:line="277" w:lineRule="auto"/>
        <w:tabs>
          <w:tab w:leader="none" w:pos="816"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Certificate. </w:t>
      </w:r>
      <w:r>
        <w:rPr>
          <w:rFonts w:ascii="Arial" w:cs="Arial" w:eastAsia="Arial" w:hAnsi="Arial"/>
          <w:sz w:val="18"/>
          <w:szCs w:val="18"/>
          <w:color w:val="auto"/>
        </w:rPr>
        <w:t>Merrill Lynch shall have received the certificate required to be delivered pursuant to Section 7(o) on or before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on which delivery of such certificate is required pursuant to Section 7(o).</w:t>
      </w:r>
    </w:p>
    <w:p>
      <w:pPr>
        <w:spacing w:after="0" w:line="62" w:lineRule="exact"/>
        <w:rPr>
          <w:rFonts w:ascii="Arial" w:cs="Arial" w:eastAsia="Arial" w:hAnsi="Arial"/>
          <w:sz w:val="18"/>
          <w:szCs w:val="18"/>
          <w:color w:val="auto"/>
        </w:rPr>
      </w:pPr>
    </w:p>
    <w:p>
      <w:pPr>
        <w:ind w:right="40" w:firstLine="464"/>
        <w:spacing w:after="0" w:line="277" w:lineRule="auto"/>
        <w:tabs>
          <w:tab w:leader="none" w:pos="846"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Accountant’s Comfort Letter. </w:t>
      </w:r>
      <w:r>
        <w:rPr>
          <w:rFonts w:ascii="Arial" w:cs="Arial" w:eastAsia="Arial" w:hAnsi="Arial"/>
          <w:sz w:val="18"/>
          <w:szCs w:val="18"/>
          <w:color w:val="auto"/>
        </w:rPr>
        <w:t>Merrill Lynch shall have received the Comfort Letter required to be delivered pursuant Section 7(q) on or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on which such delivery of such Comfort Letter is required pursuant to Section 7(q).</w:t>
      </w:r>
    </w:p>
    <w:p>
      <w:pPr>
        <w:spacing w:after="0" w:line="62" w:lineRule="exact"/>
        <w:rPr>
          <w:rFonts w:ascii="Arial" w:cs="Arial" w:eastAsia="Arial" w:hAnsi="Arial"/>
          <w:sz w:val="18"/>
          <w:szCs w:val="18"/>
          <w:color w:val="auto"/>
        </w:rPr>
      </w:pPr>
    </w:p>
    <w:p>
      <w:pPr>
        <w:ind w:left="860" w:hanging="396"/>
        <w:spacing w:after="0"/>
        <w:tabs>
          <w:tab w:leader="none" w:pos="860" w:val="left"/>
        </w:tabs>
        <w:numPr>
          <w:ilvl w:val="1"/>
          <w:numId w:val="83"/>
        </w:numPr>
        <w:rPr>
          <w:rFonts w:ascii="Arial" w:cs="Arial" w:eastAsia="Arial" w:hAnsi="Arial"/>
          <w:sz w:val="16"/>
          <w:szCs w:val="16"/>
          <w:color w:val="auto"/>
        </w:rPr>
      </w:pPr>
      <w:r>
        <w:rPr>
          <w:rFonts w:ascii="Arial" w:cs="Arial" w:eastAsia="Arial" w:hAnsi="Arial"/>
          <w:sz w:val="16"/>
          <w:szCs w:val="16"/>
          <w:i w:val="1"/>
          <w:iCs w:val="1"/>
          <w:color w:val="auto"/>
        </w:rPr>
        <w:t>Approval for Listing</w:t>
      </w:r>
      <w:r>
        <w:rPr>
          <w:rFonts w:ascii="Arial" w:cs="Arial" w:eastAsia="Arial" w:hAnsi="Arial"/>
          <w:sz w:val="16"/>
          <w:szCs w:val="16"/>
          <w:color w:val="auto"/>
        </w:rPr>
        <w:t>. The Placement Securities shall either have been (i) approved for listing on the NYSE, subject only to notice of issuance, or</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shall have filed an application for listing of the Placement Securities on the NYSE at, or prior to, the issuance of any Placement Notice.</w:t>
      </w:r>
    </w:p>
    <w:p>
      <w:pPr>
        <w:spacing w:after="0" w:line="125" w:lineRule="exact"/>
        <w:rPr>
          <w:rFonts w:ascii="Arial" w:cs="Arial" w:eastAsia="Arial" w:hAnsi="Arial"/>
          <w:sz w:val="16"/>
          <w:szCs w:val="16"/>
          <w:color w:val="auto"/>
        </w:rPr>
      </w:pPr>
    </w:p>
    <w:p>
      <w:pPr>
        <w:ind w:left="820" w:hanging="356"/>
        <w:spacing w:after="0"/>
        <w:tabs>
          <w:tab w:leader="none" w:pos="820" w:val="left"/>
        </w:tabs>
        <w:numPr>
          <w:ilvl w:val="1"/>
          <w:numId w:val="84"/>
        </w:numPr>
        <w:rPr>
          <w:rFonts w:ascii="Arial" w:cs="Arial" w:eastAsia="Arial" w:hAnsi="Arial"/>
          <w:sz w:val="18"/>
          <w:szCs w:val="18"/>
          <w:color w:val="auto"/>
        </w:rPr>
      </w:pPr>
      <w:r>
        <w:rPr>
          <w:rFonts w:ascii="Arial" w:cs="Arial" w:eastAsia="Arial" w:hAnsi="Arial"/>
          <w:sz w:val="18"/>
          <w:szCs w:val="18"/>
          <w:i w:val="1"/>
          <w:iCs w:val="1"/>
          <w:color w:val="auto"/>
        </w:rPr>
        <w:t>No Suspension</w:t>
      </w:r>
      <w:r>
        <w:rPr>
          <w:rFonts w:ascii="Arial" w:cs="Arial" w:eastAsia="Arial" w:hAnsi="Arial"/>
          <w:sz w:val="18"/>
          <w:szCs w:val="18"/>
          <w:color w:val="auto"/>
        </w:rPr>
        <w:t>. Trading in the Securities shall not have been suspended on the NYSE.</w:t>
      </w:r>
    </w:p>
    <w:p>
      <w:pPr>
        <w:spacing w:after="0" w:line="117" w:lineRule="exact"/>
        <w:rPr>
          <w:rFonts w:ascii="Arial" w:cs="Arial" w:eastAsia="Arial" w:hAnsi="Arial"/>
          <w:sz w:val="18"/>
          <w:szCs w:val="18"/>
          <w:color w:val="auto"/>
        </w:rPr>
      </w:pPr>
    </w:p>
    <w:p>
      <w:pPr>
        <w:ind w:right="40" w:firstLine="464"/>
        <w:spacing w:after="0" w:line="259" w:lineRule="auto"/>
        <w:tabs>
          <w:tab w:leader="none" w:pos="806" w:val="left"/>
        </w:tabs>
        <w:numPr>
          <w:ilvl w:val="1"/>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each date on which the Company is required to deliver a certificate pursuant to Section 7(o), counsel for Merrill Lynch</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77" w:name="page78"/>
    <w:bookmarkEnd w:id="77"/>
    <w:p>
      <w:pPr>
        <w:ind w:left="-60" w:right="560" w:firstLine="464"/>
        <w:spacing w:after="0" w:line="308" w:lineRule="auto"/>
        <w:tabs>
          <w:tab w:leader="none" w:pos="786"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Act Filings Made</w:t>
      </w:r>
      <w:r>
        <w:rPr>
          <w:rFonts w:ascii="Arial" w:cs="Arial" w:eastAsia="Arial" w:hAnsi="Arial"/>
          <w:sz w:val="17"/>
          <w:szCs w:val="17"/>
          <w:color w:val="auto"/>
        </w:rPr>
        <w:t>. All filings with the Commission required by Rule 424 under the Securities Act to have been filed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of any Placement Notice hereunder shall have been made within the applicable time period prescribed for such filing by Rule 424.</w:t>
      </w:r>
    </w:p>
    <w:p>
      <w:pPr>
        <w:spacing w:after="0" w:line="38" w:lineRule="exact"/>
        <w:rPr>
          <w:rFonts w:ascii="Arial" w:cs="Arial" w:eastAsia="Arial" w:hAnsi="Arial"/>
          <w:sz w:val="17"/>
          <w:szCs w:val="17"/>
          <w:color w:val="auto"/>
        </w:rPr>
      </w:pPr>
    </w:p>
    <w:p>
      <w:pPr>
        <w:jc w:val="both"/>
        <w:ind w:left="-60" w:firstLine="464"/>
        <w:spacing w:after="0" w:line="259" w:lineRule="auto"/>
        <w:tabs>
          <w:tab w:leader="none" w:pos="746"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any condition specified in this Section 9 shall not have been fulfilled in all material respects when and as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fulfilled, this Agreement may be terminated by Merrill Lynch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187" w:lineRule="exact"/>
        <w:rPr>
          <w:sz w:val="20"/>
          <w:szCs w:val="20"/>
          <w:color w:val="auto"/>
        </w:rPr>
      </w:pPr>
    </w:p>
    <w:p>
      <w:pPr>
        <w:ind w:left="400"/>
        <w:spacing w:after="0"/>
        <w:tabs>
          <w:tab w:leader="none" w:pos="160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117" w:lineRule="exact"/>
        <w:rPr>
          <w:sz w:val="20"/>
          <w:szCs w:val="20"/>
          <w:color w:val="auto"/>
        </w:rPr>
      </w:pPr>
    </w:p>
    <w:p>
      <w:pPr>
        <w:ind w:left="-60" w:right="20" w:firstLine="464"/>
        <w:spacing w:after="0" w:line="286" w:lineRule="auto"/>
        <w:tabs>
          <w:tab w:leader="none" w:pos="776"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by the Company. </w:t>
      </w:r>
      <w:r>
        <w:rPr>
          <w:rFonts w:ascii="Arial" w:cs="Arial" w:eastAsia="Arial" w:hAnsi="Arial"/>
          <w:sz w:val="16"/>
          <w:szCs w:val="16"/>
          <w:color w:val="auto"/>
        </w:rPr>
        <w:t>The Company will indemnify and hold harmless Merrill Lynch, its affiliates, its directors, its officers and each</w:t>
      </w:r>
      <w:r>
        <w:rPr>
          <w:rFonts w:ascii="Arial" w:cs="Arial" w:eastAsia="Arial" w:hAnsi="Arial"/>
          <w:sz w:val="16"/>
          <w:szCs w:val="16"/>
          <w:i w:val="1"/>
          <w:iCs w:val="1"/>
          <w:color w:val="auto"/>
        </w:rPr>
        <w:t xml:space="preserve"> </w:t>
      </w:r>
      <w:r>
        <w:rPr>
          <w:rFonts w:ascii="Arial" w:cs="Arial" w:eastAsia="Arial" w:hAnsi="Arial"/>
          <w:sz w:val="16"/>
          <w:szCs w:val="16"/>
          <w:color w:val="auto"/>
        </w:rPr>
        <w:t>person, if any, who controls Merrill Lynch, within the meaning of Section 15 of the Securities Act or Section 20 of the Exchange Act, against any losses, claims, damages or liabilities, joint or several, to which Merrill Lynch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Merrill Lynch for any legal or other expenses reasonably incurred by Merrill Lynch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Merrill Lynch expressly for use in the Prospectus, as amended or supplemented, relating to such Securities.</w:t>
      </w:r>
    </w:p>
    <w:p>
      <w:pPr>
        <w:spacing w:after="0" w:line="66" w:lineRule="exact"/>
        <w:rPr>
          <w:rFonts w:ascii="Arial" w:cs="Arial" w:eastAsia="Arial" w:hAnsi="Arial"/>
          <w:sz w:val="16"/>
          <w:szCs w:val="16"/>
          <w:color w:val="auto"/>
        </w:rPr>
      </w:pPr>
    </w:p>
    <w:p>
      <w:pPr>
        <w:ind w:left="-60" w:right="20" w:firstLine="464"/>
        <w:spacing w:after="0" w:line="255" w:lineRule="auto"/>
        <w:tabs>
          <w:tab w:leader="none" w:pos="786"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Indemnification by Merrill Lynch</w:t>
      </w:r>
      <w:r>
        <w:rPr>
          <w:rFonts w:ascii="Arial" w:cs="Arial" w:eastAsia="Arial" w:hAnsi="Arial"/>
          <w:sz w:val="18"/>
          <w:szCs w:val="18"/>
          <w:color w:val="auto"/>
        </w:rPr>
        <w:t>. Merrill Lynch will indemnify and hold harmless the Company, its trustees, its officers who signed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 relating to the Securities, or any amendment or supplement thereto, or arise out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300" w:top="274" w:right="299" w:bottom="1440" w:gutter="0" w:footer="0" w:header="0"/>
        </w:sectPr>
      </w:pPr>
    </w:p>
    <w:bookmarkStart w:id="78" w:name="page79"/>
    <w:bookmarkEnd w:id="78"/>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Merrill Lynch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81" w:lineRule="exact"/>
        <w:rPr>
          <w:sz w:val="20"/>
          <w:szCs w:val="20"/>
          <w:color w:val="auto"/>
        </w:rPr>
      </w:pPr>
    </w:p>
    <w:p>
      <w:pPr>
        <w:ind w:firstLine="464"/>
        <w:spacing w:after="0" w:line="268" w:lineRule="auto"/>
        <w:tabs>
          <w:tab w:leader="none" w:pos="836" w:val="left"/>
        </w:tabs>
        <w:numPr>
          <w:ilvl w:val="0"/>
          <w:numId w:val="8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Actions against Parties; Notification. </w:t>
      </w:r>
      <w:r>
        <w:rPr>
          <w:rFonts w:ascii="Arial" w:cs="Arial" w:eastAsia="Arial" w:hAnsi="Arial"/>
          <w:sz w:val="17"/>
          <w:szCs w:val="17"/>
          <w:color w:val="auto"/>
        </w:rPr>
        <w:t>Promptly after receipt by an indemnified party under subsection (a) or (b) above of notice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Merrill Lynch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79" w:name="page80"/>
    <w:bookmarkEnd w:id="7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under Section 10(c) above, then each indemnifying party shall contribute to such amount paid or payable by such indemnified party in such proportion as is appropriate to reflect not only such relative benefits but also the relative fault of the Company on the one hand and Merrill Lynch on the other in connection with the statements or omissions which resulted in such losses, claims, damages or liabilities (or actions in respect thereof), as well as any other relevant equitable considerations. The relative benefits received by the Company on the one hand and Merrill Lynch on the other shall be deemed to be in the same proportion as the total net proceeds from the offering of Securities pursuant to this Agreement (before deducting expenses) received by the Company bear to the total commissions received by Merrill Lynch. The relative fault shall be determined by reference to, among other things, whether the untrue or alleged untrue statement of a material fact or the omission or alleged omission to state a material fact relates to information supplied by the Company on the one hand or Merrill Lynch on the other and the parties’ relative intent, knowledge, access to information and opportunity to correct or prevent such statement or omission. The Company and Merrill Lynch agree that it would not be just and 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 Notwithstanding the provisions of this Section 11, Merrill Lynch shall not be required to contribute any amount in excess of the amount by which the total price at which the Securities sold by it and distributed to the public were offered to the public exceeds the amount of any damages which Merrill Lynch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6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obligations of the Company under Section 10 and this Section 11 shall be in addition to any liability which the Company may otherwise have and shall extend, upon the same terms and conditions, to each person, if any, who controls Merrill Lynch within the meaning of the Securities Act; and the obligations of Merrill Lynch under Section 10 and this Section 11 shall be in addition to any liability which it may otherwise have and shall extend, upon the same terms and conditions, to each officer of the Company who signed the Registration Statement, to each trustee of the Company and to each person, if any, who controls the Company within the meaning of the Securities Act.</w:t>
      </w:r>
    </w:p>
    <w:p>
      <w:pPr>
        <w:spacing w:after="0" w:line="188"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Representations, Warranties and Agreements to Survive Delivery</w:t>
      </w:r>
      <w:r>
        <w:rPr>
          <w:rFonts w:ascii="Arial" w:cs="Arial" w:eastAsia="Arial" w:hAnsi="Arial"/>
          <w:sz w:val="17"/>
          <w:szCs w:val="17"/>
          <w:color w:val="auto"/>
        </w:rPr>
        <w:t>. All indemnities, agreements representations, warranties and other statements contained in this Agreement or in certificates of officers of the Company or any subsidiary submitted pursuant hereto, shall remain operative and in full force and effect, regardless of any investigation (or any statement as to the results thereof) made by or on behalf of Merrill Lynch or any controlling person, or by or on behalf of the Company or any controlling person, and shall survive delivery of the Securities to Merrill Lynch.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80" w:name="page81"/>
    <w:bookmarkEnd w:id="80"/>
    <w:p>
      <w:pPr>
        <w:ind w:left="452"/>
        <w:spacing w:after="0"/>
        <w:tabs>
          <w:tab w:leader="none" w:pos="16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13.</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w:t>
      </w:r>
    </w:p>
    <w:p>
      <w:pPr>
        <w:spacing w:after="0" w:line="117" w:lineRule="exact"/>
        <w:rPr>
          <w:sz w:val="20"/>
          <w:szCs w:val="20"/>
          <w:color w:val="auto"/>
        </w:rPr>
      </w:pPr>
    </w:p>
    <w:p>
      <w:pPr>
        <w:ind w:left="-8" w:firstLine="464"/>
        <w:spacing w:after="0" w:line="287" w:lineRule="auto"/>
        <w:tabs>
          <w:tab w:leader="none" w:pos="828" w:val="left"/>
        </w:tabs>
        <w:numPr>
          <w:ilvl w:val="1"/>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General. </w:t>
      </w:r>
      <w:r>
        <w:rPr>
          <w:rFonts w:ascii="Arial" w:cs="Arial" w:eastAsia="Arial" w:hAnsi="Arial"/>
          <w:sz w:val="16"/>
          <w:szCs w:val="16"/>
          <w:color w:val="auto"/>
        </w:rPr>
        <w:t>Merrill Lynch may terminate this Agreement, by notice to the Company, as hereinafter specified at any time (i) if there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since the time of execution of this Agreement or since the date as of which information is given in the Prospectus, any material adverse change, or any development involving a prospective material adverse change, in or affecting the general affairs, management, financial position, shareholders’ equity or results of operations of the Company and its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Merrill Lynch, impracticable or inadvisable to market the Securities or to enforce contracts for the sale of the Securities, or (iii) if trading in the Placement Securities has been suspended or limited by the Commission or the NYSE, or if trading generally on the NYSE Amex Equities, the NYSE or the Nasdaq Global Market has been suspended or limited, or minimum or 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60" w:lineRule="exact"/>
        <w:rPr>
          <w:rFonts w:ascii="Arial" w:cs="Arial" w:eastAsia="Arial" w:hAnsi="Arial"/>
          <w:sz w:val="16"/>
          <w:szCs w:val="16"/>
          <w:color w:val="auto"/>
        </w:rPr>
      </w:pPr>
    </w:p>
    <w:p>
      <w:pPr>
        <w:ind w:left="-8" w:right="60" w:firstLine="464"/>
        <w:spacing w:after="0" w:line="277" w:lineRule="auto"/>
        <w:tabs>
          <w:tab w:leader="none" w:pos="838" w:val="left"/>
        </w:tabs>
        <w:numPr>
          <w:ilvl w:val="1"/>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the Company. </w:t>
      </w:r>
      <w:r>
        <w:rPr>
          <w:rFonts w:ascii="Arial" w:cs="Arial" w:eastAsia="Arial" w:hAnsi="Arial"/>
          <w:sz w:val="18"/>
          <w:szCs w:val="18"/>
          <w:color w:val="auto"/>
        </w:rPr>
        <w:t>The Company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62" w:lineRule="exact"/>
        <w:rPr>
          <w:rFonts w:ascii="Arial" w:cs="Arial" w:eastAsia="Arial" w:hAnsi="Arial"/>
          <w:sz w:val="18"/>
          <w:szCs w:val="18"/>
          <w:color w:val="auto"/>
        </w:rPr>
      </w:pPr>
    </w:p>
    <w:p>
      <w:pPr>
        <w:ind w:left="-8" w:right="40" w:firstLine="464"/>
        <w:spacing w:after="0" w:line="277" w:lineRule="auto"/>
        <w:tabs>
          <w:tab w:leader="none" w:pos="828" w:val="left"/>
        </w:tabs>
        <w:numPr>
          <w:ilvl w:val="1"/>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Merrill Lynch. </w:t>
      </w:r>
      <w:r>
        <w:rPr>
          <w:rFonts w:ascii="Arial" w:cs="Arial" w:eastAsia="Arial" w:hAnsi="Arial"/>
          <w:sz w:val="18"/>
          <w:szCs w:val="18"/>
          <w:color w:val="auto"/>
        </w:rPr>
        <w:t>Merrill Lynch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62" w:lineRule="exact"/>
        <w:rPr>
          <w:rFonts w:ascii="Arial" w:cs="Arial" w:eastAsia="Arial" w:hAnsi="Arial"/>
          <w:sz w:val="18"/>
          <w:szCs w:val="18"/>
          <w:color w:val="auto"/>
        </w:rPr>
      </w:pPr>
    </w:p>
    <w:p>
      <w:pPr>
        <w:ind w:left="-8" w:right="20" w:firstLine="464"/>
        <w:spacing w:after="0" w:line="264" w:lineRule="auto"/>
        <w:tabs>
          <w:tab w:leader="none" w:pos="838" w:val="left"/>
        </w:tabs>
        <w:numPr>
          <w:ilvl w:val="1"/>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Automatic Termination. </w:t>
      </w:r>
      <w:r>
        <w:rPr>
          <w:rFonts w:ascii="Arial" w:cs="Arial" w:eastAsia="Arial" w:hAnsi="Arial"/>
          <w:sz w:val="18"/>
          <w:szCs w:val="18"/>
          <w:color w:val="auto"/>
        </w:rPr>
        <w:t>Unless earlier terminated pursuant to this Section 13, this Agreement shall automatically terminate upon the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Placement Securities through Merrill Lynch on the terms and subject to the conditions set forth herein with an aggregate offering price equal to the Maximum Amount set forth in Section 1 of this Agreement.</w:t>
      </w:r>
    </w:p>
    <w:p>
      <w:pPr>
        <w:spacing w:after="0" w:line="73" w:lineRule="exact"/>
        <w:rPr>
          <w:rFonts w:ascii="Arial" w:cs="Arial" w:eastAsia="Arial" w:hAnsi="Arial"/>
          <w:sz w:val="18"/>
          <w:szCs w:val="18"/>
          <w:color w:val="auto"/>
        </w:rPr>
      </w:pPr>
    </w:p>
    <w:p>
      <w:pPr>
        <w:ind w:left="832" w:hanging="376"/>
        <w:spacing w:after="0"/>
        <w:tabs>
          <w:tab w:leader="none" w:pos="832" w:val="left"/>
        </w:tabs>
        <w:numPr>
          <w:ilvl w:val="1"/>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Continued Force and Effect. </w:t>
      </w:r>
      <w:r>
        <w:rPr>
          <w:rFonts w:ascii="Arial" w:cs="Arial" w:eastAsia="Arial" w:hAnsi="Arial"/>
          <w:sz w:val="17"/>
          <w:szCs w:val="17"/>
          <w:color w:val="auto"/>
        </w:rPr>
        <w:t>This Agreement shall remain in full force and effect unless terminated pursuant to Sections 13(a), (b), (c) or</w:t>
      </w:r>
    </w:p>
    <w:p>
      <w:pPr>
        <w:spacing w:after="0" w:line="34" w:lineRule="exact"/>
        <w:rPr>
          <w:rFonts w:ascii="Arial" w:cs="Arial" w:eastAsia="Arial" w:hAnsi="Arial"/>
          <w:sz w:val="17"/>
          <w:szCs w:val="17"/>
          <w:color w:val="auto"/>
        </w:rPr>
      </w:pPr>
    </w:p>
    <w:p>
      <w:pPr>
        <w:ind w:left="252" w:hanging="252"/>
        <w:spacing w:after="0"/>
        <w:tabs>
          <w:tab w:leader="none" w:pos="2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above or otherwise by mutual agreement of the parties.</w:t>
      </w:r>
    </w:p>
    <w:p>
      <w:pPr>
        <w:spacing w:after="0" w:line="102" w:lineRule="exact"/>
        <w:rPr>
          <w:rFonts w:ascii="Arial" w:cs="Arial" w:eastAsia="Arial" w:hAnsi="Arial"/>
          <w:sz w:val="18"/>
          <w:szCs w:val="18"/>
          <w:color w:val="auto"/>
        </w:rPr>
      </w:pPr>
    </w:p>
    <w:p>
      <w:pPr>
        <w:ind w:left="-8" w:right="80" w:firstLine="464"/>
        <w:spacing w:after="0" w:line="259" w:lineRule="auto"/>
        <w:tabs>
          <w:tab w:leader="none" w:pos="808"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of Termination. </w:t>
      </w:r>
      <w:r>
        <w:rPr>
          <w:rFonts w:ascii="Arial" w:cs="Arial" w:eastAsia="Arial" w:hAnsi="Arial"/>
          <w:sz w:val="18"/>
          <w:szCs w:val="18"/>
          <w:color w:val="auto"/>
        </w:rPr>
        <w:t>Any termination of this Agreement shall be effective on the date specified in such notice of termination;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termination shall not be effective until the close of business on the date of receipt of such notice by Merrill Lynch or the Company, as the case may be. If such termination shall occur prior to the Settlement Date for any sale of Placement Securities, such Placement Securities shall settle in accordance with the provisions of this Agreement.</w:t>
      </w:r>
    </w:p>
    <w:p>
      <w:pPr>
        <w:spacing w:after="0" w:line="11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52"/>
          </w:cols>
          <w:pgMar w:left="248" w:top="274" w:right="299" w:bottom="1440" w:gutter="0" w:footer="0" w:header="0"/>
        </w:sectPr>
      </w:pPr>
    </w:p>
    <w:bookmarkStart w:id="81" w:name="page82"/>
    <w:bookmarkEnd w:id="81"/>
    <w:p>
      <w:pPr>
        <w:ind w:right="180" w:firstLine="464"/>
        <w:spacing w:after="0" w:line="264" w:lineRule="auto"/>
        <w:tabs>
          <w:tab w:leader="none" w:pos="846"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Liabilities. </w:t>
      </w:r>
      <w:r>
        <w:rPr>
          <w:rFonts w:ascii="Arial" w:cs="Arial" w:eastAsia="Arial" w:hAnsi="Arial"/>
          <w:sz w:val="18"/>
          <w:szCs w:val="18"/>
          <w:color w:val="auto"/>
        </w:rPr>
        <w:t>If this Agreement is terminated pursuant to this Section 13, such termination shall be without liability of any party to any other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Section 8 hereof, and except that, in the case of any termination of this Agreement, Section 5, Section 10, Section 11, Section 12 and Section 22 hereof shall survive such termination and remain in full force and effect.</w:t>
      </w:r>
    </w:p>
    <w:p>
      <w:pPr>
        <w:spacing w:after="0" w:line="181"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in this Agreement, all notices and other communications hereunder shall be in writing and shall be deemed to have been duly given if mailed or transmitted by any standard form of telecommunication. Notices to Merrill Lynch shall be directed to Merrill Lynch, Pierce, Fenner &amp; Smith Incorporated, , One Bryant Park, New York, New York 10036, Attention: T.J. Opladen, with a copy to ECM Legal; notices to the Company shall be directed to it at 1626 East Jefferson Street, Rockville, Maryland 20852, Attention: General Counsel, fax no. (301) 998-3715.</w:t>
      </w:r>
    </w:p>
    <w:p>
      <w:pPr>
        <w:spacing w:after="0" w:line="15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inure to the benefit of and be binding upon Merrill Lynch, the Company and their respective successors. Nothing expressed or mentioned in this Agreement is intended or shall be construed to give any person, firm or corporation, other than Merrill Lynch, the Company and their respective successors and the 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Merrill Lynch, the Company and their respective successors, and said controlling persons and officers, trustees and directors and their heirs and legal representatives, and for the benefit of no other person, firm or corporation. No purchaser of Securities from Merrill Lynch shall be deemed to be a successor by reason merely of such purchase.</w:t>
      </w:r>
    </w:p>
    <w:p>
      <w:pPr>
        <w:spacing w:after="0" w:line="16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parties hereby agree that Merrill Lynch may, without notice to the Company, assign its rights and obligations under this Agreement to any other registered broker-dealer wholly-owned by Bank of America Corporation to which all or substantially all of Merrill Lynch’s investment banking or related business may be transferred following the date of this Agreement.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stock-related numbers contained in this Agreement shall be adjusted to take into account any stock split, stock dividend or similar event effected with respect to the Securities.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SHALL BE GOVERNED BY AND CONSTRUED IN ACCORDANCE WITH THE LAWS OF THE STATE OF NEW YORK. SPECIFIED TIMES OF DAY REFER TO NEW YORK CITY TIME.</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82" w:name="page83"/>
    <w:bookmarkEnd w:id="82"/>
    <w:p>
      <w:pPr>
        <w:ind w:left="460"/>
        <w:spacing w:after="0"/>
        <w:tabs>
          <w:tab w:leader="none" w:pos="1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19.</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and Exhibit headings herein are for convenience only and shall not affect the construction hereof.</w:t>
      </w:r>
    </w:p>
    <w:p>
      <w:pPr>
        <w:spacing w:after="0" w:line="22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have the respective meanings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the time of each sale of any Securities pursuant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means the Company’s Declaration of Trust,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means the Commission’s Electronic Data Gathering, Analysis and Retrieval system.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 in each case in the form furnished (electronically or otherwise) to Merrill Lynch for use in connection with the offering of the Securities.</w:t>
      </w:r>
    </w:p>
    <w:p>
      <w:pPr>
        <w:spacing w:after="0" w:line="17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Shares</w:t>
      </w:r>
      <w:r>
        <w:rPr>
          <w:rFonts w:ascii="Arial" w:cs="Arial" w:eastAsia="Arial" w:hAnsi="Arial"/>
          <w:sz w:val="16"/>
          <w:szCs w:val="16"/>
          <w:color w:val="auto"/>
        </w:rPr>
        <w:t>” means the Company’s preferred shares of beneficial interest, par value $.01 per share, including the Company’s outstanding 5.417% Series 1 Cumulative Convertible Preferred Shares and the Company’s outstanding 5.000% Series C Cumulative Redeemable Preferred Shares.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and the rules and regulations promulgated thereunder or implementing the provisions thereof.</w:t>
      </w:r>
    </w:p>
    <w:p>
      <w:pPr>
        <w:spacing w:after="0" w:line="170"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83" w:name="page84"/>
    <w:bookmarkEnd w:id="83"/>
    <w:p>
      <w:pPr>
        <w:ind w:right="4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Commission pursuant to EDGAR; and all references in this Agreement to “supplements” to the Prospectus shall include, without limitation, any supplements, “wrappers” or similar materials prepared in connection with any offering, sale or private placement of any Placement Securities by Merrill Lynch outside of the United States.</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The Company represents, warrants and agrees that, unless it obtains the prior consent of Merrill Lynch, and Merrill Lynch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Merrill Lynch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Exhibit F hereto are Permitted Free Writing Prospectuses.</w:t>
      </w:r>
    </w:p>
    <w:p>
      <w:pPr>
        <w:spacing w:after="0" w:line="166"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Absence of Fiduciary Relationship</w:t>
      </w:r>
      <w:r>
        <w:rPr>
          <w:rFonts w:ascii="Arial" w:cs="Arial" w:eastAsia="Arial" w:hAnsi="Arial"/>
          <w:sz w:val="16"/>
          <w:szCs w:val="16"/>
          <w:color w:val="auto"/>
        </w:rPr>
        <w:t>. The Company acknowledges and agrees that:</w:t>
      </w:r>
    </w:p>
    <w:p>
      <w:pPr>
        <w:spacing w:after="0" w:line="117" w:lineRule="exact"/>
        <w:rPr>
          <w:sz w:val="20"/>
          <w:szCs w:val="20"/>
          <w:color w:val="auto"/>
        </w:rPr>
      </w:pPr>
    </w:p>
    <w:p>
      <w:pPr>
        <w:ind w:right="80" w:firstLine="464"/>
        <w:spacing w:after="0" w:line="273" w:lineRule="auto"/>
        <w:tabs>
          <w:tab w:leader="none" w:pos="836" w:val="left"/>
        </w:tabs>
        <w:numPr>
          <w:ilvl w:val="0"/>
          <w:numId w:val="91"/>
        </w:numPr>
        <w:rPr>
          <w:rFonts w:ascii="Arial" w:cs="Arial" w:eastAsia="Arial" w:hAnsi="Arial"/>
          <w:sz w:val="17"/>
          <w:szCs w:val="17"/>
          <w:color w:val="auto"/>
        </w:rPr>
      </w:pPr>
      <w:r>
        <w:rPr>
          <w:rFonts w:ascii="Arial" w:cs="Arial" w:eastAsia="Arial" w:hAnsi="Arial"/>
          <w:sz w:val="17"/>
          <w:szCs w:val="17"/>
          <w:color w:val="auto"/>
        </w:rPr>
        <w:t>Merrill Lynch is acting solely as agent and/or principal in connection with the public offering of the Securities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Merrill Lynch, on the other hand, has been or will be created in respect of any of the transactions contemplated by this Agreement, irrespective of whether or not Merrill Lynch has advised or is advising the Company on other matters, and Merrill Lynch has no obligation to the Company with respect to the transactions contemplated by this Agreement except the obligations expressly set forth in this Agreement;</w:t>
      </w:r>
    </w:p>
    <w:p>
      <w:pPr>
        <w:spacing w:after="0" w:line="70" w:lineRule="exact"/>
        <w:rPr>
          <w:rFonts w:ascii="Arial" w:cs="Arial" w:eastAsia="Arial" w:hAnsi="Arial"/>
          <w:sz w:val="17"/>
          <w:szCs w:val="17"/>
          <w:color w:val="auto"/>
        </w:rPr>
      </w:pPr>
    </w:p>
    <w:p>
      <w:pPr>
        <w:ind w:left="860" w:hanging="396"/>
        <w:spacing w:after="0"/>
        <w:tabs>
          <w:tab w:leader="none" w:pos="8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public offering or minimum market price of the Securities set forth in this Agreement was not established by Merrill Lynch;</w:t>
      </w:r>
    </w:p>
    <w:p>
      <w:pPr>
        <w:spacing w:after="0" w:line="117" w:lineRule="exact"/>
        <w:rPr>
          <w:rFonts w:ascii="Arial" w:cs="Arial" w:eastAsia="Arial" w:hAnsi="Arial"/>
          <w:sz w:val="18"/>
          <w:szCs w:val="18"/>
          <w:color w:val="auto"/>
        </w:rPr>
      </w:pPr>
    </w:p>
    <w:p>
      <w:pPr>
        <w:ind w:right="20" w:firstLine="464"/>
        <w:spacing w:after="0" w:line="277" w:lineRule="auto"/>
        <w:tabs>
          <w:tab w:leader="none" w:pos="8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it is capable of evaluating and understanding, and understands and accepts, the terms, risks and conditions of the transactions contemplated by this Agreement;</w:t>
      </w:r>
    </w:p>
    <w:p>
      <w:pPr>
        <w:spacing w:after="0" w:line="62" w:lineRule="exact"/>
        <w:rPr>
          <w:rFonts w:ascii="Arial" w:cs="Arial" w:eastAsia="Arial" w:hAnsi="Arial"/>
          <w:sz w:val="18"/>
          <w:szCs w:val="18"/>
          <w:color w:val="auto"/>
        </w:rPr>
      </w:pPr>
    </w:p>
    <w:p>
      <w:pPr>
        <w:ind w:right="260" w:firstLine="464"/>
        <w:spacing w:after="0" w:line="277" w:lineRule="auto"/>
        <w:tabs>
          <w:tab w:leader="none" w:pos="8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Merrill Lynch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62" w:lineRule="exact"/>
        <w:rPr>
          <w:rFonts w:ascii="Arial" w:cs="Arial" w:eastAsia="Arial" w:hAnsi="Arial"/>
          <w:sz w:val="18"/>
          <w:szCs w:val="18"/>
          <w:color w:val="auto"/>
        </w:rPr>
      </w:pPr>
    </w:p>
    <w:p>
      <w:pPr>
        <w:ind w:right="60" w:firstLine="464"/>
        <w:spacing w:after="0" w:line="264" w:lineRule="auto"/>
        <w:tabs>
          <w:tab w:leader="none" w:pos="8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it is aware that Merrill Lynch and its respective affiliates are engaged in a broad range of transactions which may involve interests that differ from those of the Company and Merrill Lynch has no obligation to disclose such interests and transactions to the Company by virtue of any fiduciary, advisory or agency relationship or otherwise;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84" w:name="page85"/>
    <w:bookmarkEnd w:id="84"/>
    <w:p>
      <w:pPr>
        <w:jc w:val="both"/>
        <w:ind w:left="-360" w:firstLine="464"/>
        <w:spacing w:after="0" w:line="312" w:lineRule="auto"/>
        <w:tabs>
          <w:tab w:leader="none" w:pos="456" w:val="left"/>
        </w:tabs>
        <w:numPr>
          <w:ilvl w:val="0"/>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waives, to the fullest extent permitted by law, any claims it may have against Merrill Lynch for breach of fiduciary duty or alleged breach of fiduciary duty and agrees that Merrill Lynch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00"/>
          </w:cols>
          <w:pgMar w:left="600" w:top="274" w:right="599" w:bottom="1440" w:gutter="0" w:footer="0" w:header="0"/>
        </w:sectPr>
      </w:pPr>
    </w:p>
    <w:bookmarkStart w:id="85" w:name="page86"/>
    <w:bookmarkEnd w:id="85"/>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between Merrill Lynch, Pierce, Fenner &amp; Smith Incorporated and the Company in accordance with its terms.</w:t>
      </w:r>
    </w:p>
    <w:p>
      <w:pPr>
        <w:spacing w:after="0" w:line="208"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-10160</wp:posOffset>
            </wp:positionV>
            <wp:extent cx="18662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66265"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126365</wp:posOffset>
            </wp:positionV>
            <wp:extent cx="11430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Title: Executive Vice President-Chief Financial Officer and Treasurer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first above written: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PIERCE, FENNER &amp; SMITH</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INCORPORATED</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tab/>
        <w:t>/s/ Hicham Hamdouch</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Hicham Hamdouch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26670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ATM Equity Distribution Agreement Signature Page</w:t>
      </w:r>
    </w:p>
    <w:p>
      <w:pPr>
        <w:sectPr>
          <w:pgSz w:w="11900" w:h="16838" w:orient="portrait"/>
          <w:cols w:equalWidth="0" w:num="1">
            <w:col w:w="11440"/>
          </w:cols>
          <w:pgMar w:left="240" w:top="274" w:right="219"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FORM OF PLACEMENT NOTICE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From:</w:t>
            </w:r>
          </w:p>
        </w:tc>
        <w:tc>
          <w:tcPr>
            <w:tcW w:w="9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Cc:</w:t>
            </w:r>
          </w:p>
        </w:tc>
        <w:tc>
          <w:tcPr>
            <w:tcW w:w="9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To:</w:t>
            </w:r>
          </w:p>
        </w:tc>
        <w:tc>
          <w:tcPr>
            <w:tcW w:w="9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Subject: Equity Distribution—Placement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Pursuant to the terms and subject to the conditions contained in the Equity Distribution Agreement between Federal Realty Investment Trust (the</w:t>
      </w:r>
    </w:p>
    <w:p>
      <w:pPr>
        <w:spacing w:after="0" w:line="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and Merrill Lynch, Pierce, Fenner &amp; Smith Incorporated (“</w:t>
      </w:r>
      <w:r>
        <w:rPr>
          <w:rFonts w:ascii="Arial" w:cs="Arial" w:eastAsia="Arial" w:hAnsi="Arial"/>
          <w:sz w:val="18"/>
          <w:szCs w:val="18"/>
          <w:u w:val="single" w:color="auto"/>
          <w:color w:val="auto"/>
        </w:rPr>
        <w:t>Merrill Lynch</w:t>
      </w:r>
      <w:r>
        <w:rPr>
          <w:rFonts w:ascii="Arial" w:cs="Arial" w:eastAsia="Arial" w:hAnsi="Arial"/>
          <w:sz w:val="18"/>
          <w:szCs w:val="18"/>
          <w:color w:val="auto"/>
        </w:rPr>
        <w:t>”), dated May 7, 2018 (the “</w:t>
      </w:r>
      <w:r>
        <w:rPr>
          <w:rFonts w:ascii="Arial" w:cs="Arial" w:eastAsia="Arial" w:hAnsi="Arial"/>
          <w:sz w:val="18"/>
          <w:szCs w:val="18"/>
          <w:u w:val="single" w:color="auto"/>
          <w:color w:val="auto"/>
        </w:rPr>
        <w:t>Agreement</w:t>
      </w:r>
      <w:r>
        <w:rPr>
          <w:rFonts w:ascii="Arial" w:cs="Arial" w:eastAsia="Arial" w:hAnsi="Arial"/>
          <w:sz w:val="18"/>
          <w:szCs w:val="18"/>
          <w:color w:val="auto"/>
        </w:rPr>
        <w:t>”), I hereby request on behalf of the Company that Merrill Lynch sell up to [*] (“</w:t>
      </w:r>
      <w:r>
        <w:rPr>
          <w:rFonts w:ascii="Arial" w:cs="Arial" w:eastAsia="Arial" w:hAnsi="Arial"/>
          <w:sz w:val="18"/>
          <w:szCs w:val="18"/>
          <w:u w:val="single" w:color="auto"/>
          <w:color w:val="auto"/>
        </w:rPr>
        <w:t>Placement Securities</w:t>
      </w:r>
      <w:r>
        <w:rPr>
          <w:rFonts w:ascii="Arial" w:cs="Arial" w:eastAsia="Arial" w:hAnsi="Arial"/>
          <w:sz w:val="18"/>
          <w:szCs w:val="18"/>
          <w:color w:val="auto"/>
        </w:rPr>
        <w:t>”) of the Company’s common shares of beneficial interest, par value $.01 per share, at a minimum market price of $[*] per share, and agree that the Company will pay Merrill Lynch, as compensation for such sales, [*]% of the gross sales price of Placement Securities sold pursuant to the terms of this Placement Notice.</w:t>
      </w:r>
    </w:p>
    <w:p>
      <w:pPr>
        <w:spacing w:after="0" w:line="1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ADDITIONAL SALES PARAMETERS MAY BE ADDED, SUCH AS THE TIME PERIOD IN WHICH SALES ARE REQUESTED TO BE MADE, SPECIFIC DATES THE SHARES MAY NOT BE SOLD ON, THE MANNER IN WHICH SALES ARE TO BE MADE BY MERRILL LYNCH AND/OR THE CAPACITY IN WHICH MERRILL LYNCH MAY ACT IN SELLING SHARES (AS PRINCIPAL, AGENT, OR BOTH).</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 A-1</w:t>
      </w:r>
    </w:p>
    <w:p>
      <w:pPr>
        <w:sectPr>
          <w:pgSz w:w="11900" w:h="16838" w:orient="portrait"/>
          <w:cols w:equalWidth="0" w:num="1">
            <w:col w:w="11360"/>
          </w:cols>
          <w:pgMar w:left="240" w:top="274" w:right="299" w:bottom="1440" w:gutter="0" w:footer="0" w:header="0"/>
        </w:sectPr>
      </w:pPr>
    </w:p>
    <w:bookmarkStart w:id="87" w:name="page88"/>
    <w:bookmarkEnd w:id="87"/>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u w:val="single" w:color="auto"/>
          <w:color w:val="auto"/>
        </w:rPr>
        <w:t>AUTHORIZED INDIVIDUALS FOR PLACEMENT NOTICES AND ACCEPTANCES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3"/>
              </w:rPr>
              <w:t>Merrill Lynch, Pierce, Fenner &amp; Smith Incorporated</w:t>
            </w:r>
          </w:p>
        </w:tc>
        <w:tc>
          <w:tcPr>
            <w:tcW w:w="4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39"/>
        </w:trPr>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Name</w:t>
            </w:r>
          </w:p>
        </w:tc>
        <w:tc>
          <w:tcPr>
            <w:tcW w:w="9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Email</w:t>
            </w:r>
          </w:p>
        </w:tc>
        <w:tc>
          <w:tcPr>
            <w:tcW w:w="780" w:type="dxa"/>
            <w:vAlign w:val="bottom"/>
          </w:tcPr>
          <w:p>
            <w:pPr>
              <w:spacing w:after="0"/>
              <w:rPr>
                <w:sz w:val="24"/>
                <w:szCs w:val="24"/>
                <w:color w:val="auto"/>
              </w:rPr>
            </w:pPr>
          </w:p>
        </w:tc>
      </w:tr>
      <w:tr>
        <w:trPr>
          <w:trHeight w:val="222"/>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920"/>
              <w:spacing w:after="0"/>
              <w:rPr>
                <w:sz w:val="20"/>
                <w:szCs w:val="20"/>
                <w:color w:val="auto"/>
              </w:rPr>
            </w:pPr>
            <w:r>
              <w:rPr>
                <w:rFonts w:ascii="Arial" w:cs="Arial" w:eastAsia="Arial" w:hAnsi="Arial"/>
                <w:sz w:val="18"/>
                <w:szCs w:val="18"/>
                <w:color w:val="auto"/>
              </w:rPr>
              <w:t>[●]</w:t>
            </w:r>
          </w:p>
        </w:tc>
        <w:tc>
          <w:tcPr>
            <w:tcW w:w="4460" w:type="dxa"/>
            <w:vAlign w:val="bottom"/>
          </w:tcPr>
          <w:p>
            <w:pPr>
              <w:spacing w:after="0"/>
              <w:rPr>
                <w:sz w:val="19"/>
                <w:szCs w:val="19"/>
                <w:color w:val="auto"/>
              </w:rPr>
            </w:pPr>
          </w:p>
        </w:tc>
        <w:tc>
          <w:tcPr>
            <w:tcW w:w="1220" w:type="dxa"/>
            <w:vAlign w:val="bottom"/>
            <w:gridSpan w:val="2"/>
          </w:tcPr>
          <w:p>
            <w:pPr>
              <w:jc w:val="center"/>
              <w:ind w:right="780"/>
              <w:spacing w:after="0"/>
              <w:rPr>
                <w:sz w:val="20"/>
                <w:szCs w:val="20"/>
                <w:color w:val="auto"/>
              </w:rPr>
            </w:pPr>
            <w:r>
              <w:rPr>
                <w:rFonts w:ascii="Arial" w:cs="Arial" w:eastAsia="Arial" w:hAnsi="Arial"/>
                <w:sz w:val="18"/>
                <w:szCs w:val="18"/>
                <w:color w:val="auto"/>
              </w:rPr>
              <w:t>[●]</w:t>
            </w:r>
          </w:p>
        </w:tc>
      </w:tr>
      <w:tr>
        <w:trPr>
          <w:trHeight w:val="230"/>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920"/>
              <w:spacing w:after="0"/>
              <w:rPr>
                <w:sz w:val="20"/>
                <w:szCs w:val="20"/>
                <w:color w:val="auto"/>
              </w:rPr>
            </w:pPr>
            <w:r>
              <w:rPr>
                <w:rFonts w:ascii="Arial" w:cs="Arial" w:eastAsia="Arial" w:hAnsi="Arial"/>
                <w:sz w:val="18"/>
                <w:szCs w:val="18"/>
                <w:color w:val="auto"/>
              </w:rPr>
              <w:t>[●]</w:t>
            </w:r>
          </w:p>
        </w:tc>
        <w:tc>
          <w:tcPr>
            <w:tcW w:w="4460" w:type="dxa"/>
            <w:vAlign w:val="bottom"/>
          </w:tcPr>
          <w:p>
            <w:pPr>
              <w:spacing w:after="0"/>
              <w:rPr>
                <w:sz w:val="20"/>
                <w:szCs w:val="20"/>
                <w:color w:val="auto"/>
              </w:rPr>
            </w:pPr>
          </w:p>
        </w:tc>
        <w:tc>
          <w:tcPr>
            <w:tcW w:w="1220" w:type="dxa"/>
            <w:vAlign w:val="bottom"/>
            <w:gridSpan w:val="2"/>
          </w:tcPr>
          <w:p>
            <w:pPr>
              <w:jc w:val="center"/>
              <w:ind w:right="780"/>
              <w:spacing w:after="0"/>
              <w:rPr>
                <w:sz w:val="20"/>
                <w:szCs w:val="20"/>
                <w:color w:val="auto"/>
              </w:rPr>
            </w:pPr>
            <w:r>
              <w:rPr>
                <w:rFonts w:ascii="Arial" w:cs="Arial" w:eastAsia="Arial" w:hAnsi="Arial"/>
                <w:sz w:val="18"/>
                <w:szCs w:val="18"/>
                <w:color w:val="auto"/>
              </w:rPr>
              <w:t>[●]</w:t>
            </w:r>
          </w:p>
        </w:tc>
      </w:tr>
      <w:tr>
        <w:trPr>
          <w:trHeight w:val="500"/>
        </w:trPr>
        <w:tc>
          <w:tcPr>
            <w:tcW w:w="4060" w:type="dxa"/>
            <w:vAlign w:val="bottom"/>
            <w:gridSpan w:val="4"/>
          </w:tcPr>
          <w:p>
            <w:pPr>
              <w:spacing w:after="0"/>
              <w:rPr>
                <w:sz w:val="20"/>
                <w:szCs w:val="20"/>
                <w:color w:val="auto"/>
              </w:rPr>
            </w:pPr>
            <w:r>
              <w:rPr>
                <w:rFonts w:ascii="Arial" w:cs="Arial" w:eastAsia="Arial" w:hAnsi="Arial"/>
                <w:sz w:val="18"/>
                <w:szCs w:val="18"/>
                <w:b w:val="1"/>
                <w:bCs w:val="1"/>
                <w:color w:val="auto"/>
              </w:rPr>
              <w:t>Federal Realty Investment Trust</w:t>
            </w:r>
          </w:p>
        </w:tc>
        <w:tc>
          <w:tcPr>
            <w:tcW w:w="4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9"/>
        </w:trPr>
        <w:tc>
          <w:tcPr>
            <w:tcW w:w="2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Name</w:t>
            </w:r>
          </w:p>
        </w:tc>
        <w:tc>
          <w:tcPr>
            <w:tcW w:w="9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Email</w:t>
            </w:r>
          </w:p>
        </w:tc>
        <w:tc>
          <w:tcPr>
            <w:tcW w:w="780" w:type="dxa"/>
            <w:vAlign w:val="bottom"/>
          </w:tcPr>
          <w:p>
            <w:pPr>
              <w:spacing w:after="0"/>
              <w:rPr>
                <w:sz w:val="24"/>
                <w:szCs w:val="24"/>
                <w:color w:val="auto"/>
              </w:rPr>
            </w:pPr>
          </w:p>
        </w:tc>
      </w:tr>
      <w:tr>
        <w:trPr>
          <w:trHeight w:val="222"/>
        </w:trPr>
        <w:tc>
          <w:tcPr>
            <w:tcW w:w="2500" w:type="dxa"/>
            <w:vAlign w:val="bottom"/>
          </w:tcPr>
          <w:p>
            <w:pPr>
              <w:spacing w:after="0"/>
              <w:rPr>
                <w:sz w:val="19"/>
                <w:szCs w:val="19"/>
                <w:color w:val="auto"/>
              </w:rPr>
            </w:pPr>
          </w:p>
        </w:tc>
        <w:tc>
          <w:tcPr>
            <w:tcW w:w="1560" w:type="dxa"/>
            <w:vAlign w:val="bottom"/>
            <w:gridSpan w:val="3"/>
          </w:tcPr>
          <w:p>
            <w:pPr>
              <w:jc w:val="center"/>
              <w:ind w:right="740"/>
              <w:spacing w:after="0"/>
              <w:rPr>
                <w:sz w:val="20"/>
                <w:szCs w:val="20"/>
                <w:color w:val="auto"/>
              </w:rPr>
            </w:pPr>
            <w:r>
              <w:rPr>
                <w:rFonts w:ascii="Arial" w:cs="Arial" w:eastAsia="Arial" w:hAnsi="Arial"/>
                <w:sz w:val="18"/>
                <w:szCs w:val="18"/>
                <w:color w:val="auto"/>
                <w:w w:val="91"/>
              </w:rPr>
              <w:t>Don Wood</w:t>
            </w:r>
          </w:p>
        </w:tc>
        <w:tc>
          <w:tcPr>
            <w:tcW w:w="5680" w:type="dxa"/>
            <w:vAlign w:val="bottom"/>
            <w:gridSpan w:val="3"/>
          </w:tcPr>
          <w:p>
            <w:pPr>
              <w:jc w:val="center"/>
              <w:ind w:left="3590"/>
              <w:spacing w:after="0"/>
              <w:rPr>
                <w:sz w:val="20"/>
                <w:szCs w:val="20"/>
                <w:color w:val="auto"/>
              </w:rPr>
            </w:pPr>
            <w:r>
              <w:rPr>
                <w:rFonts w:ascii="Arial" w:cs="Arial" w:eastAsia="Arial" w:hAnsi="Arial"/>
                <w:sz w:val="18"/>
                <w:szCs w:val="18"/>
                <w:color w:val="auto"/>
                <w:w w:val="91"/>
              </w:rPr>
              <w:t>dwood@federalrealty.com</w:t>
            </w:r>
          </w:p>
        </w:tc>
      </w:tr>
      <w:tr>
        <w:trPr>
          <w:trHeight w:val="216"/>
        </w:trPr>
        <w:tc>
          <w:tcPr>
            <w:tcW w:w="4060" w:type="dxa"/>
            <w:vAlign w:val="bottom"/>
            <w:gridSpan w:val="4"/>
          </w:tcPr>
          <w:p>
            <w:pPr>
              <w:jc w:val="center"/>
              <w:ind w:left="1690"/>
              <w:spacing w:after="0"/>
              <w:rPr>
                <w:sz w:val="20"/>
                <w:szCs w:val="20"/>
                <w:color w:val="auto"/>
              </w:rPr>
            </w:pPr>
            <w:r>
              <w:rPr>
                <w:rFonts w:ascii="Arial" w:cs="Arial" w:eastAsia="Arial" w:hAnsi="Arial"/>
                <w:sz w:val="18"/>
                <w:szCs w:val="18"/>
                <w:color w:val="auto"/>
                <w:w w:val="93"/>
              </w:rPr>
              <w:t>Dawn Becker</w:t>
            </w:r>
          </w:p>
        </w:tc>
        <w:tc>
          <w:tcPr>
            <w:tcW w:w="5680" w:type="dxa"/>
            <w:vAlign w:val="bottom"/>
            <w:gridSpan w:val="3"/>
          </w:tcPr>
          <w:p>
            <w:pPr>
              <w:jc w:val="center"/>
              <w:ind w:left="3590"/>
              <w:spacing w:after="0"/>
              <w:rPr>
                <w:sz w:val="20"/>
                <w:szCs w:val="20"/>
                <w:color w:val="auto"/>
              </w:rPr>
            </w:pPr>
            <w:r>
              <w:rPr>
                <w:rFonts w:ascii="Arial" w:cs="Arial" w:eastAsia="Arial" w:hAnsi="Arial"/>
                <w:sz w:val="18"/>
                <w:szCs w:val="18"/>
                <w:color w:val="auto"/>
                <w:w w:val="90"/>
              </w:rPr>
              <w:t>dbecker@federalrealty.com</w:t>
            </w:r>
          </w:p>
        </w:tc>
      </w:tr>
      <w:tr>
        <w:trPr>
          <w:trHeight w:val="230"/>
        </w:trPr>
        <w:tc>
          <w:tcPr>
            <w:tcW w:w="4060" w:type="dxa"/>
            <w:vAlign w:val="bottom"/>
            <w:gridSpan w:val="4"/>
          </w:tcPr>
          <w:p>
            <w:pPr>
              <w:jc w:val="center"/>
              <w:ind w:left="1690"/>
              <w:spacing w:after="0"/>
              <w:rPr>
                <w:sz w:val="20"/>
                <w:szCs w:val="20"/>
                <w:color w:val="auto"/>
              </w:rPr>
            </w:pPr>
            <w:r>
              <w:rPr>
                <w:rFonts w:ascii="Arial" w:cs="Arial" w:eastAsia="Arial" w:hAnsi="Arial"/>
                <w:sz w:val="18"/>
                <w:szCs w:val="18"/>
                <w:color w:val="auto"/>
                <w:w w:val="94"/>
              </w:rPr>
              <w:t>Daniel Guglielmone</w:t>
            </w:r>
          </w:p>
        </w:tc>
        <w:tc>
          <w:tcPr>
            <w:tcW w:w="5680" w:type="dxa"/>
            <w:vAlign w:val="bottom"/>
            <w:gridSpan w:val="3"/>
          </w:tcPr>
          <w:p>
            <w:pPr>
              <w:jc w:val="center"/>
              <w:ind w:left="3590"/>
              <w:spacing w:after="0"/>
              <w:rPr>
                <w:sz w:val="20"/>
                <w:szCs w:val="20"/>
                <w:color w:val="auto"/>
              </w:rPr>
            </w:pPr>
            <w:r>
              <w:rPr>
                <w:rFonts w:ascii="Arial" w:cs="Arial" w:eastAsia="Arial" w:hAnsi="Arial"/>
                <w:sz w:val="18"/>
                <w:szCs w:val="18"/>
                <w:color w:val="auto"/>
                <w:w w:val="89"/>
              </w:rPr>
              <w:t>dang@federalrealty.com</w:t>
            </w:r>
          </w:p>
        </w:tc>
      </w:tr>
      <w:tr>
        <w:trPr>
          <w:trHeight w:val="365"/>
        </w:trPr>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80" w:type="dxa"/>
            <w:vAlign w:val="bottom"/>
            <w:gridSpan w:val="3"/>
          </w:tcPr>
          <w:p>
            <w:pPr>
              <w:ind w:left="1320"/>
              <w:spacing w:after="0"/>
              <w:rPr>
                <w:sz w:val="20"/>
                <w:szCs w:val="20"/>
                <w:color w:val="auto"/>
              </w:rPr>
            </w:pPr>
            <w:r>
              <w:rPr>
                <w:rFonts w:ascii="Arial" w:cs="Arial" w:eastAsia="Arial" w:hAnsi="Arial"/>
                <w:sz w:val="18"/>
                <w:szCs w:val="18"/>
                <w:color w:val="auto"/>
              </w:rPr>
              <w:t>Exh. B-1</w:t>
            </w:r>
          </w:p>
        </w:tc>
      </w:tr>
    </w:tbl>
    <w:p>
      <w:pPr>
        <w:sectPr>
          <w:pgSz w:w="11900" w:h="16838" w:orient="portrait"/>
          <w:cols w:equalWidth="0" w:num="1">
            <w:col w:w="10219"/>
          </w:cols>
          <w:pgMar w:left="240" w:top="274" w:right="1440" w:bottom="1440" w:gutter="0" w:footer="0" w:header="0"/>
        </w:sectPr>
      </w:pPr>
    </w:p>
    <w:bookmarkStart w:id="88" w:name="page89"/>
    <w:bookmarkEnd w:id="88"/>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Merrill Lynch shall be paid compensation at a mutually agreed rate not to exceed 2.00% of the gross sales price of Securities sold pursuant to the terms of this Agreement.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 C-1</w:t>
      </w:r>
    </w:p>
    <w:p>
      <w:pPr>
        <w:sectPr>
          <w:pgSz w:w="11900" w:h="16838" w:orient="portrait"/>
          <w:cols w:equalWidth="0" w:num="1">
            <w:col w:w="11340"/>
          </w:cols>
          <w:pgMar w:left="240" w:top="274" w:right="319"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FORM OF OPINION OF PILLSBURY WINTHROP SHAW PITTMAN LLP (CORPORATE)</w:t>
      </w:r>
    </w:p>
    <w:p>
      <w:pPr>
        <w:sectPr>
          <w:pgSz w:w="11900" w:h="16838" w:orient="portrait"/>
          <w:cols w:equalWidth="0" w:num="1">
            <w:col w:w="9019"/>
          </w:cols>
          <w:pgMar w:left="1440" w:top="274"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OPINION OF PILLSBURY WINTHROP SHAW PITTMAN LLP (TAX)</w:t>
      </w:r>
    </w:p>
    <w:p>
      <w:pPr>
        <w:sectPr>
          <w:pgSz w:w="11900" w:h="16838" w:orient="portrait"/>
          <w:cols w:equalWidth="0" w:num="1">
            <w:col w:w="9019"/>
          </w:cols>
          <w:pgMar w:left="1440" w:top="274" w:right="1440"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 CERTIFICATE</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undersigned, [*], the duly qualified and elected [*] of Federal Realty Investment Trust (the “</w:t>
      </w:r>
      <w:r>
        <w:rPr>
          <w:rFonts w:ascii="Arial" w:cs="Arial" w:eastAsia="Arial" w:hAnsi="Arial"/>
          <w:sz w:val="17"/>
          <w:szCs w:val="17"/>
          <w:u w:val="single" w:color="auto"/>
          <w:color w:val="auto"/>
        </w:rPr>
        <w:t>Company</w:t>
      </w:r>
      <w:r>
        <w:rPr>
          <w:rFonts w:ascii="Arial" w:cs="Arial" w:eastAsia="Arial" w:hAnsi="Arial"/>
          <w:sz w:val="17"/>
          <w:szCs w:val="17"/>
          <w:color w:val="auto"/>
        </w:rPr>
        <w:t>”), a Maryland real estate investment trust, does hereby certify on behalf of the Company, pursuant to Section 7(o) of the Equity Distribution Agreement dated May [7], 2018 (the “</w:t>
      </w:r>
      <w:r>
        <w:rPr>
          <w:rFonts w:ascii="Arial" w:cs="Arial" w:eastAsia="Arial" w:hAnsi="Arial"/>
          <w:sz w:val="17"/>
          <w:szCs w:val="17"/>
          <w:u w:val="single" w:color="auto"/>
          <w:color w:val="auto"/>
        </w:rPr>
        <w:t>Agreement</w:t>
      </w:r>
      <w:r>
        <w:rPr>
          <w:rFonts w:ascii="Arial" w:cs="Arial" w:eastAsia="Arial" w:hAnsi="Arial"/>
          <w:sz w:val="17"/>
          <w:szCs w:val="17"/>
          <w:color w:val="auto"/>
        </w:rPr>
        <w:t>”) between the Company and Merrill Lynch, Pierce, Fenner &amp; Smith Incorporated (the “</w:t>
      </w:r>
      <w:r>
        <w:rPr>
          <w:rFonts w:ascii="Arial" w:cs="Arial" w:eastAsia="Arial" w:hAnsi="Arial"/>
          <w:sz w:val="17"/>
          <w:szCs w:val="17"/>
          <w:u w:val="single" w:color="auto"/>
          <w:color w:val="auto"/>
        </w:rPr>
        <w:t>Agent</w:t>
      </w:r>
      <w:r>
        <w:rPr>
          <w:rFonts w:ascii="Arial" w:cs="Arial" w:eastAsia="Arial" w:hAnsi="Arial"/>
          <w:sz w:val="17"/>
          <w:szCs w:val="17"/>
          <w:color w:val="auto"/>
        </w:rPr>
        <w:t>”), that to the knowledge of the undersigned:</w:t>
      </w:r>
    </w:p>
    <w:p>
      <w:pPr>
        <w:spacing w:after="0" w:line="57" w:lineRule="exact"/>
        <w:rPr>
          <w:sz w:val="20"/>
          <w:szCs w:val="20"/>
          <w:color w:val="auto"/>
        </w:rPr>
      </w:pPr>
    </w:p>
    <w:p>
      <w:pPr>
        <w:ind w:right="40" w:firstLine="464"/>
        <w:spacing w:after="0" w:line="255" w:lineRule="auto"/>
        <w:tabs>
          <w:tab w:leader="none" w:pos="134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81" w:lineRule="exact"/>
        <w:rPr>
          <w:rFonts w:ascii="Arial" w:cs="Arial" w:eastAsia="Arial" w:hAnsi="Arial"/>
          <w:sz w:val="18"/>
          <w:szCs w:val="18"/>
          <w:color w:val="auto"/>
        </w:rPr>
      </w:pPr>
    </w:p>
    <w:p>
      <w:pPr>
        <w:ind w:right="100" w:firstLine="464"/>
        <w:spacing w:after="0" w:line="277" w:lineRule="auto"/>
        <w:tabs>
          <w:tab w:leader="none" w:pos="139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agreements and satisfied all conditions on its part to be performed or satisfied pursuant to the Agreement at or prior to the date hereof (other than those conditions waived by the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but not otherwise defined shall have the meanings assigned to such terms in the Agreement.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E-1</w:t>
      </w:r>
    </w:p>
    <w:p>
      <w:pPr>
        <w:sectPr>
          <w:pgSz w:w="11900" w:h="16838" w:orient="portrait"/>
          <w:cols w:equalWidth="0" w:num="1">
            <w:col w:w="11420"/>
          </w:cols>
          <w:pgMar w:left="240" w:top="274"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PERMITTED FREE WRITING PROSPECTUSES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Dated: May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988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8"/>
              </w:rPr>
              <w:t>TABLE OF CONTENTS</w:t>
            </w:r>
          </w:p>
        </w:tc>
        <w:tc>
          <w:tcPr>
            <w:tcW w:w="280" w:type="dxa"/>
            <w:vAlign w:val="bottom"/>
          </w:tcPr>
          <w:p>
            <w:pPr>
              <w:spacing w:after="0"/>
              <w:rPr>
                <w:sz w:val="17"/>
                <w:szCs w:val="17"/>
                <w:color w:val="auto"/>
              </w:rPr>
            </w:pPr>
          </w:p>
        </w:tc>
      </w:tr>
      <w:tr>
        <w:trPr>
          <w:trHeight w:val="412"/>
        </w:trPr>
        <w:tc>
          <w:tcPr>
            <w:tcW w:w="1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4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200" w:type="dxa"/>
            <w:vAlign w:val="bottom"/>
          </w:tcPr>
          <w:p>
            <w:pPr>
              <w:spacing w:after="0"/>
              <w:rPr>
                <w:sz w:val="20"/>
                <w:szCs w:val="20"/>
                <w:color w:val="auto"/>
              </w:rPr>
            </w:pPr>
            <w:r>
              <w:rPr>
                <w:rFonts w:ascii="Arial" w:cs="Arial" w:eastAsia="Arial" w:hAnsi="Arial"/>
                <w:sz w:val="18"/>
                <w:szCs w:val="18"/>
                <w:color w:val="auto"/>
              </w:rPr>
              <w:t>SECTION 1.</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Description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2.</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Placements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3.</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Sale of Placement Securities by Citigroup</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4.</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Suspension of Sales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5.</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6.</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Sale and Delivery to Citigroup; Settlement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7.</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Covenants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8.</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Payment of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9.</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Conditions of Citigroup’s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10.</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11.</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12.</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Representations, Warranties and Agreements to Survive Delivery</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13.</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Termination of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14.</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15.</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16.</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Adjustments for Stock Splits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17.</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Governing Law and Time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18.</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19.</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Effect of 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20.</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21.</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Permitted Free Writing Prospectuses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22.</w:t>
            </w:r>
          </w:p>
        </w:tc>
        <w:tc>
          <w:tcPr>
            <w:tcW w:w="9880" w:type="dxa"/>
            <w:vAlign w:val="bottom"/>
            <w:gridSpan w:val="3"/>
          </w:tcPr>
          <w:p>
            <w:pPr>
              <w:ind w:left="140"/>
              <w:spacing w:after="0"/>
              <w:rPr>
                <w:sz w:val="20"/>
                <w:szCs w:val="20"/>
                <w:color w:val="auto"/>
              </w:rPr>
            </w:pPr>
            <w:r>
              <w:rPr>
                <w:rFonts w:ascii="Arial" w:cs="Arial" w:eastAsia="Arial" w:hAnsi="Arial"/>
                <w:sz w:val="18"/>
                <w:szCs w:val="18"/>
                <w:color w:val="auto"/>
              </w:rPr>
              <w:t>Absence of Fiduciary Relationship</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65"/>
        </w:trPr>
        <w:tc>
          <w:tcPr>
            <w:tcW w:w="1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320" w:type="dxa"/>
            <w:vAlign w:val="bottom"/>
            <w:gridSpan w:val="2"/>
          </w:tcPr>
          <w:p>
            <w:pPr>
              <w:jc w:val="center"/>
              <w:ind w:right="442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57"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95" w:name="page96"/>
    <w:bookmarkEnd w:id="95"/>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60" w:type="dxa"/>
            <w:vAlign w:val="bottom"/>
            <w:gridSpan w:val="3"/>
          </w:tcPr>
          <w:p>
            <w:pPr>
              <w:jc w:val="center"/>
              <w:ind w:left="3050"/>
              <w:spacing w:after="0"/>
              <w:rPr>
                <w:sz w:val="20"/>
                <w:szCs w:val="20"/>
                <w:color w:val="auto"/>
              </w:rPr>
            </w:pPr>
            <w:r>
              <w:rPr>
                <w:rFonts w:ascii="Arial" w:cs="Arial" w:eastAsia="Arial" w:hAnsi="Arial"/>
                <w:sz w:val="18"/>
                <w:szCs w:val="18"/>
                <w:b w:val="1"/>
                <w:bCs w:val="1"/>
                <w:color w:val="auto"/>
                <w:w w:val="98"/>
              </w:rPr>
              <w:t>TABLE OF CONTENTS</w:t>
            </w:r>
          </w:p>
        </w:tc>
      </w:tr>
      <w:tr>
        <w:trPr>
          <w:trHeight w:val="237"/>
        </w:trPr>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100" w:type="dxa"/>
            <w:vAlign w:val="bottom"/>
          </w:tcPr>
          <w:p>
            <w:pPr>
              <w:spacing w:after="0"/>
              <w:rPr>
                <w:sz w:val="20"/>
                <w:szCs w:val="20"/>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1060" w:type="dxa"/>
            <w:vAlign w:val="bottom"/>
          </w:tcPr>
          <w:p>
            <w:pPr>
              <w:spacing w:after="0"/>
              <w:rPr>
                <w:sz w:val="20"/>
                <w:szCs w:val="20"/>
                <w:color w:val="auto"/>
              </w:rPr>
            </w:pPr>
            <w:r>
              <w:rPr>
                <w:rFonts w:ascii="Arial" w:cs="Arial" w:eastAsia="Arial" w:hAnsi="Arial"/>
                <w:sz w:val="18"/>
                <w:szCs w:val="18"/>
                <w:color w:val="auto"/>
              </w:rPr>
              <w:t>Exhibit A</w:t>
            </w:r>
          </w:p>
        </w:tc>
        <w:tc>
          <w:tcPr>
            <w:tcW w:w="5720" w:type="dxa"/>
            <w:vAlign w:val="bottom"/>
            <w:gridSpan w:val="4"/>
          </w:tcPr>
          <w:p>
            <w:pPr>
              <w:ind w:left="180"/>
              <w:spacing w:after="0"/>
              <w:rPr>
                <w:sz w:val="20"/>
                <w:szCs w:val="20"/>
                <w:color w:val="auto"/>
              </w:rPr>
            </w:pPr>
            <w:r>
              <w:rPr>
                <w:rFonts w:ascii="Arial" w:cs="Arial" w:eastAsia="Arial" w:hAnsi="Arial"/>
                <w:sz w:val="18"/>
                <w:szCs w:val="18"/>
                <w:color w:val="auto"/>
              </w:rPr>
              <w:t>—   Form of Placement Notice</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Exhibit B</w:t>
            </w:r>
          </w:p>
        </w:tc>
        <w:tc>
          <w:tcPr>
            <w:tcW w:w="5720" w:type="dxa"/>
            <w:vAlign w:val="bottom"/>
            <w:gridSpan w:val="4"/>
          </w:tcPr>
          <w:p>
            <w:pPr>
              <w:ind w:left="180"/>
              <w:spacing w:after="0"/>
              <w:rPr>
                <w:sz w:val="20"/>
                <w:szCs w:val="20"/>
                <w:color w:val="auto"/>
              </w:rPr>
            </w:pPr>
            <w:r>
              <w:rPr>
                <w:rFonts w:ascii="Arial" w:cs="Arial" w:eastAsia="Arial" w:hAnsi="Arial"/>
                <w:sz w:val="18"/>
                <w:szCs w:val="18"/>
                <w:color w:val="auto"/>
              </w:rPr>
              <w:t>—   Authorized Individuals for Placement Notices and Acceptances</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Exhibit C</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Compensation</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Exhibit D-1</w:t>
            </w:r>
          </w:p>
        </w:tc>
        <w:tc>
          <w:tcPr>
            <w:tcW w:w="5720" w:type="dxa"/>
            <w:vAlign w:val="bottom"/>
            <w:gridSpan w:val="4"/>
          </w:tcPr>
          <w:p>
            <w:pPr>
              <w:ind w:left="180"/>
              <w:spacing w:after="0"/>
              <w:rPr>
                <w:sz w:val="20"/>
                <w:szCs w:val="20"/>
                <w:color w:val="auto"/>
              </w:rPr>
            </w:pPr>
            <w:r>
              <w:rPr>
                <w:rFonts w:ascii="Arial" w:cs="Arial" w:eastAsia="Arial" w:hAnsi="Arial"/>
                <w:sz w:val="18"/>
                <w:szCs w:val="18"/>
                <w:color w:val="auto"/>
                <w:w w:val="94"/>
              </w:rPr>
              <w:t>—   Form of Opinion of Pillsbury Winthrop Shaw Pittman LLP (Corporate)</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Exhibit D-2</w:t>
            </w:r>
          </w:p>
        </w:tc>
        <w:tc>
          <w:tcPr>
            <w:tcW w:w="5720" w:type="dxa"/>
            <w:vAlign w:val="bottom"/>
            <w:gridSpan w:val="4"/>
          </w:tcPr>
          <w:p>
            <w:pPr>
              <w:ind w:left="180"/>
              <w:spacing w:after="0"/>
              <w:rPr>
                <w:sz w:val="20"/>
                <w:szCs w:val="20"/>
                <w:color w:val="auto"/>
              </w:rPr>
            </w:pPr>
            <w:r>
              <w:rPr>
                <w:rFonts w:ascii="Arial" w:cs="Arial" w:eastAsia="Arial" w:hAnsi="Arial"/>
                <w:sz w:val="18"/>
                <w:szCs w:val="18"/>
                <w:color w:val="auto"/>
              </w:rPr>
              <w:t>—   Form of Opinion of Pillsbury Winthrop Shaw Pittman LLP (Tax)</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Exhibit E</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Officer’s Certificate</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Exhibit F</w:t>
            </w:r>
          </w:p>
        </w:tc>
        <w:tc>
          <w:tcPr>
            <w:tcW w:w="5720" w:type="dxa"/>
            <w:vAlign w:val="bottom"/>
            <w:gridSpan w:val="4"/>
          </w:tcPr>
          <w:p>
            <w:pPr>
              <w:ind w:left="180"/>
              <w:spacing w:after="0"/>
              <w:rPr>
                <w:sz w:val="20"/>
                <w:szCs w:val="20"/>
                <w:color w:val="auto"/>
              </w:rPr>
            </w:pPr>
            <w:r>
              <w:rPr>
                <w:rFonts w:ascii="Arial" w:cs="Arial" w:eastAsia="Arial" w:hAnsi="Arial"/>
                <w:sz w:val="18"/>
                <w:szCs w:val="18"/>
                <w:color w:val="auto"/>
              </w:rPr>
              <w:t>—   Permitted Free Writing Prospectuses</w:t>
            </w:r>
          </w:p>
        </w:tc>
      </w:tr>
      <w:tr>
        <w:trPr>
          <w:trHeight w:val="365"/>
        </w:trPr>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rPr>
              <w:t>-ii-</w:t>
            </w:r>
          </w:p>
        </w:tc>
      </w:tr>
    </w:tbl>
    <w:p>
      <w:pPr>
        <w:jc w:val="center"/>
        <w:ind w:right="12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Maryland Real Estate Investment Trust)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Federal Realty Investment Trust, a Maryland real estate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Citigroup Global Markets Inc. (“</w:t>
      </w:r>
      <w:r>
        <w:rPr>
          <w:rFonts w:ascii="Arial" w:cs="Arial" w:eastAsia="Arial" w:hAnsi="Arial"/>
          <w:sz w:val="18"/>
          <w:szCs w:val="18"/>
          <w:u w:val="single" w:color="auto"/>
          <w:color w:val="auto"/>
        </w:rPr>
        <w:t>Citigroup</w:t>
      </w:r>
      <w:r>
        <w:rPr>
          <w:rFonts w:ascii="Arial" w:cs="Arial" w:eastAsia="Arial" w:hAnsi="Arial"/>
          <w:sz w:val="18"/>
          <w:szCs w:val="18"/>
          <w:color w:val="auto"/>
        </w:rPr>
        <w:t>”), as follows: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Description of Securities</w:t>
      </w:r>
      <w:r>
        <w:rPr>
          <w:rFonts w:ascii="Arial" w:cs="Arial" w:eastAsia="Arial" w:hAnsi="Arial"/>
          <w:sz w:val="17"/>
          <w:szCs w:val="17"/>
          <w:color w:val="auto"/>
        </w:rPr>
        <w:t>. The Company agrees that, from time to time during the term of this Agreement, on the terms and subject to the conditions set forth herein, the Company may issue and sell through Citigroup, acting as agent and/or principal, its common shares of beneficial interest, par value $.01 per share (the “</w:t>
      </w:r>
      <w:r>
        <w:rPr>
          <w:rFonts w:ascii="Arial" w:cs="Arial" w:eastAsia="Arial" w:hAnsi="Arial"/>
          <w:sz w:val="17"/>
          <w:szCs w:val="17"/>
          <w:u w:val="single" w:color="auto"/>
          <w:color w:val="auto"/>
        </w:rPr>
        <w:t>Common Shares</w:t>
      </w:r>
      <w:r>
        <w:rPr>
          <w:rFonts w:ascii="Arial" w:cs="Arial" w:eastAsia="Arial" w:hAnsi="Arial"/>
          <w:sz w:val="17"/>
          <w:szCs w:val="17"/>
          <w:color w:val="auto"/>
        </w:rPr>
        <w:t>”), having an aggregate offering price of up to $400,000,000 (the “</w:t>
      </w:r>
      <w:r>
        <w:rPr>
          <w:rFonts w:ascii="Arial" w:cs="Arial" w:eastAsia="Arial" w:hAnsi="Arial"/>
          <w:sz w:val="17"/>
          <w:szCs w:val="17"/>
          <w:u w:val="single" w:color="auto"/>
          <w:color w:val="auto"/>
        </w:rPr>
        <w:t>Maximum Amount</w:t>
      </w:r>
      <w:r>
        <w:rPr>
          <w:rFonts w:ascii="Arial" w:cs="Arial" w:eastAsia="Arial" w:hAnsi="Arial"/>
          <w:sz w:val="17"/>
          <w:szCs w:val="17"/>
          <w:color w:val="auto"/>
        </w:rPr>
        <w:t>”). The Common Shares sold pursuant to this Agreement, up to the Maximum Amount, shall be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 Notwithstanding anything to the contrary contained herein, the parties hereto agree that compliance with the limitations set forth in this Section 1 regarding the aggregate offering price of the Securities issued and sold under this Agreement shall be the sole responsibility of the Company, and Citigroup shall have no obligation in connection with such compliance. The issuance and sale of the Securities through Citigroup will be effected pursuant to the Registration Statement (as defined below) that was filed by the Company and became effective upon filing under Rule 462(e) of the Securities Act of 1933, as amended, and the rules and regulations thereunder (collectively,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t>
      </w:r>
      <w:r>
        <w:rPr>
          <w:rFonts w:ascii="Arial" w:cs="Arial" w:eastAsia="Arial" w:hAnsi="Arial"/>
          <w:sz w:val="17"/>
          <w:szCs w:val="17"/>
          <w:u w:val="single" w:color="auto"/>
          <w:color w:val="auto"/>
        </w:rPr>
        <w:t>Rule 462(e)</w:t>
      </w:r>
      <w:r>
        <w:rPr>
          <w:rFonts w:ascii="Arial" w:cs="Arial" w:eastAsia="Arial" w:hAnsi="Arial"/>
          <w:sz w:val="17"/>
          <w:szCs w:val="17"/>
          <w:color w:val="auto"/>
        </w:rPr>
        <w:t>”), although nothing in this Agreement shall be construed as requiring the Company to use the Registration Statement to issue the Securities.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has filed, in accordance with the provisions of the Securities Act,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an automatic shelf registration statement on Form S-3 (File No. 333-224701), including a base prospectus, relating to certain securities, including the Securities,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Company has prepared a prospectus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97" w:name="page98"/>
    <w:bookmarkEnd w:id="9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supplement specifically relating to the Securities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to the base prospectus included as part of such registration statement. The Company will furnish to Citigroup, for use by Citigroup, copies of the prospectus included as part of such registration statement, as supplemented by the Prospectus Supplement, relating to the Securities.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(the “</w:t>
      </w:r>
      <w:r>
        <w:rPr>
          <w:rFonts w:ascii="Arial" w:cs="Arial" w:eastAsia="Arial" w:hAnsi="Arial"/>
          <w:sz w:val="16"/>
          <w:szCs w:val="16"/>
          <w:u w:val="single" w:color="auto"/>
          <w:color w:val="auto"/>
        </w:rPr>
        <w:t>Rule 430B Information</w:t>
      </w:r>
      <w:r>
        <w:rPr>
          <w:rFonts w:ascii="Arial" w:cs="Arial" w:eastAsia="Arial" w:hAnsi="Arial"/>
          <w:sz w:val="16"/>
          <w:szCs w:val="16"/>
          <w:color w:val="auto"/>
        </w:rPr>
        <w:t>”) of the Securities Act,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at the time it originally became effective is herein called the “</w:t>
      </w:r>
      <w:r>
        <w:rPr>
          <w:rFonts w:ascii="Arial" w:cs="Arial" w:eastAsia="Arial" w:hAnsi="Arial"/>
          <w:sz w:val="16"/>
          <w:szCs w:val="16"/>
          <w:u w:val="single" w:color="auto"/>
          <w:color w:val="auto"/>
        </w:rPr>
        <w:t>Original 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172"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The Company has also entered into separate equity distribution agreements (the “</w:t>
      </w:r>
      <w:r>
        <w:rPr>
          <w:rFonts w:ascii="Arial" w:cs="Arial" w:eastAsia="Arial" w:hAnsi="Arial"/>
          <w:sz w:val="16"/>
          <w:szCs w:val="16"/>
          <w:u w:val="single" w:color="auto"/>
          <w:color w:val="auto"/>
        </w:rPr>
        <w:t>Alternative Distribution Agreements</w:t>
      </w:r>
      <w:r>
        <w:rPr>
          <w:rFonts w:ascii="Arial" w:cs="Arial" w:eastAsia="Arial" w:hAnsi="Arial"/>
          <w:sz w:val="16"/>
          <w:szCs w:val="16"/>
          <w:color w:val="auto"/>
        </w:rPr>
        <w:t>”), of even date herewith, with each of Wells Fargo Securities, LLC and Merrill Lynch, Pierce, Fenner &amp; Smith Incorporated (together, the “</w:t>
      </w:r>
      <w:r>
        <w:rPr>
          <w:rFonts w:ascii="Arial" w:cs="Arial" w:eastAsia="Arial" w:hAnsi="Arial"/>
          <w:sz w:val="16"/>
          <w:szCs w:val="16"/>
          <w:u w:val="single" w:color="auto"/>
          <w:color w:val="auto"/>
        </w:rPr>
        <w:t>Alternative Agents</w:t>
      </w:r>
      <w:r>
        <w:rPr>
          <w:rFonts w:ascii="Arial" w:cs="Arial" w:eastAsia="Arial" w:hAnsi="Arial"/>
          <w:sz w:val="16"/>
          <w:szCs w:val="16"/>
          <w:color w:val="auto"/>
        </w:rPr>
        <w:t>”). The aggregate offering price of the Securities that may be sold pursuant to this Agreement and the Alternative Distribution Agreements shall not exceed the Maximum Amount.</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Securities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Citigroup by email notice (or other method mutually agreed to in writing by the parties) (a “</w:t>
      </w:r>
      <w:r>
        <w:rPr>
          <w:rFonts w:ascii="Arial" w:cs="Arial" w:eastAsia="Arial" w:hAnsi="Arial"/>
          <w:sz w:val="16"/>
          <w:szCs w:val="16"/>
          <w:u w:val="single" w:color="auto"/>
          <w:color w:val="auto"/>
        </w:rPr>
        <w:t>Placement Notice</w:t>
      </w:r>
      <w:r>
        <w:rPr>
          <w:rFonts w:ascii="Arial" w:cs="Arial" w:eastAsia="Arial" w:hAnsi="Arial"/>
          <w:sz w:val="16"/>
          <w:szCs w:val="16"/>
          <w:color w:val="auto"/>
        </w:rPr>
        <w:t xml:space="preserve">”), a form of which containing such minimum sales parameters necessary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containing the parameters in accordance with which it desires the Securities to be sold, which shall at a minimum include (a) the number of Securities to be issued (the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(b) the time period during which sales are requested to be made,</w:t>
      </w:r>
    </w:p>
    <w:p>
      <w:pPr>
        <w:spacing w:after="0" w:line="2" w:lineRule="exact"/>
        <w:rPr>
          <w:sz w:val="20"/>
          <w:szCs w:val="20"/>
          <w:color w:val="auto"/>
        </w:rPr>
      </w:pPr>
    </w:p>
    <w:p>
      <w:pPr>
        <w:ind w:right="80" w:firstLine="8"/>
        <w:spacing w:after="0" w:line="254" w:lineRule="auto"/>
        <w:tabs>
          <w:tab w:leader="none" w:pos="24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any limitation on the number of Placement Securities that may be sold in any one day and (d) any minimum price below which sales may not be made. The Placement Notice shall originate from any of the individuals from the Company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 a copy to each of the other individuals from the Company listed on such schedule), and shall be addressed to each of the individuals from Citigroup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(any reference to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contained herein shall refer to such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may be amended from time to time).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98" w:name="page99"/>
    <w:bookmarkEnd w:id="98"/>
    <w:p>
      <w:pPr>
        <w:ind w:firstLine="45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Citigroup wishes to accept such proposed terms included in the Placement Notice (which it may decline to do for any reason in its sole discretion) or, following discussion with the Company, wishes to accept amended terms, Citigroup will, prior to 4:30 p.m. (New York City Time) on the business day following the business day on which such Placement Notice is delivered to Citigroup, issue to the Company a notice by email (or other method mutually agreed to in writing by the parties) addressed to all of the individuals from the Company and Citigroup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setting forth the terms that Citigroup is willing to accept. Where the terms provided in the Placement Notice are amended as provided for in the immediately preceding sentence, such terms will not be binding on the Company or Citigroup until the Company delivers to Citigroup an acceptance by email (or other method mutually agreed to in writing by the parties) of all of the terms of such Placement Notice, as amended (the “</w:t>
      </w: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Citigroup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Placement Notice (as amended by the corresponding Acceptance, if applicable) shall be effective upon receipt by the Company of Citigroup’s acceptance of the terms of the Placement Notice or upon receipt by Citigroup of the Company’s Acceptance, as the case may be, unless and until (i) the entire amount of the Placement Securities has been sold, (ii) the Company terminates the Placement Notice by delivering a termination notice by email (or other method mutually agreed to in writing by the parties) expressly indicating that the Company desires to terminate the Placement Notice,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Citigroup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2" w:lineRule="exact"/>
        <w:rPr>
          <w:sz w:val="20"/>
          <w:szCs w:val="20"/>
          <w:color w:val="auto"/>
        </w:rPr>
      </w:pPr>
    </w:p>
    <w:p>
      <w:pPr>
        <w:ind w:right="120" w:firstLine="8"/>
        <w:spacing w:after="0" w:line="286" w:lineRule="auto"/>
        <w:tabs>
          <w:tab w:leader="none" w:pos="315"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The amount of any commission, discount or other compensation to be paid by the Company to Citigroup, when Citigroup is acting as agent, in connection with the sale of the Placement Securities shall be calculated in accordance with the terms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It is expressly acknowledged and agreed that neither the Company nor Citigroup will have any obligation whatsoever with respect to a Placement or any Placement Securities unless and until the Company delivers a Placement Notice to Citigroup and either (i) Citigroup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70"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Sale of Placement Securities by Citigroup</w:t>
      </w:r>
      <w:r>
        <w:rPr>
          <w:rFonts w:ascii="Arial" w:cs="Arial" w:eastAsia="Arial" w:hAnsi="Arial"/>
          <w:sz w:val="16"/>
          <w:szCs w:val="16"/>
          <w:color w:val="auto"/>
        </w:rPr>
        <w:t>. Subject to the provisions of Section 6(a), Citigroup, for the period specified in the Placement Notice (as amended by the corresponding Acceptance, if applicable), will use its commercially reasonable efforts consistent with its normal trading and sales practices to sell the Placement Securities up to the amount specified, and otherwise in accordance with the terms of such Placement Notice (as amended by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9" w:name="page100"/>
    <w:bookmarkEnd w:id="9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corresponding Acceptance, if applicable). Citigroup will provide written confirmation to the Company no later than the opening of the Trading Day (as defined below) immediately following the Trading Day on which it has made sales of Placement Securities hereunder setting forth the number of Placement Securities sold on such day, the compensation payable by the Company to Citigroup pursuant to Section 2 with respect to such sales, and the Net Proceeds (as defined below) payable to the Company, with an itemization of the deductions made by Citigroup (as set forth in Section 6(b)) from the gross proceeds that it receives from such sales. Subject to the terms of the Placement Notice (as amended by the corresponding Acceptance, if applicable), Citigroup may sell Placement Securities by any method permitted by law deemed to be an “at the market” offering as defined in Rule 415 of the Securities Act, including without limitation sales made directly on the New York Stock Exchange (the “</w:t>
      </w:r>
      <w:r>
        <w:rPr>
          <w:rFonts w:ascii="Arial" w:cs="Arial" w:eastAsia="Arial" w:hAnsi="Arial"/>
          <w:sz w:val="16"/>
          <w:szCs w:val="16"/>
          <w:u w:val="single" w:color="auto"/>
          <w:color w:val="auto"/>
        </w:rPr>
        <w:t>NYSE</w:t>
      </w:r>
      <w:r>
        <w:rPr>
          <w:rFonts w:ascii="Arial" w:cs="Arial" w:eastAsia="Arial" w:hAnsi="Arial"/>
          <w:sz w:val="16"/>
          <w:szCs w:val="16"/>
          <w:color w:val="auto"/>
        </w:rPr>
        <w:t>”), on any other existing trading market for the Common Shares or to or through a market maker. Subject to the terms of the Placement Notice (as amended by the corresponding Acceptance, if applicable), Citigroup may also sell Placement Securities by any other method permitted by law, including but not limited to sales in privately negotiated transactions. For the purposes hereof, “</w:t>
      </w:r>
      <w:r>
        <w:rPr>
          <w:rFonts w:ascii="Arial" w:cs="Arial" w:eastAsia="Arial" w:hAnsi="Arial"/>
          <w:sz w:val="16"/>
          <w:szCs w:val="16"/>
          <w:u w:val="single" w:color="auto"/>
          <w:color w:val="auto"/>
        </w:rPr>
        <w:t>Trading Day</w:t>
      </w:r>
      <w:r>
        <w:rPr>
          <w:rFonts w:ascii="Arial" w:cs="Arial" w:eastAsia="Arial" w:hAnsi="Arial"/>
          <w:sz w:val="16"/>
          <w:szCs w:val="16"/>
          <w:color w:val="auto"/>
        </w:rPr>
        <w:t>” means any day on which Common Shares are purchased and sold on the principal market on which the Common Shares are listed or quoted.</w:t>
      </w:r>
    </w:p>
    <w:p>
      <w:pPr>
        <w:spacing w:after="0" w:line="16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Suspension of Sales</w:t>
      </w:r>
      <w:r>
        <w:rPr>
          <w:rFonts w:ascii="Arial" w:cs="Arial" w:eastAsia="Arial" w:hAnsi="Arial"/>
          <w:sz w:val="17"/>
          <w:szCs w:val="17"/>
          <w:color w:val="auto"/>
        </w:rPr>
        <w:t xml:space="preserve">. The Company or Citigroup may, upon notice to the other party in writing (including by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suspend any sale of Placement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suspension shall not affect or impair either party’s obligations with respect to any Placement Securities sold hereunder prior to the receipt of such notice or any Placement Securities sold under the Alternative Distribution Agreements. Each of the parties agrees that no such notice under this Section 4 shall be effective against the other unless it is made to one of the individuals (or to each of the individuals, if notice is made by email correspondence) named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as such Exhibit may be amended from time to time, and (i) receipt is actually acknowledged, other than via auto-reply, by any of the individuals to whom the notice is sent if made by email correspondence or (ii) notice is confirmed promptly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notice is made by telephone. Each party shall acknowledge any notice received pursuant to this Section 4 as promptly as possible.</w:t>
      </w:r>
    </w:p>
    <w:p>
      <w:pPr>
        <w:spacing w:after="0" w:line="183"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117" w:lineRule="exact"/>
        <w:rPr>
          <w:sz w:val="20"/>
          <w:szCs w:val="20"/>
          <w:color w:val="auto"/>
        </w:rPr>
      </w:pPr>
    </w:p>
    <w:p>
      <w:pPr>
        <w:ind w:right="240" w:firstLine="464"/>
        <w:spacing w:after="0" w:line="264" w:lineRule="auto"/>
        <w:tabs>
          <w:tab w:leader="none" w:pos="836"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by the Company. </w:t>
      </w:r>
      <w:r>
        <w:rPr>
          <w:rFonts w:ascii="Arial" w:cs="Arial" w:eastAsia="Arial" w:hAnsi="Arial"/>
          <w:sz w:val="18"/>
          <w:szCs w:val="18"/>
          <w:color w:val="auto"/>
        </w:rPr>
        <w:t>The Company represents and warrants to Citigroup as of the date hereof and as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Date (as defined below), as of each Applicable Time (as defined below) and as of each Settlement Date (as defined below), and agrees with Citigroup, as follows:</w:t>
      </w:r>
    </w:p>
    <w:p>
      <w:pPr>
        <w:spacing w:after="0" w:line="73" w:lineRule="exact"/>
        <w:rPr>
          <w:rFonts w:ascii="Arial" w:cs="Arial" w:eastAsia="Arial" w:hAnsi="Arial"/>
          <w:sz w:val="18"/>
          <w:szCs w:val="18"/>
          <w:color w:val="auto"/>
        </w:rPr>
      </w:pPr>
    </w:p>
    <w:p>
      <w:pPr>
        <w:ind w:left="460" w:right="720" w:firstLine="443"/>
        <w:spacing w:after="0" w:line="277" w:lineRule="auto"/>
        <w:tabs>
          <w:tab w:leader="none" w:pos="1288"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Status as a Well-Known Seasoned Issuer; Registration Statement Effective; Conform to Securities Act; No Misleading Statements; Conformity with EDGAR filings</w:t>
      </w:r>
      <w:r>
        <w:rPr>
          <w:rFonts w:ascii="Arial" w:cs="Arial" w:eastAsia="Arial" w:hAnsi="Arial"/>
          <w:sz w:val="18"/>
          <w:szCs w:val="18"/>
          <w:color w:val="auto"/>
        </w:rPr>
        <w:t>. (A) At the time of filing the Original Registration Statement, (B) at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0" w:name="page101"/>
    <w:bookmarkEnd w:id="10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of the Securities Act) made any offer relating to the Securities in reliance on the exemption of Rule 163 of the Securities Act, (D) at the earliest time that the Company or another offering participant made a bona fide offer (within the meaning of Rule 164(h)(2) under the Securities Act) of the Securities and (E) at the date hereof, the Company was, is and will be a “well-known seasoned issuer” as defined in Rule 405 under the Securities Act (“</w:t>
      </w:r>
      <w:r>
        <w:rPr>
          <w:rFonts w:ascii="Arial" w:cs="Arial" w:eastAsia="Arial" w:hAnsi="Arial"/>
          <w:sz w:val="16"/>
          <w:szCs w:val="16"/>
          <w:u w:val="single" w:color="auto"/>
          <w:color w:val="auto"/>
        </w:rPr>
        <w:t>Rule 405</w:t>
      </w:r>
      <w:r>
        <w:rPr>
          <w:rFonts w:ascii="Arial" w:cs="Arial" w:eastAsia="Arial" w:hAnsi="Arial"/>
          <w:sz w:val="16"/>
          <w:szCs w:val="16"/>
          <w:color w:val="auto"/>
        </w:rPr>
        <w:t>”),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 Rule 456(b)(1)</w:t>
      </w:r>
    </w:p>
    <w:p>
      <w:pPr>
        <w:spacing w:after="0" w:line="5" w:lineRule="exact"/>
        <w:rPr>
          <w:sz w:val="20"/>
          <w:szCs w:val="20"/>
          <w:color w:val="auto"/>
        </w:rPr>
      </w:pPr>
    </w:p>
    <w:p>
      <w:pPr>
        <w:ind w:firstLine="4"/>
        <w:spacing w:after="0" w:line="255" w:lineRule="auto"/>
        <w:tabs>
          <w:tab w:leader="none" w:pos="2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82" w:lineRule="exact"/>
        <w:rPr>
          <w:sz w:val="20"/>
          <w:szCs w:val="20"/>
          <w:color w:val="auto"/>
        </w:rPr>
      </w:pPr>
    </w:p>
    <w:p>
      <w:pPr>
        <w:ind w:right="140" w:firstLine="438"/>
        <w:spacing w:after="0" w:line="279" w:lineRule="auto"/>
        <w:rPr>
          <w:sz w:val="20"/>
          <w:szCs w:val="20"/>
          <w:color w:val="auto"/>
        </w:rPr>
      </w:pPr>
      <w:r>
        <w:rPr>
          <w:rFonts w:ascii="Arial" w:cs="Arial" w:eastAsia="Arial" w:hAnsi="Arial"/>
          <w:sz w:val="17"/>
          <w:szCs w:val="17"/>
          <w:color w:val="auto"/>
        </w:rPr>
        <w:t>The Original Registration Statement became effective upon filing under Rule 462(e) on May 8, 2015,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63" w:lineRule="exact"/>
        <w:rPr>
          <w:sz w:val="20"/>
          <w:szCs w:val="20"/>
          <w:color w:val="auto"/>
        </w:rPr>
      </w:pPr>
    </w:p>
    <w:p>
      <w:pPr>
        <w:ind w:right="160" w:firstLine="438"/>
        <w:spacing w:after="0" w:line="257" w:lineRule="auto"/>
        <w:rPr>
          <w:sz w:val="20"/>
          <w:szCs w:val="20"/>
          <w:color w:val="auto"/>
        </w:rPr>
      </w:pPr>
      <w:r>
        <w:rPr>
          <w:rFonts w:ascii="Arial" w:cs="Arial" w:eastAsia="Arial" w:hAnsi="Arial"/>
          <w:sz w:val="18"/>
          <w:szCs w:val="18"/>
          <w:color w:val="auto"/>
        </w:rPr>
        <w:t>At the respective times the Original Registration Statement and any amendment thereto became effective, at each deemed effective date with respect to Citigroup and the Securities pursuant to Rule 430B(f)(2) under the Securities Act,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80" w:lineRule="exact"/>
        <w:rPr>
          <w:sz w:val="20"/>
          <w:szCs w:val="20"/>
          <w:color w:val="auto"/>
        </w:rPr>
      </w:pPr>
    </w:p>
    <w:p>
      <w:pPr>
        <w:ind w:firstLine="438"/>
        <w:spacing w:after="0" w:line="286" w:lineRule="auto"/>
        <w:rPr>
          <w:sz w:val="20"/>
          <w:szCs w:val="20"/>
          <w:color w:val="auto"/>
        </w:rPr>
      </w:pPr>
      <w:r>
        <w:rPr>
          <w:rFonts w:ascii="Arial" w:cs="Arial" w:eastAsia="Arial" w:hAnsi="Arial"/>
          <w:sz w:val="17"/>
          <w:szCs w:val="17"/>
          <w:color w:val="auto"/>
        </w:rPr>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 supplements thereto, at the time the Prospectus or any such amendment or supplement</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01" w:name="page102"/>
    <w:bookmarkEnd w:id="101"/>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38" w:lineRule="exact"/>
        <w:rPr>
          <w:sz w:val="20"/>
          <w:szCs w:val="20"/>
          <w:color w:val="auto"/>
        </w:rPr>
      </w:pPr>
    </w:p>
    <w:p>
      <w:pPr>
        <w:ind w:right="120" w:firstLine="438"/>
        <w:spacing w:after="0" w:line="259" w:lineRule="auto"/>
        <w:rPr>
          <w:sz w:val="20"/>
          <w:szCs w:val="20"/>
          <w:color w:val="auto"/>
        </w:rPr>
      </w:pPr>
      <w:r>
        <w:rPr>
          <w:rFonts w:ascii="Arial" w:cs="Arial" w:eastAsia="Arial" w:hAnsi="Arial"/>
          <w:sz w:val="18"/>
          <w:szCs w:val="18"/>
          <w:color w:val="auto"/>
        </w:rPr>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Citigroup for use in connection with the offering of any Securities was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right="40" w:firstLine="438"/>
        <w:spacing w:after="0" w:line="273" w:lineRule="auto"/>
        <w:rPr>
          <w:sz w:val="20"/>
          <w:szCs w:val="20"/>
          <w:color w:val="auto"/>
        </w:rPr>
      </w:pPr>
      <w:r>
        <w:rPr>
          <w:rFonts w:ascii="Arial" w:cs="Arial" w:eastAsia="Arial" w:hAnsi="Arial"/>
          <w:sz w:val="17"/>
          <w:szCs w:val="17"/>
          <w:color w:val="auto"/>
        </w:rPr>
        <w:t>Each Issuer Free Writing Prospectus, as of its issue date and as of the relevant Applicable Time and Settlement Date, or until any earlier date that the issuer notified or notifies Citigroup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any material fact or omit to state a material fact necessary in order to make the statements therein, in the light of the circumstances under which they were made, not misleading.</w:t>
      </w:r>
    </w:p>
    <w:p>
      <w:pPr>
        <w:spacing w:after="0" w:line="70" w:lineRule="exact"/>
        <w:rPr>
          <w:sz w:val="20"/>
          <w:szCs w:val="20"/>
          <w:color w:val="auto"/>
        </w:rPr>
      </w:pPr>
    </w:p>
    <w:p>
      <w:pPr>
        <w:jc w:val="both"/>
        <w:ind w:right="220" w:firstLine="438"/>
        <w:spacing w:after="0" w:line="286" w:lineRule="auto"/>
        <w:rPr>
          <w:sz w:val="20"/>
          <w:szCs w:val="20"/>
          <w:color w:val="auto"/>
        </w:rPr>
      </w:pPr>
      <w:r>
        <w:rPr>
          <w:rFonts w:ascii="Arial" w:cs="Arial" w:eastAsia="Arial" w:hAnsi="Arial"/>
          <w:sz w:val="17"/>
          <w:szCs w:val="17"/>
          <w:color w:val="auto"/>
        </w:rPr>
        <w:t>The representations and warranties in this Section 5(a)(1) shall not apply to statements in or omissions from the Registration Statement or any post-effective amendment thereto, the Prospectus or any amendments or supplements thereto or any Issuer Free Writing Prospectus made in reliance upon and in conformity with information furnished to the Company in writing by Citigroup expressly for use therein.</w:t>
      </w:r>
    </w:p>
    <w:p>
      <w:pPr>
        <w:spacing w:after="0" w:line="57" w:lineRule="exact"/>
        <w:rPr>
          <w:sz w:val="20"/>
          <w:szCs w:val="20"/>
          <w:color w:val="auto"/>
        </w:rPr>
      </w:pPr>
    </w:p>
    <w:p>
      <w:pPr>
        <w:ind w:right="100" w:firstLine="443"/>
        <w:spacing w:after="0" w:line="312" w:lineRule="auto"/>
        <w:tabs>
          <w:tab w:leader="none" w:pos="828"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Registration Statement and the Prospectus, when they became effective or at the time 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right="80" w:firstLine="443"/>
        <w:spacing w:after="0" w:line="272" w:lineRule="auto"/>
        <w:tabs>
          <w:tab w:leader="none" w:pos="828"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 and Significant Subsidiaries</w:t>
      </w:r>
      <w:r>
        <w:rPr>
          <w:rFonts w:ascii="Arial" w:cs="Arial" w:eastAsia="Arial" w:hAnsi="Arial"/>
          <w:sz w:val="17"/>
          <w:szCs w:val="17"/>
          <w:color w:val="auto"/>
        </w:rPr>
        <w:t>. 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and the Prospectus; each “significant subsidiary” of the Company (as such term is defined in Rule 1-02 of Regulation S-X) (each, a “</w:t>
      </w:r>
      <w:r>
        <w:rPr>
          <w:rFonts w:ascii="Arial" w:cs="Arial" w:eastAsia="Arial" w:hAnsi="Arial"/>
          <w:sz w:val="17"/>
          <w:szCs w:val="17"/>
          <w:u w:val="single" w:color="auto"/>
          <w:color w:val="auto"/>
        </w:rPr>
        <w:t>Subsidiary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Subsidiaries</w:t>
      </w:r>
      <w:r>
        <w:rPr>
          <w:rFonts w:ascii="Arial" w:cs="Arial" w:eastAsia="Arial" w:hAnsi="Arial"/>
          <w:sz w:val="17"/>
          <w:szCs w:val="17"/>
          <w:color w:val="auto"/>
        </w:rPr>
        <w:t>”)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74" w:right="279" w:bottom="1440" w:gutter="0" w:footer="0" w:header="0"/>
        </w:sectPr>
      </w:pPr>
    </w:p>
    <w:bookmarkStart w:id="102" w:name="page103"/>
    <w:bookmarkEnd w:id="102"/>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described in the Registration Statement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 may result in the issuance of Common Shares of the Company;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75" w:lineRule="exact"/>
        <w:rPr>
          <w:sz w:val="20"/>
          <w:szCs w:val="20"/>
          <w:color w:val="auto"/>
        </w:rPr>
      </w:pPr>
    </w:p>
    <w:p>
      <w:pPr>
        <w:ind w:firstLine="443"/>
        <w:spacing w:after="0" w:line="285" w:lineRule="auto"/>
        <w:tabs>
          <w:tab w:leader="none" w:pos="828"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The Company and its subsidiaries, considered as one enterprise, have not, since the date of the latest audited financial statements included or incorporated by reference in the Registration Statement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or the Alternative Distribution Agreements, (ii)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 (v) the exercise of contractual rights existing on the date hereof by the current and former holders of partnership or other interests in certain of the “DownREIT” and other subsidiaries which may result in the issuance of Common Shares of the Company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Prospectus.</w:t>
      </w:r>
    </w:p>
    <w:p>
      <w:pPr>
        <w:spacing w:after="0" w:line="10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03" w:name="page104"/>
    <w:bookmarkEnd w:id="103"/>
    <w:p>
      <w:pPr>
        <w:ind w:right="100" w:firstLine="443"/>
        <w:spacing w:after="0" w:line="302" w:lineRule="auto"/>
        <w:tabs>
          <w:tab w:leader="none" w:pos="828"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Capitalization</w:t>
      </w:r>
      <w:r>
        <w:rPr>
          <w:rFonts w:ascii="Arial" w:cs="Arial" w:eastAsia="Arial" w:hAnsi="Arial"/>
          <w:sz w:val="16"/>
          <w:szCs w:val="16"/>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46" w:lineRule="exact"/>
        <w:rPr>
          <w:rFonts w:ascii="Arial" w:cs="Arial" w:eastAsia="Arial" w:hAnsi="Arial"/>
          <w:sz w:val="16"/>
          <w:szCs w:val="16"/>
          <w:color w:val="auto"/>
        </w:rPr>
      </w:pPr>
    </w:p>
    <w:p>
      <w:pPr>
        <w:ind w:right="660" w:firstLine="443"/>
        <w:spacing w:after="0" w:line="277" w:lineRule="auto"/>
        <w:tabs>
          <w:tab w:leader="none" w:pos="82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The Company has full right, power and authority under its organizational documents to enter into this Agreement, and this Agreement has been duly and validly authorized, executed and delivered by the Company.</w:t>
      </w:r>
    </w:p>
    <w:p>
      <w:pPr>
        <w:spacing w:after="0" w:line="62" w:lineRule="exact"/>
        <w:rPr>
          <w:rFonts w:ascii="Arial" w:cs="Arial" w:eastAsia="Arial" w:hAnsi="Arial"/>
          <w:sz w:val="18"/>
          <w:szCs w:val="18"/>
          <w:color w:val="auto"/>
        </w:rPr>
      </w:pPr>
    </w:p>
    <w:p>
      <w:pPr>
        <w:jc w:val="both"/>
        <w:ind w:firstLine="443"/>
        <w:spacing w:after="0" w:line="270" w:lineRule="auto"/>
        <w:tabs>
          <w:tab w:leader="none" w:pos="828"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Authorization of Securities</w:t>
      </w:r>
      <w:r>
        <w:rPr>
          <w:rFonts w:ascii="Arial" w:cs="Arial" w:eastAsia="Arial" w:hAnsi="Arial"/>
          <w:sz w:val="17"/>
          <w:szCs w:val="17"/>
          <w:color w:val="auto"/>
        </w:rPr>
        <w:t>. The Securities have been duly and validly authorized by the Company, and, when such Securities are issued and delivered pursuant to this Agreement, such Securities will be duly and validly issued and fully paid and non-assessable; and the issuance and sale of the Securities is not subject to any preemptive, co-sale right, right of first refusal or other similar rights arising under applicable law, under the Charter or bylaws or similar organizational documents of the Company or under any agreement to which the Company or any Subsidiary is a party or otherwise. The Securities conform in all material respects to all statements related thereto contained in the Registration Statement and the Prospectus as amended or supplemented with respect to such Securities and such description conforms in all material respects to the rights set forth in the instruments defining the same; except as set forth under the caption “Description of Shares of Beneficial Interest—Certain Provisions of Maryland Law and our Declaration of Trust and Bylaws—Shareholder Liability and Indemnification” in the Prospectus, no holder of the Securities is or will be subject to personal liability by reason of being such a holder.</w:t>
      </w:r>
    </w:p>
    <w:p>
      <w:pPr>
        <w:spacing w:after="0" w:line="73" w:lineRule="exact"/>
        <w:rPr>
          <w:rFonts w:ascii="Arial" w:cs="Arial" w:eastAsia="Arial" w:hAnsi="Arial"/>
          <w:sz w:val="17"/>
          <w:szCs w:val="17"/>
          <w:color w:val="auto"/>
        </w:rPr>
      </w:pPr>
    </w:p>
    <w:p>
      <w:pPr>
        <w:ind w:firstLine="443"/>
        <w:spacing w:after="0" w:line="270" w:lineRule="auto"/>
        <w:tabs>
          <w:tab w:leader="none" w:pos="828"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No Violations</w:t>
      </w:r>
      <w:r>
        <w:rPr>
          <w:rFonts w:ascii="Arial" w:cs="Arial" w:eastAsia="Arial" w:hAnsi="Arial"/>
          <w:sz w:val="17"/>
          <w:szCs w:val="17"/>
          <w:color w:val="auto"/>
        </w:rPr>
        <w:t>. (i) Neither the Company nor any of its Subsidiaries is in violation of its charter or bylaws or similar organizational documents; (ii) 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104" w:name="page105"/>
    <w:bookmarkEnd w:id="104"/>
    <w:p>
      <w:pPr>
        <w:ind w:right="80" w:firstLine="443"/>
        <w:spacing w:after="0" w:line="269" w:lineRule="auto"/>
        <w:tabs>
          <w:tab w:leader="none" w:pos="828"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Absence of Conflicts; Absence of Further Requirements</w:t>
      </w:r>
      <w:r>
        <w:rPr>
          <w:rFonts w:ascii="Arial" w:cs="Arial" w:eastAsia="Arial" w:hAnsi="Arial"/>
          <w:sz w:val="17"/>
          <w:szCs w:val="17"/>
          <w:color w:val="auto"/>
        </w:rPr>
        <w:t>. The issue and sale of the Securities and the compliance by the Company with all of the provisions of this Agreement with respect to such Securities, and the consummation of the transactions 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Charter or the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NYSE, which will be obtained prior to the first sale of Securities pursuant to this Agreement.</w:t>
      </w:r>
    </w:p>
    <w:p>
      <w:pPr>
        <w:spacing w:after="0" w:line="71" w:lineRule="exact"/>
        <w:rPr>
          <w:rFonts w:ascii="Arial" w:cs="Arial" w:eastAsia="Arial" w:hAnsi="Arial"/>
          <w:sz w:val="17"/>
          <w:szCs w:val="17"/>
          <w:color w:val="auto"/>
        </w:rPr>
      </w:pPr>
    </w:p>
    <w:p>
      <w:pPr>
        <w:ind w:firstLine="443"/>
        <w:spacing w:after="0" w:line="255" w:lineRule="auto"/>
        <w:tabs>
          <w:tab w:leader="none" w:pos="91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Other than as set forth in the Registration Statement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5" w:lineRule="exact"/>
        <w:rPr>
          <w:rFonts w:ascii="Arial" w:cs="Arial" w:eastAsia="Arial" w:hAnsi="Arial"/>
          <w:sz w:val="18"/>
          <w:szCs w:val="18"/>
          <w:color w:val="auto"/>
        </w:rPr>
      </w:pPr>
    </w:p>
    <w:p>
      <w:pPr>
        <w:ind w:right="40" w:firstLine="443"/>
        <w:spacing w:after="0" w:line="255" w:lineRule="auto"/>
        <w:tabs>
          <w:tab w:leader="none" w:pos="91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consolidated financial statements of the Company and its subsidiaries, together with related notes and schedules as set forth or incorporated by reference in the Registration Statement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in the United States (“</w:t>
      </w:r>
      <w:r>
        <w:rPr>
          <w:rFonts w:ascii="Arial" w:cs="Arial" w:eastAsia="Arial" w:hAnsi="Arial"/>
          <w:sz w:val="18"/>
          <w:szCs w:val="18"/>
          <w:u w:val="single" w:color="auto"/>
          <w:color w:val="auto"/>
        </w:rPr>
        <w:t>GAAP</w:t>
      </w:r>
      <w:r>
        <w:rPr>
          <w:rFonts w:ascii="Arial" w:cs="Arial" w:eastAsia="Arial" w:hAnsi="Arial"/>
          <w:sz w:val="18"/>
          <w:szCs w:val="18"/>
          <w:color w:val="auto"/>
        </w:rPr>
        <w:t>”),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105" w:name="page106"/>
    <w:bookmarkEnd w:id="105"/>
    <w:p>
      <w:pPr>
        <w:jc w:val="both"/>
        <w:ind w:right="60" w:firstLine="443"/>
        <w:spacing w:after="0" w:line="259" w:lineRule="auto"/>
        <w:tabs>
          <w:tab w:leader="none" w:pos="91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Good Title</w:t>
      </w:r>
      <w:r>
        <w:rPr>
          <w:rFonts w:ascii="Arial" w:cs="Arial" w:eastAsia="Arial" w:hAnsi="Arial"/>
          <w:sz w:val="18"/>
          <w:szCs w:val="18"/>
          <w:color w:val="auto"/>
        </w:rPr>
        <w:t>. The Company and its subsidiaries have good and marketable title to, or valid and enforceable leasehold estates in, all items of real and personal property referred to in the Registration Statement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firstLine="443"/>
        <w:spacing w:after="0" w:line="257" w:lineRule="auto"/>
        <w:tabs>
          <w:tab w:leader="none" w:pos="91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80" w:lineRule="exact"/>
        <w:rPr>
          <w:rFonts w:ascii="Arial" w:cs="Arial" w:eastAsia="Arial" w:hAnsi="Arial"/>
          <w:sz w:val="18"/>
          <w:szCs w:val="18"/>
          <w:color w:val="auto"/>
        </w:rPr>
      </w:pPr>
    </w:p>
    <w:p>
      <w:pPr>
        <w:jc w:val="both"/>
        <w:ind w:right="380" w:firstLine="443"/>
        <w:spacing w:after="0" w:line="312" w:lineRule="auto"/>
        <w:tabs>
          <w:tab w:leader="none" w:pos="918"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Licenses and Permits</w:t>
      </w:r>
      <w:r>
        <w:rPr>
          <w:rFonts w:ascii="Arial" w:cs="Arial" w:eastAsia="Arial" w:hAnsi="Arial"/>
          <w:sz w:val="16"/>
          <w:szCs w:val="16"/>
          <w:color w:val="auto"/>
        </w:rPr>
        <w:t>. 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38" w:lineRule="exact"/>
        <w:rPr>
          <w:rFonts w:ascii="Arial" w:cs="Arial" w:eastAsia="Arial" w:hAnsi="Arial"/>
          <w:sz w:val="16"/>
          <w:szCs w:val="16"/>
          <w:color w:val="auto"/>
        </w:rPr>
      </w:pPr>
    </w:p>
    <w:p>
      <w:pPr>
        <w:ind w:firstLine="443"/>
        <w:spacing w:after="0" w:line="264" w:lineRule="auto"/>
        <w:tabs>
          <w:tab w:leader="none" w:pos="91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40" w:firstLine="443"/>
        <w:spacing w:after="0" w:line="269" w:lineRule="auto"/>
        <w:tabs>
          <w:tab w:leader="none" w:pos="918"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Internal Controls Over Financial Reporting</w:t>
      </w:r>
      <w:r>
        <w:rPr>
          <w:rFonts w:ascii="Arial" w:cs="Arial" w:eastAsia="Arial" w:hAnsi="Arial"/>
          <w:sz w:val="17"/>
          <w:szCs w:val="17"/>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106" w:name="page107"/>
    <w:bookmarkEnd w:id="106"/>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79" w:lineRule="exact"/>
        <w:rPr>
          <w:sz w:val="20"/>
          <w:szCs w:val="20"/>
          <w:color w:val="auto"/>
        </w:rPr>
      </w:pPr>
    </w:p>
    <w:p>
      <w:pPr>
        <w:ind w:right="80" w:firstLine="443"/>
        <w:spacing w:after="0" w:line="277" w:lineRule="auto"/>
        <w:tabs>
          <w:tab w:leader="none" w:pos="91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Form S-3 Requirements</w:t>
      </w:r>
      <w:r>
        <w:rPr>
          <w:rFonts w:ascii="Arial" w:cs="Arial" w:eastAsia="Arial" w:hAnsi="Arial"/>
          <w:sz w:val="18"/>
          <w:szCs w:val="18"/>
          <w:color w:val="auto"/>
        </w:rPr>
        <w:t>. The conditions for use of registration statements on Form S-3 set forth in the General Instructions on Form S-3 have been satisfied and the Company is entitled to use such form for the transactions contemplated by this Agreement.</w:t>
      </w:r>
    </w:p>
    <w:p>
      <w:pPr>
        <w:spacing w:after="0" w:line="62" w:lineRule="exact"/>
        <w:rPr>
          <w:rFonts w:ascii="Arial" w:cs="Arial" w:eastAsia="Arial" w:hAnsi="Arial"/>
          <w:sz w:val="18"/>
          <w:szCs w:val="18"/>
          <w:color w:val="auto"/>
        </w:rPr>
      </w:pPr>
    </w:p>
    <w:p>
      <w:pPr>
        <w:ind w:right="120" w:firstLine="443"/>
        <w:spacing w:after="0" w:line="291" w:lineRule="auto"/>
        <w:tabs>
          <w:tab w:leader="none" w:pos="918"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Hazardous Materials</w:t>
      </w:r>
      <w:r>
        <w:rPr>
          <w:rFonts w:ascii="Arial" w:cs="Arial" w:eastAsia="Arial" w:hAnsi="Arial"/>
          <w:sz w:val="16"/>
          <w:szCs w:val="16"/>
          <w:color w:val="auto"/>
        </w:rPr>
        <w:t>. Although the Company is aware of the presence of hazardous substances, hazardous materials, toxic substances or waste materials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59" w:lineRule="exact"/>
        <w:rPr>
          <w:rFonts w:ascii="Arial" w:cs="Arial" w:eastAsia="Arial" w:hAnsi="Arial"/>
          <w:sz w:val="16"/>
          <w:szCs w:val="16"/>
          <w:color w:val="auto"/>
        </w:rPr>
      </w:pPr>
    </w:p>
    <w:p>
      <w:pPr>
        <w:ind w:right="180" w:firstLine="443"/>
        <w:spacing w:after="0" w:line="276" w:lineRule="auto"/>
        <w:tabs>
          <w:tab w:leader="none" w:pos="918"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Taxes; Investment Company Act</w:t>
      </w:r>
      <w:r>
        <w:rPr>
          <w:rFonts w:ascii="Arial" w:cs="Arial" w:eastAsia="Arial" w:hAnsi="Arial"/>
          <w:sz w:val="17"/>
          <w:szCs w:val="17"/>
          <w:color w:val="auto"/>
        </w:rPr>
        <w:t>. With respect to all tax periods regarding which the Internal Revenue Service is or will be entitled to assert any claim, the Company has met the requirements for qualification as a REIT under Sections 856 through 860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 (the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firstLine="443"/>
        <w:spacing w:after="0" w:line="255" w:lineRule="auto"/>
        <w:tabs>
          <w:tab w:leader="none" w:pos="91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07" w:name="page108"/>
    <w:bookmarkEnd w:id="107"/>
    <w:p>
      <w:pPr>
        <w:ind w:firstLine="443"/>
        <w:spacing w:after="0" w:line="288" w:lineRule="auto"/>
        <w:tabs>
          <w:tab w:leader="none" w:pos="918"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Corrupt Practices</w:t>
      </w:r>
      <w:r>
        <w:rPr>
          <w:rFonts w:ascii="Arial" w:cs="Arial" w:eastAsia="Arial" w:hAnsi="Arial"/>
          <w:sz w:val="16"/>
          <w:szCs w:val="16"/>
          <w:color w:val="auto"/>
        </w:rPr>
        <w:t>. 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61" w:lineRule="exact"/>
        <w:rPr>
          <w:rFonts w:ascii="Arial" w:cs="Arial" w:eastAsia="Arial" w:hAnsi="Arial"/>
          <w:sz w:val="16"/>
          <w:szCs w:val="16"/>
          <w:color w:val="auto"/>
        </w:rPr>
      </w:pPr>
    </w:p>
    <w:p>
      <w:pPr>
        <w:ind w:right="40" w:firstLine="443"/>
        <w:spacing w:after="0" w:line="273" w:lineRule="auto"/>
        <w:tabs>
          <w:tab w:leader="none" w:pos="918"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Anti-Money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70" w:lineRule="exact"/>
        <w:rPr>
          <w:rFonts w:ascii="Arial" w:cs="Arial" w:eastAsia="Arial" w:hAnsi="Arial"/>
          <w:sz w:val="17"/>
          <w:szCs w:val="17"/>
          <w:color w:val="auto"/>
        </w:rPr>
      </w:pPr>
    </w:p>
    <w:p>
      <w:pPr>
        <w:ind w:right="140" w:firstLine="443"/>
        <w:spacing w:after="0" w:line="291" w:lineRule="auto"/>
        <w:tabs>
          <w:tab w:leader="none" w:pos="918"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w:t>
      </w:r>
      <w:r>
        <w:rPr>
          <w:rFonts w:ascii="Arial" w:cs="Arial" w:eastAsia="Arial" w:hAnsi="Arial"/>
          <w:sz w:val="16"/>
          <w:szCs w:val="16"/>
          <w:u w:val="single" w:color="auto"/>
          <w:color w:val="auto"/>
        </w:rPr>
        <w:t>OFAC</w:t>
      </w:r>
      <w:r>
        <w:rPr>
          <w:rFonts w:ascii="Arial" w:cs="Arial" w:eastAsia="Arial" w:hAnsi="Arial"/>
          <w:sz w:val="16"/>
          <w:szCs w:val="16"/>
          <w:color w:val="auto"/>
        </w:rPr>
        <w:t>”)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or (ii) located, organized or resident in a country or territory that is, or whose government is, the subject of Sanctions that broadly prohibit dealings with that country or territory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59" w:lineRule="exact"/>
        <w:rPr>
          <w:rFonts w:ascii="Arial" w:cs="Arial" w:eastAsia="Arial" w:hAnsi="Arial"/>
          <w:sz w:val="16"/>
          <w:szCs w:val="16"/>
          <w:color w:val="auto"/>
        </w:rPr>
      </w:pPr>
    </w:p>
    <w:p>
      <w:pPr>
        <w:ind w:firstLine="443"/>
        <w:spacing w:after="0" w:line="277" w:lineRule="auto"/>
        <w:tabs>
          <w:tab w:leader="none" w:pos="91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NYSE</w:t>
      </w:r>
      <w:r>
        <w:rPr>
          <w:rFonts w:ascii="Arial" w:cs="Arial" w:eastAsia="Arial" w:hAnsi="Arial"/>
          <w:sz w:val="18"/>
          <w:szCs w:val="18"/>
          <w:color w:val="auto"/>
        </w:rPr>
        <w:t>. The outstanding Common Shares have been, and prior to the first sale of Securities pursuant to this Agreement, the Securities to be sold by the Company hereunder will be, approved for listing, subject only to official notice of issuance, on the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74" w:right="279" w:bottom="1440" w:gutter="0" w:footer="0" w:header="0"/>
        </w:sectPr>
      </w:pPr>
    </w:p>
    <w:bookmarkStart w:id="108" w:name="page109"/>
    <w:bookmarkEnd w:id="10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NYSE, and are registered pursuant to 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 The Company has taken all necessary actions to ensure that it is in compliance with all applicable NYSE listing standards that are currently in effect and will take such steps as are necessary to ensure that the Company will be in compliance with other applicable requirements set forth in the NYSE’s listing standards not currently in effect upon the effectiveness of such requirements.</w:t>
      </w:r>
    </w:p>
    <w:p>
      <w:pPr>
        <w:spacing w:after="0" w:line="85" w:lineRule="exact"/>
        <w:rPr>
          <w:sz w:val="20"/>
          <w:szCs w:val="20"/>
          <w:color w:val="auto"/>
        </w:rPr>
      </w:pPr>
    </w:p>
    <w:p>
      <w:pPr>
        <w:ind w:right="40" w:firstLine="443"/>
        <w:spacing w:after="0" w:line="264" w:lineRule="auto"/>
        <w:tabs>
          <w:tab w:leader="none" w:pos="91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Neither the Company nor any of its subsidiaries has distributed or will distribute any offering material in connection with the offering and sale of the Securities to be sold hereunder by Citigroup, as principal or agent for the Company, other than the Prospectus and any Permitted Free Writing Prospectus reviewed and consented to by Citigroup.</w:t>
      </w:r>
    </w:p>
    <w:p>
      <w:pPr>
        <w:spacing w:after="0" w:line="73" w:lineRule="exact"/>
        <w:rPr>
          <w:rFonts w:ascii="Arial" w:cs="Arial" w:eastAsia="Arial" w:hAnsi="Arial"/>
          <w:sz w:val="18"/>
          <w:szCs w:val="18"/>
          <w:color w:val="auto"/>
        </w:rPr>
      </w:pPr>
    </w:p>
    <w:p>
      <w:pPr>
        <w:ind w:right="860" w:firstLine="443"/>
        <w:spacing w:after="0" w:line="277" w:lineRule="auto"/>
        <w:tabs>
          <w:tab w:leader="none" w:pos="91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Actively Traded Security</w:t>
      </w:r>
      <w:r>
        <w:rPr>
          <w:rFonts w:ascii="Arial" w:cs="Arial" w:eastAsia="Arial" w:hAnsi="Arial"/>
          <w:sz w:val="18"/>
          <w:szCs w:val="18"/>
          <w:color w:val="auto"/>
        </w:rPr>
        <w:t>. The Common Shares are “actively traded securities” excepted from the requirements of Rule 101 of Regulation M under the Exchange Act by subsection (c)(1) of such rule.</w:t>
      </w:r>
    </w:p>
    <w:p>
      <w:pPr>
        <w:spacing w:after="0" w:line="62" w:lineRule="exact"/>
        <w:rPr>
          <w:rFonts w:ascii="Arial" w:cs="Arial" w:eastAsia="Arial" w:hAnsi="Arial"/>
          <w:sz w:val="18"/>
          <w:szCs w:val="18"/>
          <w:color w:val="auto"/>
        </w:rPr>
      </w:pPr>
    </w:p>
    <w:p>
      <w:pPr>
        <w:jc w:val="both"/>
        <w:ind w:right="160" w:firstLine="443"/>
        <w:spacing w:after="0" w:line="259" w:lineRule="auto"/>
        <w:tabs>
          <w:tab w:leader="none" w:pos="91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any of its subsidiaries, nor any of the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78" w:lineRule="exact"/>
        <w:rPr>
          <w:rFonts w:ascii="Arial" w:cs="Arial" w:eastAsia="Arial" w:hAnsi="Arial"/>
          <w:sz w:val="18"/>
          <w:szCs w:val="18"/>
          <w:color w:val="auto"/>
        </w:rPr>
      </w:pPr>
    </w:p>
    <w:p>
      <w:pPr>
        <w:ind w:right="80" w:firstLine="443"/>
        <w:spacing w:after="0" w:line="272" w:lineRule="auto"/>
        <w:tabs>
          <w:tab w:leader="none" w:pos="918"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Proprietary Trading by Citigroup</w:t>
      </w:r>
      <w:r>
        <w:rPr>
          <w:rFonts w:ascii="Arial" w:cs="Arial" w:eastAsia="Arial" w:hAnsi="Arial"/>
          <w:sz w:val="17"/>
          <w:szCs w:val="17"/>
          <w:color w:val="auto"/>
        </w:rPr>
        <w:t>. The Company acknowledges and agrees that Citigroup has informed the Company that Citigroup may, to the extent permitted under the Securities Act and the Exchange Act, purchase and sell Common Shares for its own account while this Agreement is in effect, and shall be under no obligation to purchase Securities on a principal basis pursuant to this Agreement, except as otherwise agreed to by Citigroup in the applicable Placement Notice (as amended by the corresponding Acceptance, if applicable); provided, that no such purchase or sale shall take place while a Placement Notice is in effect (except (i) as agreed to by Citigroup in the Placement Notice (as amended by the corresponding Acceptance, if applicable) or (ii) to the extent Citigroup may engage in sales of Placement Securities purchased or deemed purchased from the Company as a “riskless principal” or in a similar capacity).</w:t>
      </w:r>
    </w:p>
    <w:p>
      <w:pPr>
        <w:spacing w:after="0" w:line="69" w:lineRule="exact"/>
        <w:rPr>
          <w:rFonts w:ascii="Arial" w:cs="Arial" w:eastAsia="Arial" w:hAnsi="Arial"/>
          <w:sz w:val="17"/>
          <w:szCs w:val="17"/>
          <w:color w:val="auto"/>
        </w:rPr>
      </w:pPr>
    </w:p>
    <w:p>
      <w:pPr>
        <w:ind w:right="60" w:firstLine="443"/>
        <w:spacing w:after="0" w:line="264" w:lineRule="auto"/>
        <w:tabs>
          <w:tab w:leader="none" w:pos="963"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eXtensible Business Reporting Language</w:t>
      </w:r>
      <w:r>
        <w:rPr>
          <w:rFonts w:ascii="Arial" w:cs="Arial" w:eastAsia="Arial" w:hAnsi="Arial"/>
          <w:sz w:val="18"/>
          <w:szCs w:val="18"/>
          <w:color w:val="auto"/>
        </w:rPr>
        <w:t>. The interactive data in the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700" w:top="274" w:right="319" w:bottom="1440" w:gutter="0" w:footer="0" w:header="0"/>
        </w:sectPr>
      </w:pPr>
    </w:p>
    <w:bookmarkStart w:id="109" w:name="page110"/>
    <w:bookmarkEnd w:id="109"/>
    <w:p>
      <w:pPr>
        <w:ind w:left="-8" w:right="540" w:firstLine="464"/>
        <w:spacing w:after="0" w:line="277" w:lineRule="auto"/>
        <w:tabs>
          <w:tab w:leader="none" w:pos="838"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Certificates. </w:t>
      </w:r>
      <w:r>
        <w:rPr>
          <w:rFonts w:ascii="Arial" w:cs="Arial" w:eastAsia="Arial" w:hAnsi="Arial"/>
          <w:sz w:val="18"/>
          <w:szCs w:val="18"/>
          <w:color w:val="auto"/>
        </w:rPr>
        <w:t>Any certificate signed by any officer of the Company and delivered to Citigroup or to counsel for Citigroup shall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and warranty by the Company to Citigroup as to the matters covered thereby.</w:t>
      </w:r>
    </w:p>
    <w:p>
      <w:pPr>
        <w:spacing w:after="0" w:line="170" w:lineRule="exact"/>
        <w:rPr>
          <w:sz w:val="20"/>
          <w:szCs w:val="20"/>
          <w:color w:val="auto"/>
        </w:rPr>
      </w:pPr>
    </w:p>
    <w:p>
      <w:pPr>
        <w:ind w:left="452"/>
        <w:spacing w:after="0"/>
        <w:tabs>
          <w:tab w:leader="none" w:pos="1552"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Sale and Delivery to Citigroup; Settlement</w:t>
      </w:r>
      <w:r>
        <w:rPr>
          <w:rFonts w:ascii="Arial" w:cs="Arial" w:eastAsia="Arial" w:hAnsi="Arial"/>
          <w:sz w:val="16"/>
          <w:szCs w:val="16"/>
          <w:color w:val="auto"/>
        </w:rPr>
        <w:t>.</w:t>
      </w:r>
    </w:p>
    <w:p>
      <w:pPr>
        <w:spacing w:after="0" w:line="117" w:lineRule="exact"/>
        <w:rPr>
          <w:sz w:val="20"/>
          <w:szCs w:val="20"/>
          <w:color w:val="auto"/>
        </w:rPr>
      </w:pPr>
    </w:p>
    <w:p>
      <w:pPr>
        <w:ind w:left="-8" w:firstLine="464"/>
        <w:spacing w:after="0" w:line="269" w:lineRule="auto"/>
        <w:tabs>
          <w:tab w:leader="none" w:pos="828" w:val="left"/>
        </w:tabs>
        <w:numPr>
          <w:ilvl w:val="1"/>
          <w:numId w:val="107"/>
        </w:numPr>
        <w:rPr>
          <w:rFonts w:ascii="Arial" w:cs="Arial" w:eastAsia="Arial" w:hAnsi="Arial"/>
          <w:sz w:val="17"/>
          <w:szCs w:val="17"/>
          <w:color w:val="auto"/>
        </w:rPr>
      </w:pPr>
      <w:r>
        <w:rPr>
          <w:rFonts w:ascii="Arial" w:cs="Arial" w:eastAsia="Arial" w:hAnsi="Arial"/>
          <w:sz w:val="17"/>
          <w:szCs w:val="17"/>
          <w:i w:val="1"/>
          <w:iCs w:val="1"/>
          <w:color w:val="auto"/>
        </w:rPr>
        <w:t xml:space="preserve">Sale of Placement Securities. </w:t>
      </w:r>
      <w:r>
        <w:rPr>
          <w:rFonts w:ascii="Arial" w:cs="Arial" w:eastAsia="Arial" w:hAnsi="Arial"/>
          <w:sz w:val="17"/>
          <w:szCs w:val="17"/>
          <w:color w:val="auto"/>
        </w:rPr>
        <w:t>On the basis of the representations and warranties herein contained and subject to the terms and conditions herein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upon Citigroup’s acceptance of the terms of a Placement Notice or upon receipt by Citigroup of an Acceptance, as the case may be, and unless the sale of the Placement Securities described therein has been declined, suspended, or otherwise terminated in accordance with the terms of this Agreement, Citigroup, for the period specified in the Placement Notice (as amended by the corresponding Acceptance, if applicable), will use its commercially reasonable efforts consistent with its normal trading and sales practices to sell such Placement Securities up to the amount specified, and otherwise in accordance with the terms of such Placement Notice (as amended by the corresponding Acceptance, if applicable). The Company acknowledges and agrees that (i) there can be no assurance that Citigroup will be successful in selling Placement Securities, (ii) Citigroup will incur no liability or obligation to the Company or any other person or entity if it does not sell Placement Securities for any reason other than a failure by Citigroup to use its commercially reasonable efforts consistent with its normal trading and sales practices to sell such Placement Securities as required under this Section 6 and (iii) Citigroup shall be under no obligation to purchase Securities on a principal basis pursuant to this Agreement, except as otherwise agreed by Citigroup in the Placement Notice (as amended by the corresponding Acceptance, if applicable).</w:t>
      </w:r>
    </w:p>
    <w:p>
      <w:pPr>
        <w:spacing w:after="0" w:line="74" w:lineRule="exact"/>
        <w:rPr>
          <w:rFonts w:ascii="Arial" w:cs="Arial" w:eastAsia="Arial" w:hAnsi="Arial"/>
          <w:sz w:val="17"/>
          <w:szCs w:val="17"/>
          <w:color w:val="auto"/>
        </w:rPr>
      </w:pPr>
    </w:p>
    <w:p>
      <w:pPr>
        <w:ind w:left="-8" w:firstLine="464"/>
        <w:spacing w:after="0" w:line="284" w:lineRule="auto"/>
        <w:tabs>
          <w:tab w:leader="none" w:pos="838" w:val="left"/>
        </w:tabs>
        <w:numPr>
          <w:ilvl w:val="1"/>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Settlement of Placement Securities. </w:t>
      </w:r>
      <w:r>
        <w:rPr>
          <w:rFonts w:ascii="Arial" w:cs="Arial" w:eastAsia="Arial" w:hAnsi="Arial"/>
          <w:sz w:val="16"/>
          <w:szCs w:val="16"/>
          <w:color w:val="auto"/>
        </w:rPr>
        <w:t>Unless otherwise specified in the applicable Placement Notice (as amended by the corresponding Acceptance,</w:t>
      </w:r>
      <w:r>
        <w:rPr>
          <w:rFonts w:ascii="Arial" w:cs="Arial" w:eastAsia="Arial" w:hAnsi="Arial"/>
          <w:sz w:val="16"/>
          <w:szCs w:val="16"/>
          <w:i w:val="1"/>
          <w:iCs w:val="1"/>
          <w:color w:val="auto"/>
        </w:rPr>
        <w:t xml:space="preserve"> </w:t>
      </w:r>
      <w:r>
        <w:rPr>
          <w:rFonts w:ascii="Arial" w:cs="Arial" w:eastAsia="Arial" w:hAnsi="Arial"/>
          <w:sz w:val="16"/>
          <w:szCs w:val="16"/>
          <w:color w:val="auto"/>
        </w:rPr>
        <w:t>if applicable), settlement for sales of Placement Securities will occur on the third (2</w:t>
      </w:r>
      <w:r>
        <w:rPr>
          <w:rFonts w:ascii="Arial" w:cs="Arial" w:eastAsia="Arial" w:hAnsi="Arial"/>
          <w:sz w:val="13"/>
          <w:szCs w:val="13"/>
          <w:color w:val="auto"/>
        </w:rPr>
        <w:t>nd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u w:val="single" w:color="auto"/>
          <w:color w:val="auto"/>
        </w:rPr>
        <w:t>Settlement Date</w:t>
      </w:r>
      <w:r>
        <w:rPr>
          <w:rFonts w:ascii="Arial" w:cs="Arial" w:eastAsia="Arial" w:hAnsi="Arial"/>
          <w:sz w:val="16"/>
          <w:szCs w:val="16"/>
          <w:color w:val="auto"/>
        </w:rPr>
        <w:t>”). The amount of proceeds to be delivered to the Company on a Settlement Date against receipt of the Placement Securities sold (the “</w:t>
      </w:r>
      <w:r>
        <w:rPr>
          <w:rFonts w:ascii="Arial" w:cs="Arial" w:eastAsia="Arial" w:hAnsi="Arial"/>
          <w:sz w:val="16"/>
          <w:szCs w:val="16"/>
          <w:u w:val="single" w:color="auto"/>
          <w:color w:val="auto"/>
        </w:rPr>
        <w:t>Net Proceeds</w:t>
      </w:r>
      <w:r>
        <w:rPr>
          <w:rFonts w:ascii="Arial" w:cs="Arial" w:eastAsia="Arial" w:hAnsi="Arial"/>
          <w:sz w:val="16"/>
          <w:szCs w:val="16"/>
          <w:color w:val="auto"/>
        </w:rPr>
        <w:t>”) will be equal to the aggregate offering price received by Citigroup at which such Placement Securities were sold, after deduction for (i) Citigroup’s commission, discount or other compensation for such sales payable by the Company pursuant to Section 2 hereof, (ii) any other amounts due and payable by the Company to Citigroup hereunder pursuant to Section 8(a) hereof, and</w:t>
      </w:r>
    </w:p>
    <w:p>
      <w:pPr>
        <w:spacing w:after="0" w:line="4" w:lineRule="exact"/>
        <w:rPr>
          <w:rFonts w:ascii="Arial" w:cs="Arial" w:eastAsia="Arial" w:hAnsi="Arial"/>
          <w:sz w:val="16"/>
          <w:szCs w:val="16"/>
          <w:color w:val="auto"/>
        </w:rPr>
      </w:pPr>
    </w:p>
    <w:p>
      <w:pPr>
        <w:ind w:left="312" w:hanging="312"/>
        <w:spacing w:after="0"/>
        <w:tabs>
          <w:tab w:leader="none" w:pos="31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transaction fees imposed by any governmental or self-regulatory organization in respect of such sales.</w:t>
      </w:r>
    </w:p>
    <w:p>
      <w:pPr>
        <w:spacing w:after="0" w:line="102" w:lineRule="exact"/>
        <w:rPr>
          <w:rFonts w:ascii="Arial" w:cs="Arial" w:eastAsia="Arial" w:hAnsi="Arial"/>
          <w:sz w:val="18"/>
          <w:szCs w:val="18"/>
          <w:color w:val="auto"/>
        </w:rPr>
      </w:pPr>
    </w:p>
    <w:p>
      <w:pPr>
        <w:ind w:left="-8" w:right="60" w:firstLine="464"/>
        <w:spacing w:after="0" w:line="273" w:lineRule="auto"/>
        <w:tabs>
          <w:tab w:leader="none" w:pos="828" w:val="left"/>
        </w:tabs>
        <w:numPr>
          <w:ilvl w:val="1"/>
          <w:numId w:val="108"/>
        </w:numPr>
        <w:rPr>
          <w:rFonts w:ascii="Arial" w:cs="Arial" w:eastAsia="Arial" w:hAnsi="Arial"/>
          <w:sz w:val="17"/>
          <w:szCs w:val="17"/>
          <w:color w:val="auto"/>
        </w:rPr>
      </w:pPr>
      <w:r>
        <w:rPr>
          <w:rFonts w:ascii="Arial" w:cs="Arial" w:eastAsia="Arial" w:hAnsi="Arial"/>
          <w:sz w:val="17"/>
          <w:szCs w:val="17"/>
          <w:i w:val="1"/>
          <w:iCs w:val="1"/>
          <w:color w:val="auto"/>
        </w:rPr>
        <w:t>Delivery of Placement Securities</w:t>
      </w:r>
      <w:r>
        <w:rPr>
          <w:rFonts w:ascii="Arial" w:cs="Arial" w:eastAsia="Arial" w:hAnsi="Arial"/>
          <w:sz w:val="17"/>
          <w:szCs w:val="17"/>
          <w:color w:val="auto"/>
        </w:rPr>
        <w:t>. On or before each Settlement Date, the Company will, or will cause its transfer agent to, electronically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the Placement Securities being sold by crediting Citigroup’s or its designee’s account (provided Citigroup shall have given the Company written notice of such designee prior to the Settlement Date) at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 through its Deposit and Withdrawal at Custodian System or by such other means of delivery as may be mutually agreed upon by the parties hereto which in all cases shall be freely tradable, transferable, registered shares in good deliverable form. On each Settlement Date, Citigroup will deliver the related Net Proceeds in same day funds to an account designated by the Company prior to the Settlement Date. The Company agrees that if</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74" w:right="259" w:bottom="1440" w:gutter="0" w:footer="0" w:header="0"/>
        </w:sectPr>
      </w:pPr>
    </w:p>
    <w:bookmarkStart w:id="110" w:name="page111"/>
    <w:bookmarkEnd w:id="110"/>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or its transfer agent (if applicable), defaults in its obligation to deliver Placement Securities on a Settlement Date, the Company agrees that in addition to and in no way limiting the rights and obligations set forth in Section 10(a) and Section 11 hereto, it will (i) hold Citigroup harmless against any loss, liability, claim, damage, or expense whatsoever (including reasonable legal fees and expenses), as incurred, arising out of or in connection with such default by the Company or its transfer agent (if applicable) and (ii) pay to Citigroup any commission, discount, or other compensation to which it would otherwise have been entitled absent such default.</w:t>
      </w:r>
    </w:p>
    <w:p>
      <w:pPr>
        <w:spacing w:after="0" w:line="80" w:lineRule="exact"/>
        <w:rPr>
          <w:sz w:val="20"/>
          <w:szCs w:val="20"/>
          <w:color w:val="auto"/>
        </w:rPr>
      </w:pPr>
    </w:p>
    <w:p>
      <w:pPr>
        <w:jc w:val="both"/>
        <w:ind w:right="140" w:firstLine="464"/>
        <w:spacing w:after="0" w:line="264" w:lineRule="auto"/>
        <w:tabs>
          <w:tab w:leader="none" w:pos="846"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Denominations; Registration. </w:t>
      </w:r>
      <w:r>
        <w:rPr>
          <w:rFonts w:ascii="Arial" w:cs="Arial" w:eastAsia="Arial" w:hAnsi="Arial"/>
          <w:sz w:val="18"/>
          <w:szCs w:val="18"/>
          <w:color w:val="auto"/>
        </w:rPr>
        <w:t>The Securities shall be in such denominations and registered in such names as Citigroup may request in writing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one full business day before the Settlement Date. The Company shall deliver the Securities, if any, through the facilities of DTC unless Citigroup shall otherwise instruct.</w:t>
      </w:r>
    </w:p>
    <w:p>
      <w:pPr>
        <w:spacing w:after="0" w:line="73" w:lineRule="exact"/>
        <w:rPr>
          <w:rFonts w:ascii="Arial" w:cs="Arial" w:eastAsia="Arial" w:hAnsi="Arial"/>
          <w:sz w:val="18"/>
          <w:szCs w:val="18"/>
          <w:color w:val="auto"/>
        </w:rPr>
      </w:pPr>
    </w:p>
    <w:p>
      <w:pPr>
        <w:ind w:right="60" w:firstLine="464"/>
        <w:spacing w:after="0" w:line="271" w:lineRule="auto"/>
        <w:tabs>
          <w:tab w:leader="none" w:pos="836"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Limitations on Offering Size</w:t>
      </w:r>
      <w:r>
        <w:rPr>
          <w:rFonts w:ascii="Arial" w:cs="Arial" w:eastAsia="Arial" w:hAnsi="Arial"/>
          <w:sz w:val="17"/>
          <w:szCs w:val="17"/>
          <w:color w:val="auto"/>
        </w:rPr>
        <w:t>. Under no circumstances shall the Company cause or request the offer or sale of any Securities, if after giving effect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sale of such Securities, the aggregate offering price of the Securities sold pursuant to this Agreement would exceed the lesser of (A) together with all the sales under this Agreement and the Alternative Distribution Agreements, the Maximum Amount and (B) the amount authorized from time to time to be issued and sold under this Agreement by the Company and notified to Citigroup in writing. Under no circumstances shall the Company cause or request the offer or sale of any Securities pursuant to this Agreement at a price lower than the minimum price authorized from time to time by the Company and notified to Citigroup in writing. Further, under no circumstances shall the aggregate offering price of Securities sold pursuant to this Agreement and the Alternative Distribution Agreements, including any separate underwriting or similar agreement covering principal transactions referred to in Section 1 of this Agreement and the Alternative Distribution Agreements, exceed the Maximum Amount.</w:t>
      </w:r>
    </w:p>
    <w:p>
      <w:pPr>
        <w:spacing w:after="0" w:line="70" w:lineRule="exact"/>
        <w:rPr>
          <w:rFonts w:ascii="Arial" w:cs="Arial" w:eastAsia="Arial" w:hAnsi="Arial"/>
          <w:sz w:val="17"/>
          <w:szCs w:val="17"/>
          <w:color w:val="auto"/>
        </w:rPr>
      </w:pPr>
    </w:p>
    <w:p>
      <w:pPr>
        <w:ind w:firstLine="464"/>
        <w:spacing w:after="0" w:line="287" w:lineRule="auto"/>
        <w:tabs>
          <w:tab w:leader="none" w:pos="816"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Agent. </w:t>
      </w:r>
      <w:r>
        <w:rPr>
          <w:rFonts w:ascii="Arial" w:cs="Arial" w:eastAsia="Arial" w:hAnsi="Arial"/>
          <w:sz w:val="16"/>
          <w:szCs w:val="16"/>
          <w:color w:val="auto"/>
        </w:rPr>
        <w:t>The Company agrees that any offer to sell, any solicitation of an offer to buy or any sales of Securities shall only be effected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or through one of Citigroup or the Alternative Agents on any single given day, but in no event more than one, and the Company shall in no event request that Citigroup or the Alternative Agents sell Securities on the same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foregoing limitation shall not apply to (i)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and (b) such limitation shall not apply on any day during which no sales are made pursuant to this Agreement. Notwithstanding the foregoing or anything to the contrary contained herein, the Company shall be permitted, at any time and from time to time, to engage one or more additional agents and/or principals, that, once engaged, may offer to sell, solicit an offer to buy or sell the Securities, and at such time(s) Citigroup (x) shall promptly, upon request by the Company, enter into an amendment to this Agreement, or into a new agreement superseding this Agreement upon terms and conditions substantially similar to those contained herein or such other terms and conditions otherwise agreed to between Citigroup and the Company, providing for such engagement(s) and/or (y) shall agree to cooperate with and do such other things reasonably requested by the Company in order to allow for such engagement(s).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111" w:name="page112"/>
    <w:bookmarkEnd w:id="111"/>
    <w:p>
      <w:pPr>
        <w:ind w:left="-8" w:firstLine="464"/>
        <w:spacing w:after="0" w:line="285" w:lineRule="auto"/>
        <w:tabs>
          <w:tab w:leader="none" w:pos="838" w:val="left"/>
        </w:tabs>
        <w:numPr>
          <w:ilvl w:val="1"/>
          <w:numId w:val="11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Period for Restriction on Offers and Sales. </w:t>
      </w:r>
      <w:r>
        <w:rPr>
          <w:rFonts w:ascii="Arial" w:cs="Arial" w:eastAsia="Arial" w:hAnsi="Arial"/>
          <w:sz w:val="16"/>
          <w:szCs w:val="16"/>
          <w:color w:val="auto"/>
        </w:rPr>
        <w:t>Notwithstanding any other provision of this Agreement, the Company shall not offer, sell or deliver, or</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the offer or sale of, any Securities and, by notice to Citigroup given by telephone (confirmed promptly by facsimile transmission or email), shall cancel any instructions for the offer or sale of any Securities, and Citigroup shall not be obligated to offer or sell any Securities, (i) during any period in which the Company’s insider trading policy, as it exists on the date of this Agreement, would prohibit the purchases or sales of the Company’s Common Shares by its officers or trustees, (ii) during any other period in which the Company is, or could be deemed to be, in possession of material non-public information or</w:t>
      </w:r>
    </w:p>
    <w:p>
      <w:pPr>
        <w:spacing w:after="0" w:line="2" w:lineRule="exact"/>
        <w:rPr>
          <w:rFonts w:ascii="Arial" w:cs="Arial" w:eastAsia="Arial" w:hAnsi="Arial"/>
          <w:sz w:val="16"/>
          <w:szCs w:val="16"/>
          <w:color w:val="auto"/>
        </w:rPr>
      </w:pPr>
    </w:p>
    <w:p>
      <w:pPr>
        <w:ind w:left="-8" w:right="60" w:firstLine="8"/>
        <w:spacing w:after="0" w:line="253" w:lineRule="auto"/>
        <w:tabs>
          <w:tab w:leader="none" w:pos="30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except as provided in Section 6(h) below, at any time from and including the date (each, an “</w:t>
      </w:r>
      <w:r>
        <w:rPr>
          <w:rFonts w:ascii="Arial" w:cs="Arial" w:eastAsia="Arial" w:hAnsi="Arial"/>
          <w:sz w:val="18"/>
          <w:szCs w:val="18"/>
          <w:u w:val="single" w:color="auto"/>
          <w:color w:val="auto"/>
        </w:rPr>
        <w:t>Announcement Date</w:t>
      </w:r>
      <w:r>
        <w:rPr>
          <w:rFonts w:ascii="Arial" w:cs="Arial" w:eastAsia="Arial" w:hAnsi="Arial"/>
          <w:sz w:val="18"/>
          <w:szCs w:val="18"/>
          <w:color w:val="auto"/>
        </w:rPr>
        <w:t>”) on which the Company shall issue a press release containing, or shall otherwise publicly announce, its earnings, revenues or other results of operations (each, an “</w:t>
      </w:r>
      <w:r>
        <w:rPr>
          <w:rFonts w:ascii="Arial" w:cs="Arial" w:eastAsia="Arial" w:hAnsi="Arial"/>
          <w:sz w:val="18"/>
          <w:szCs w:val="18"/>
          <w:u w:val="single" w:color="auto"/>
          <w:color w:val="auto"/>
        </w:rPr>
        <w:t>Earnings Announcement</w:t>
      </w:r>
      <w:r>
        <w:rPr>
          <w:rFonts w:ascii="Arial" w:cs="Arial" w:eastAsia="Arial" w:hAnsi="Arial"/>
          <w:sz w:val="18"/>
          <w:szCs w:val="18"/>
          <w:color w:val="auto"/>
        </w:rPr>
        <w:t>”) through and including the time that is 24 hours after the time that the Company files (a “</w:t>
      </w:r>
      <w:r>
        <w:rPr>
          <w:rFonts w:ascii="Arial" w:cs="Arial" w:eastAsia="Arial" w:hAnsi="Arial"/>
          <w:sz w:val="18"/>
          <w:szCs w:val="18"/>
          <w:u w:val="single" w:color="auto"/>
          <w:color w:val="auto"/>
        </w:rPr>
        <w:t>Filing Time</w:t>
      </w:r>
      <w:r>
        <w:rPr>
          <w:rFonts w:ascii="Arial" w:cs="Arial" w:eastAsia="Arial" w:hAnsi="Arial"/>
          <w:sz w:val="18"/>
          <w:szCs w:val="18"/>
          <w:color w:val="auto"/>
        </w:rPr>
        <w:t>”) a Quarterly Report on Form 10-Q or an Annual Report on Form 10-K that includes consolidated financial statements as of and for the same period or periods, as the case may be, covered by such Earnings Announcement.</w:t>
      </w:r>
    </w:p>
    <w:p>
      <w:pPr>
        <w:spacing w:after="0" w:line="83" w:lineRule="exact"/>
        <w:rPr>
          <w:rFonts w:ascii="Arial" w:cs="Arial" w:eastAsia="Arial" w:hAnsi="Arial"/>
          <w:sz w:val="18"/>
          <w:szCs w:val="18"/>
          <w:color w:val="auto"/>
        </w:rPr>
      </w:pPr>
    </w:p>
    <w:p>
      <w:pPr>
        <w:ind w:left="-8" w:right="40" w:firstLine="464"/>
        <w:spacing w:after="0" w:line="286" w:lineRule="auto"/>
        <w:tabs>
          <w:tab w:leader="none" w:pos="838" w:val="left"/>
        </w:tabs>
        <w:numPr>
          <w:ilvl w:val="1"/>
          <w:numId w:val="111"/>
        </w:numPr>
        <w:rPr>
          <w:rFonts w:ascii="Arial" w:cs="Arial" w:eastAsia="Arial" w:hAnsi="Arial"/>
          <w:sz w:val="16"/>
          <w:szCs w:val="16"/>
          <w:color w:val="auto"/>
        </w:rPr>
      </w:pPr>
      <w:r>
        <w:rPr>
          <w:rFonts w:ascii="Arial" w:cs="Arial" w:eastAsia="Arial" w:hAnsi="Arial"/>
          <w:sz w:val="16"/>
          <w:szCs w:val="16"/>
          <w:i w:val="1"/>
          <w:iCs w:val="1"/>
          <w:color w:val="auto"/>
        </w:rPr>
        <w:t xml:space="preserve">Removal of Restriction on Offers and Sales. </w:t>
      </w:r>
      <w:r>
        <w:rPr>
          <w:rFonts w:ascii="Arial" w:cs="Arial" w:eastAsia="Arial" w:hAnsi="Arial"/>
          <w:sz w:val="16"/>
          <w:szCs w:val="16"/>
          <w:color w:val="auto"/>
        </w:rPr>
        <w:t>If the Company wishes to offer, sell or deliver Securities at any time during the period from and</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 Announcement Date through and including the time that is 24 hours after the corresponding Filing Time, the Company shall (i) prepare and deliver to Citigroup (with a copy to its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Arial" w:cs="Arial" w:eastAsia="Arial" w:hAnsi="Arial"/>
          <w:sz w:val="16"/>
          <w:szCs w:val="16"/>
          <w:u w:val="single" w:color="auto"/>
          <w:color w:val="auto"/>
        </w:rPr>
        <w:t>Earnings 8-K</w:t>
      </w:r>
      <w:r>
        <w:rPr>
          <w:rFonts w:ascii="Arial" w:cs="Arial" w:eastAsia="Arial" w:hAnsi="Arial"/>
          <w:sz w:val="16"/>
          <w:szCs w:val="16"/>
          <w:color w:val="auto"/>
        </w:rPr>
        <w:t>”), in form and substance reasonably satisfactory to Citigroup, and obtain the consent of Citigroup to the filing thereof (such consent not to be unreasonably withheld), (ii) provide Citigroup with the officer’s certificate, opinions/letters of counsel and accountants’ letter called for by Sections 7(o), (p) and (q) hereof; respectively, (iii) afford Citigroup the opportunity to conduct a due diligence review in accordance with Section 7(m) hereof and (iv) file such Earnings 8-K with the Commission, then the provisions of clause (iii) of Section 6(g)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6(h)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Sections 7(o), (p) and (q) hereof and (B) this Section 6(h) shall in no way affect or limit the operation of the provisions of clauses (i) and (ii) of Section 6(g), which shall have independent application.</w:t>
      </w:r>
    </w:p>
    <w:p>
      <w:pPr>
        <w:spacing w:after="0" w:line="1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74" w:right="259" w:bottom="1440" w:gutter="0" w:footer="0" w:header="0"/>
        </w:sectPr>
      </w:pPr>
    </w:p>
    <w:bookmarkStart w:id="112" w:name="page113"/>
    <w:bookmarkEnd w:id="112"/>
    <w:p>
      <w:pPr>
        <w:ind w:left="460"/>
        <w:spacing w:after="0"/>
        <w:tabs>
          <w:tab w:leader="none" w:pos="1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covenants with Citigroup as follows:</w:t>
      </w:r>
    </w:p>
    <w:p>
      <w:pPr>
        <w:spacing w:after="0" w:line="117" w:lineRule="exact"/>
        <w:rPr>
          <w:sz w:val="20"/>
          <w:szCs w:val="20"/>
          <w:color w:val="auto"/>
        </w:rPr>
      </w:pPr>
    </w:p>
    <w:p>
      <w:pPr>
        <w:ind w:firstLine="464"/>
        <w:spacing w:after="0" w:line="267" w:lineRule="auto"/>
        <w:tabs>
          <w:tab w:leader="none" w:pos="836"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Registration Statement Amendments</w:t>
      </w:r>
      <w:r>
        <w:rPr>
          <w:rFonts w:ascii="Arial" w:cs="Arial" w:eastAsia="Arial" w:hAnsi="Arial"/>
          <w:sz w:val="17"/>
          <w:szCs w:val="17"/>
          <w:color w:val="auto"/>
        </w:rPr>
        <w:t>. After the date of this Agreement and during any period in which a Prospectus relating to any Placement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is required to be delivered by Citigroup under the Securities Act (including in circumstances where such requirement may be satisfied pursuant to Rule 172 under the Securities Act), (i) the Company will notify Citigroup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Citigroup’s request, any amendments or supplements to the Registration Statement or Prospectus that, in Citigroup’s reasonable opinion, may be necessary or advisable in connection with the distribution of the Placement Securities by Citigroup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Citigroup to make such request shall not relieve the Company of any obligation or liability hereunder, or affect Citigroup’s right to rely on the representations and warranties made by the Company in this Agreement); (iii) the Company will not file any amendment or supplement to the Registration Statement or Prospectus, other than documents incorporated by reference, relating to the Placement Securities or a security convertible into the Placement Securities unless a copy thereof has been submitted to Citigroup within a reasonable period of time before the filing and Citigroup has not reasonably objected thereto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Citigroup to make such objection shall not relieve the Company of any obligation or liability hereunder, or affect Citigroup’s right to rely on the representations and warranties made by the Company in this Agreement) and the Company will furnish to Citigroup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83" w:lineRule="exact"/>
        <w:rPr>
          <w:rFonts w:ascii="Arial" w:cs="Arial" w:eastAsia="Arial" w:hAnsi="Arial"/>
          <w:sz w:val="17"/>
          <w:szCs w:val="17"/>
          <w:color w:val="auto"/>
        </w:rPr>
      </w:pPr>
    </w:p>
    <w:p>
      <w:pPr>
        <w:ind w:right="20" w:firstLine="464"/>
        <w:spacing w:after="0" w:line="270" w:lineRule="auto"/>
        <w:tabs>
          <w:tab w:leader="none" w:pos="846"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Notice of Commission Stop Orders</w:t>
      </w:r>
      <w:r>
        <w:rPr>
          <w:rFonts w:ascii="Arial" w:cs="Arial" w:eastAsia="Arial" w:hAnsi="Arial"/>
          <w:sz w:val="17"/>
          <w:szCs w:val="17"/>
          <w:color w:val="auto"/>
        </w:rPr>
        <w:t>. The Company will advise Citigroup, promptly after it receives notice or obtains knowledge thereof,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Placement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73" w:lineRule="exact"/>
        <w:rPr>
          <w:rFonts w:ascii="Arial" w:cs="Arial" w:eastAsia="Arial" w:hAnsi="Arial"/>
          <w:sz w:val="17"/>
          <w:szCs w:val="17"/>
          <w:color w:val="auto"/>
        </w:rPr>
      </w:pPr>
    </w:p>
    <w:p>
      <w:pPr>
        <w:ind w:firstLine="464"/>
        <w:spacing w:after="0" w:line="277" w:lineRule="auto"/>
        <w:tabs>
          <w:tab w:leader="none" w:pos="836"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Delivery of Registration Statement and Prospectus. </w:t>
      </w:r>
      <w:r>
        <w:rPr>
          <w:rFonts w:ascii="Arial" w:cs="Arial" w:eastAsia="Arial" w:hAnsi="Arial"/>
          <w:sz w:val="18"/>
          <w:szCs w:val="18"/>
          <w:color w:val="auto"/>
        </w:rPr>
        <w:t>The Company will furnish to Citigroup and its counsel (at the expense of the Company) copies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Registration Statement,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13" w:name="page114"/>
    <w:bookmarkEnd w:id="113"/>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Prospectus (including all documents incorporated by reference therein) and all amendments and supplements to the Registration Statement or Prospectus, and any Issuer Free Writing Prospectuses, that are filed with the Commission during any period in which a Prospectus relating to the Placement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Citigroup may from time to time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not be required to furnish to Citigroup any document that is available via EDGAR. The copies of the Registration Statement and the Prospectus and any supplements or amendments thereto furnished to Citigroup will be identical to the electronically transmitted copies thereof filed with the Commission pursuant to EDGAR, except to the extent permitted by Regulation S-T.</w:t>
      </w:r>
    </w:p>
    <w:p>
      <w:pPr>
        <w:spacing w:after="0" w:line="59" w:lineRule="exact"/>
        <w:rPr>
          <w:sz w:val="20"/>
          <w:szCs w:val="20"/>
          <w:color w:val="auto"/>
        </w:rPr>
      </w:pPr>
    </w:p>
    <w:p>
      <w:pPr>
        <w:ind w:firstLine="464"/>
        <w:spacing w:after="0" w:line="267" w:lineRule="auto"/>
        <w:tabs>
          <w:tab w:leader="none" w:pos="846"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 xml:space="preserve">Continued Compliance with Securities Laws. </w:t>
      </w:r>
      <w:r>
        <w:rPr>
          <w:rFonts w:ascii="Arial" w:cs="Arial" w:eastAsia="Arial" w:hAnsi="Arial"/>
          <w:sz w:val="17"/>
          <w:szCs w:val="17"/>
          <w:color w:val="auto"/>
        </w:rPr>
        <w:t>If at any time when a Prospectus is required by the Securities Act or the Exchange Act to be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in connection with a pending sale of the Placement Securities (including, without limitation, pursuant to Rule 172), any event shall occur or condition shall exist as a result of which it is necessary, in the opinion of counsel for Citigroup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Securities Act, the Company will promptly notify Citigroup to suspend the offering of Placement Securities during such period and the Company will promptly prepare and file with the Commission such amendment, supplement or new registration statement as may be necessary to correct such statement or omission or to comply with such requirements, the Company will use its reasonable best efforts to have such amendment or new registration statement declared effective as soon as practicable (if it is not an automatic shelf registration statement with respect to the Securities) and the Company will furnish to Citigroup such number of copies of such amendment, supplement or new registration statement as Citigroup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Citigroup to suspend the offering of Placement Securities during such period and the Company will, subject to Section 7(a) hereof, promptly amend or supplement, at its own expense, such Issuer Free Writing Prospectus to eliminate or correct such conflict, untrue statement or omission.</w:t>
      </w:r>
    </w:p>
    <w:p>
      <w:pPr>
        <w:spacing w:after="0" w:line="83" w:lineRule="exact"/>
        <w:rPr>
          <w:rFonts w:ascii="Arial" w:cs="Arial" w:eastAsia="Arial" w:hAnsi="Arial"/>
          <w:sz w:val="17"/>
          <w:szCs w:val="17"/>
          <w:color w:val="auto"/>
        </w:rPr>
      </w:pPr>
    </w:p>
    <w:p>
      <w:pPr>
        <w:ind w:right="340" w:firstLine="464"/>
        <w:spacing w:after="0" w:line="264" w:lineRule="auto"/>
        <w:tabs>
          <w:tab w:leader="none" w:pos="836"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Blue Sky and Other Qualifications. </w:t>
      </w:r>
      <w:r>
        <w:rPr>
          <w:rFonts w:ascii="Arial" w:cs="Arial" w:eastAsia="Arial" w:hAnsi="Arial"/>
          <w:sz w:val="18"/>
          <w:szCs w:val="18"/>
          <w:color w:val="auto"/>
        </w:rPr>
        <w:t>The Company will use its commercially reasonable efforts, in cooperation with Citigroup, to qualify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Placement Securities for offering and sale, or to obtain an exemption for the Securities to be offered and sold, under the applicable securities laws of such states and other jurisdictions (domestic or foreign) as Citigroup may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14" w:name="page115"/>
    <w:bookmarkEnd w:id="11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designate and to maintain such qualifications and exemptions in effect for so long as required for the distribution of the Securities (but in no event for less than one year from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Securities have been so qualified or exempted, the Company will file such statements and reports as may be required by the laws of such jurisdiction to continue such qualification or exemption, as the case may be, in effect for so long as required for the distribution of the Placement Securities (but in no event for less than one year from the date of this Agreement).</w:t>
      </w:r>
    </w:p>
    <w:p>
      <w:pPr>
        <w:spacing w:after="0" w:line="81" w:lineRule="exact"/>
        <w:rPr>
          <w:sz w:val="20"/>
          <w:szCs w:val="20"/>
          <w:color w:val="auto"/>
        </w:rPr>
      </w:pPr>
    </w:p>
    <w:p>
      <w:pPr>
        <w:ind w:right="120" w:firstLine="464"/>
        <w:spacing w:after="0" w:line="264" w:lineRule="auto"/>
        <w:tabs>
          <w:tab w:leader="none" w:pos="816"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Rule 158. </w:t>
      </w:r>
      <w:r>
        <w:rPr>
          <w:rFonts w:ascii="Arial" w:cs="Arial" w:eastAsia="Arial" w:hAnsi="Arial"/>
          <w:sz w:val="18"/>
          <w:szCs w:val="18"/>
          <w:color w:val="auto"/>
        </w:rPr>
        <w:t>The Company will timely file such reports pursuant to the Exchange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Citigroup the benefits contemplated by, the last paragraph of Section 11(a) of the Securities Act.</w:t>
      </w:r>
    </w:p>
    <w:p>
      <w:pPr>
        <w:spacing w:after="0" w:line="73" w:lineRule="exact"/>
        <w:rPr>
          <w:rFonts w:ascii="Arial" w:cs="Arial" w:eastAsia="Arial" w:hAnsi="Arial"/>
          <w:sz w:val="18"/>
          <w:szCs w:val="18"/>
          <w:color w:val="auto"/>
        </w:rPr>
      </w:pPr>
    </w:p>
    <w:p>
      <w:pPr>
        <w:ind w:right="120" w:firstLine="464"/>
        <w:spacing w:after="0" w:line="277" w:lineRule="auto"/>
        <w:tabs>
          <w:tab w:leader="none" w:pos="846"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caption “Use of Proceeds.”</w:t>
      </w:r>
    </w:p>
    <w:p>
      <w:pPr>
        <w:spacing w:after="0" w:line="62" w:lineRule="exact"/>
        <w:rPr>
          <w:rFonts w:ascii="Arial" w:cs="Arial" w:eastAsia="Arial" w:hAnsi="Arial"/>
          <w:sz w:val="18"/>
          <w:szCs w:val="18"/>
          <w:color w:val="auto"/>
        </w:rPr>
      </w:pPr>
    </w:p>
    <w:p>
      <w:pPr>
        <w:ind w:right="280" w:firstLine="464"/>
        <w:spacing w:after="0" w:line="312" w:lineRule="auto"/>
        <w:tabs>
          <w:tab w:leader="none" w:pos="846"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During any period in which the Prospectus relating to the Placement Securities is required to be delivered by Citigroup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with respect to a pending sale of the Placement Securities (including in circumstances where such requirement may be satisfied pursuant to Rule 172 under the Securities Act), the Company will use its commercially reasonable efforts to cause the Placement Securities to be listed on the NYSE.</w:t>
      </w:r>
    </w:p>
    <w:p>
      <w:pPr>
        <w:spacing w:after="0" w:line="38" w:lineRule="exact"/>
        <w:rPr>
          <w:rFonts w:ascii="Arial" w:cs="Arial" w:eastAsia="Arial" w:hAnsi="Arial"/>
          <w:sz w:val="16"/>
          <w:szCs w:val="16"/>
          <w:color w:val="auto"/>
        </w:rPr>
      </w:pPr>
    </w:p>
    <w:p>
      <w:pPr>
        <w:ind w:right="60" w:firstLine="464"/>
        <w:spacing w:after="0" w:line="277" w:lineRule="auto"/>
        <w:tabs>
          <w:tab w:leader="none" w:pos="806"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Filings with the NYSE</w:t>
      </w:r>
      <w:r>
        <w:rPr>
          <w:rFonts w:ascii="Arial" w:cs="Arial" w:eastAsia="Arial" w:hAnsi="Arial"/>
          <w:sz w:val="18"/>
          <w:szCs w:val="18"/>
          <w:color w:val="auto"/>
        </w:rPr>
        <w:t>. The Company will timely file with the NYSE all material documents and notices required by the NYSE of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or will issue securities that are traded on the NYSE.</w:t>
      </w:r>
    </w:p>
    <w:p>
      <w:pPr>
        <w:spacing w:after="0" w:line="62" w:lineRule="exact"/>
        <w:rPr>
          <w:rFonts w:ascii="Arial" w:cs="Arial" w:eastAsia="Arial" w:hAnsi="Arial"/>
          <w:sz w:val="18"/>
          <w:szCs w:val="18"/>
          <w:color w:val="auto"/>
        </w:rPr>
      </w:pPr>
    </w:p>
    <w:p>
      <w:pPr>
        <w:ind w:right="220" w:firstLine="464"/>
        <w:spacing w:after="0" w:line="286" w:lineRule="auto"/>
        <w:tabs>
          <w:tab w:leader="none" w:pos="806"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 xml:space="preserve">Reporting Requirements. </w:t>
      </w:r>
      <w:r>
        <w:rPr>
          <w:rFonts w:ascii="Arial" w:cs="Arial" w:eastAsia="Arial" w:hAnsi="Arial"/>
          <w:sz w:val="17"/>
          <w:szCs w:val="17"/>
          <w:color w:val="auto"/>
        </w:rPr>
        <w:t>The Company, during any period when the Prospectus is required to be delivered under the Securities Act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57" w:lineRule="exact"/>
        <w:rPr>
          <w:rFonts w:ascii="Arial" w:cs="Arial" w:eastAsia="Arial" w:hAnsi="Arial"/>
          <w:sz w:val="17"/>
          <w:szCs w:val="17"/>
          <w:color w:val="auto"/>
        </w:rPr>
      </w:pPr>
    </w:p>
    <w:p>
      <w:pPr>
        <w:ind w:right="80" w:firstLine="464"/>
        <w:spacing w:after="0" w:line="255" w:lineRule="auto"/>
        <w:tabs>
          <w:tab w:leader="none" w:pos="846"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Notice of Other Sales</w:t>
      </w:r>
      <w:r>
        <w:rPr>
          <w:rFonts w:ascii="Arial" w:cs="Arial" w:eastAsia="Arial" w:hAnsi="Arial"/>
          <w:sz w:val="18"/>
          <w:szCs w:val="18"/>
          <w:color w:val="auto"/>
        </w:rPr>
        <w:t>. During the pendency of any Placement Notice (as amended by the corresponding Acceptance, if applicable) given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hereunder, the Company shall provide Citigroup notice as promptly as reasonably possible before it offers to sell, contracts to sell, sells, grants any option to sell or otherwise disposes of any Common Shares (other than Placement Securities offered pursuant to the provisions of this Agreement or the Alternative Distribution Agreements) or securities convertible into or exchangeable for Common Shares, warrants or any rights to purchase or acquire Common Shares;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notice shall not be required in connection with (i) the issuance, grant or sale of Common Shares, options to purchase Common Shares or Common Shares issuable upon the exercise of options or other</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4" w:right="299" w:bottom="1440" w:gutter="0" w:footer="0" w:header="0"/>
        </w:sectPr>
      </w:pPr>
    </w:p>
    <w:bookmarkStart w:id="115" w:name="page116"/>
    <w:bookmarkEnd w:id="11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or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(v) a non-material acquisition, merger or purchase of assets or (vi) the issuance or sale pursuant to the exercise of contractual rights described in the Prospectus by the current holders of partnership or other interests in certain “DownREIT” and other subsidiaries which may result in the issuance of Common Shares of the Company.</w:t>
      </w:r>
    </w:p>
    <w:p>
      <w:pPr>
        <w:spacing w:after="0" w:line="74" w:lineRule="exact"/>
        <w:rPr>
          <w:sz w:val="20"/>
          <w:szCs w:val="20"/>
          <w:color w:val="auto"/>
        </w:rPr>
      </w:pPr>
    </w:p>
    <w:p>
      <w:pPr>
        <w:ind w:right="200" w:firstLine="464"/>
        <w:spacing w:after="0" w:line="264" w:lineRule="auto"/>
        <w:tabs>
          <w:tab w:leader="none" w:pos="806"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Change of Circumstances</w:t>
      </w:r>
      <w:r>
        <w:rPr>
          <w:rFonts w:ascii="Arial" w:cs="Arial" w:eastAsia="Arial" w:hAnsi="Arial"/>
          <w:sz w:val="18"/>
          <w:szCs w:val="18"/>
          <w:color w:val="auto"/>
        </w:rPr>
        <w:t>. The Company will, prior to tendering a Placement Notice or selling Placement Securities, advise Citigroup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after it shall have received notice or obtained knowledge thereof, of any information or fact that would alter or affect in any material respect any opinion, certificate, letter or other document provided to Citigroup pursuant to this Agreement.</w:t>
      </w:r>
    </w:p>
    <w:p>
      <w:pPr>
        <w:spacing w:after="0" w:line="73" w:lineRule="exact"/>
        <w:rPr>
          <w:rFonts w:ascii="Arial" w:cs="Arial" w:eastAsia="Arial" w:hAnsi="Arial"/>
          <w:sz w:val="18"/>
          <w:szCs w:val="18"/>
          <w:color w:val="auto"/>
        </w:rPr>
      </w:pPr>
    </w:p>
    <w:p>
      <w:pPr>
        <w:jc w:val="both"/>
        <w:ind w:right="400" w:firstLine="464"/>
        <w:spacing w:after="0" w:line="286" w:lineRule="auto"/>
        <w:tabs>
          <w:tab w:leader="none" w:pos="896"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Due Diligence Cooperation</w:t>
      </w:r>
      <w:r>
        <w:rPr>
          <w:rFonts w:ascii="Arial" w:cs="Arial" w:eastAsia="Arial" w:hAnsi="Arial"/>
          <w:sz w:val="17"/>
          <w:szCs w:val="17"/>
          <w:color w:val="auto"/>
        </w:rPr>
        <w:t>. The Company will cooperate with any reasonable due diligence review conducted by Citigroup or its agents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transactions contemplated hereby, including, without limitation, providing information and making available documents and senior officers, during regular business hours and at the Company’s principal offices, as Citigroup may reasonably request.</w:t>
      </w:r>
    </w:p>
    <w:p>
      <w:pPr>
        <w:spacing w:after="0" w:line="57" w:lineRule="exact"/>
        <w:rPr>
          <w:rFonts w:ascii="Arial" w:cs="Arial" w:eastAsia="Arial" w:hAnsi="Arial"/>
          <w:sz w:val="17"/>
          <w:szCs w:val="17"/>
          <w:color w:val="auto"/>
        </w:rPr>
      </w:pPr>
    </w:p>
    <w:p>
      <w:pPr>
        <w:ind w:right="420" w:firstLine="464"/>
        <w:spacing w:after="0" w:line="286" w:lineRule="auto"/>
        <w:tabs>
          <w:tab w:leader="none" w:pos="846"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Disclosure of Sales. </w:t>
      </w:r>
      <w:r>
        <w:rPr>
          <w:rFonts w:ascii="Arial" w:cs="Arial" w:eastAsia="Arial" w:hAnsi="Arial"/>
          <w:sz w:val="17"/>
          <w:szCs w:val="17"/>
          <w:color w:val="auto"/>
        </w:rPr>
        <w:t>The Company will disclose in its quarterly reports on Form 10-Q, in its annual report on Form 10-K and/or in a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on Form 8-K, the number of Placement Securities sold through Citigroup and the Alternative Agents, the Net Proceeds to the Company and the compensation payable by the Company to Citigroup and the Alternative Agents with respect to such Placement Securities.</w:t>
      </w:r>
    </w:p>
    <w:p>
      <w:pPr>
        <w:spacing w:after="0" w:line="57" w:lineRule="exact"/>
        <w:rPr>
          <w:rFonts w:ascii="Arial" w:cs="Arial" w:eastAsia="Arial" w:hAnsi="Arial"/>
          <w:sz w:val="17"/>
          <w:szCs w:val="17"/>
          <w:color w:val="auto"/>
        </w:rPr>
      </w:pPr>
    </w:p>
    <w:p>
      <w:pPr>
        <w:ind w:right="360" w:firstLine="464"/>
        <w:spacing w:after="0" w:line="277" w:lineRule="auto"/>
        <w:tabs>
          <w:tab w:leader="none" w:pos="846"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Representation Dates; Certificates</w:t>
      </w:r>
      <w:r>
        <w:rPr>
          <w:rFonts w:ascii="Arial" w:cs="Arial" w:eastAsia="Arial" w:hAnsi="Arial"/>
          <w:sz w:val="18"/>
          <w:szCs w:val="18"/>
          <w:color w:val="auto"/>
        </w:rPr>
        <w:t>. On or prior to the date that the first Securities are sold pursuant to the terms of this Agreement, each time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delivered to Citigroup, as principal on a Settlement Date and:</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each time the Company:</w:t>
      </w:r>
    </w:p>
    <w:p>
      <w:pPr>
        <w:spacing w:after="0" w:line="130" w:lineRule="exact"/>
        <w:rPr>
          <w:rFonts w:ascii="Arial" w:cs="Arial" w:eastAsia="Arial" w:hAnsi="Arial"/>
          <w:sz w:val="18"/>
          <w:szCs w:val="18"/>
          <w:color w:val="auto"/>
        </w:rPr>
      </w:pPr>
    </w:p>
    <w:p>
      <w:pPr>
        <w:ind w:left="1920" w:right="280" w:hanging="440"/>
        <w:spacing w:after="0" w:line="312" w:lineRule="auto"/>
        <w:tabs>
          <w:tab w:leader="none" w:pos="1920" w:val="left"/>
        </w:tabs>
        <w:numPr>
          <w:ilvl w:val="2"/>
          <w:numId w:val="115"/>
        </w:numPr>
        <w:rPr>
          <w:rFonts w:ascii="Arial" w:cs="Arial" w:eastAsia="Arial" w:hAnsi="Arial"/>
          <w:sz w:val="16"/>
          <w:szCs w:val="16"/>
          <w:color w:val="auto"/>
        </w:rPr>
      </w:pPr>
      <w:r>
        <w:rPr>
          <w:rFonts w:ascii="Arial" w:cs="Arial" w:eastAsia="Arial" w:hAnsi="Arial"/>
          <w:sz w:val="16"/>
          <w:szCs w:val="16"/>
          <w:color w:val="auto"/>
        </w:rPr>
        <w:t>files the Prospectus relating to the Placement Securities or amends or supplements the Registration Statement or the Prospectus relating to the Placement Securities by means of a post-effective amendment, sticker, or supplement but not by means of incorporation of documents by reference into the Registration Statement or the Prospectus relating to the Placement Securities;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116" w:name="page117"/>
    <w:bookmarkEnd w:id="116"/>
    <w:p>
      <w:pPr>
        <w:ind w:left="1912" w:hanging="440"/>
        <w:spacing w:after="0"/>
        <w:tabs>
          <w:tab w:leader="none" w:pos="1912" w:val="left"/>
        </w:tabs>
        <w:numPr>
          <w:ilvl w:val="1"/>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files an Annual Report on Form 10-K under the Exchange Act;</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files a Quarterly Report on Form 10-Q under the Exchange Act; or</w:t>
      </w:r>
    </w:p>
    <w:p>
      <w:pPr>
        <w:spacing w:after="0" w:line="130" w:lineRule="exact"/>
        <w:rPr>
          <w:rFonts w:ascii="Arial" w:cs="Arial" w:eastAsia="Arial" w:hAnsi="Arial"/>
          <w:sz w:val="18"/>
          <w:szCs w:val="18"/>
          <w:color w:val="auto"/>
        </w:rPr>
      </w:pPr>
    </w:p>
    <w:p>
      <w:pPr>
        <w:ind w:left="1912" w:right="580" w:hanging="440"/>
        <w:spacing w:after="0" w:line="277" w:lineRule="auto"/>
        <w:tabs>
          <w:tab w:leader="none" w:pos="191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62" w:lineRule="exact"/>
        <w:rPr>
          <w:rFonts w:ascii="Arial" w:cs="Arial" w:eastAsia="Arial" w:hAnsi="Arial"/>
          <w:sz w:val="18"/>
          <w:szCs w:val="18"/>
          <w:color w:val="auto"/>
        </w:rPr>
      </w:pPr>
    </w:p>
    <w:p>
      <w:pPr>
        <w:ind w:left="452" w:right="140" w:firstLine="443"/>
        <w:spacing w:after="0" w:line="277" w:lineRule="auto"/>
        <w:tabs>
          <w:tab w:leader="none" w:pos="12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at any other time reasonably requested by Citigroup (each such date of filing of one or more of the documents referred to in clauses (1)(i) through (iv) and any time of request pursuant to this Section 7(o)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6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 xml:space="preserve">the Company shall furnish Citigroup with a certificate,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as promptly as possible and in no event later than three</w:t>
      </w:r>
    </w:p>
    <w:p>
      <w:pPr>
        <w:spacing w:after="0" w:line="46" w:lineRule="exact"/>
        <w:rPr>
          <w:sz w:val="20"/>
          <w:szCs w:val="20"/>
          <w:color w:val="auto"/>
        </w:rPr>
      </w:pPr>
    </w:p>
    <w:p>
      <w:pPr>
        <w:ind w:left="-8" w:right="40" w:firstLine="8"/>
        <w:spacing w:after="0" w:line="268" w:lineRule="auto"/>
        <w:tabs>
          <w:tab w:leader="none" w:pos="24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Trading Days of any Representation Date. The requirement to provide a certificate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waiver shall not apply for any Representation Date on which the Company files its annual report on Form 10-K. Notwithstanding the foregoing, if the Company subsequently decides to sell Placement Securities following a Representation Date when the Company relied on such waiver and did not provide Citigroup with a certificate under this Section 7(o), then before the Company delivers the Placement Notice or Citigroup sells any Placement Securities, the Company shall provide Citigroup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dated the date of the Placement Notice.</w:t>
      </w:r>
    </w:p>
    <w:p>
      <w:pPr>
        <w:spacing w:after="0" w:line="76" w:lineRule="exact"/>
        <w:rPr>
          <w:rFonts w:ascii="Arial" w:cs="Arial" w:eastAsia="Arial" w:hAnsi="Arial"/>
          <w:sz w:val="17"/>
          <w:szCs w:val="17"/>
          <w:color w:val="auto"/>
        </w:rPr>
      </w:pPr>
    </w:p>
    <w:p>
      <w:pPr>
        <w:ind w:left="-8" w:firstLine="464"/>
        <w:spacing w:after="0" w:line="269" w:lineRule="auto"/>
        <w:tabs>
          <w:tab w:leader="none" w:pos="838" w:val="left"/>
        </w:tabs>
        <w:numPr>
          <w:ilvl w:val="1"/>
          <w:numId w:val="118"/>
        </w:numPr>
        <w:rPr>
          <w:rFonts w:ascii="Arial" w:cs="Arial" w:eastAsia="Arial" w:hAnsi="Arial"/>
          <w:sz w:val="17"/>
          <w:szCs w:val="17"/>
          <w:color w:val="auto"/>
        </w:rPr>
      </w:pPr>
      <w:r>
        <w:rPr>
          <w:rFonts w:ascii="Arial" w:cs="Arial" w:eastAsia="Arial" w:hAnsi="Arial"/>
          <w:sz w:val="17"/>
          <w:szCs w:val="17"/>
          <w:i w:val="1"/>
          <w:iCs w:val="1"/>
          <w:color w:val="auto"/>
        </w:rPr>
        <w:t>Legal Opinions</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Citigroup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to be furnished to Citigroup written opinions of Pillsbury Winthrop Shaw Pittman LLP (“</w:t>
      </w:r>
      <w:r>
        <w:rPr>
          <w:rFonts w:ascii="Arial" w:cs="Arial" w:eastAsia="Arial" w:hAnsi="Arial"/>
          <w:sz w:val="17"/>
          <w:szCs w:val="17"/>
          <w:u w:val="single" w:color="auto"/>
          <w:color w:val="auto"/>
        </w:rPr>
        <w:t>Company Counsel</w:t>
      </w:r>
      <w:r>
        <w:rPr>
          <w:rFonts w:ascii="Arial" w:cs="Arial" w:eastAsia="Arial" w:hAnsi="Arial"/>
          <w:sz w:val="17"/>
          <w:szCs w:val="17"/>
          <w:color w:val="auto"/>
        </w:rPr>
        <w:t xml:space="preserve">”), or other counsel satisfactory to Citigroup, in form and substance satisfactory to Citigroup and its counsel, dated the date that the opinion is required to be delivered, substantially similar to the forms attached hereto as </w:t>
      </w:r>
      <w:r>
        <w:rPr>
          <w:rFonts w:ascii="Arial" w:cs="Arial" w:eastAsia="Arial" w:hAnsi="Arial"/>
          <w:sz w:val="17"/>
          <w:szCs w:val="17"/>
          <w:u w:val="single" w:color="auto"/>
          <w:color w:val="auto"/>
        </w:rPr>
        <w:t>Exhibit D-1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subject to such assumptions, exceptions and qualifications reasonably acceptable to Citigroup and its counsel, and modified, as necessary, to relate to the Registration Statement and the Prospectus as then amended or supplemented;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lieu of such opinions for subsequent Representation Dates, any such counsel may furnish Citigroup with a letter to the effect that Citigroup may rely on a prior opinion delivered under this Section 7(p) to the same extent as if it were dated the date of such letter (except that statements in such prior opinion shall be deemed to relate to the Registration Statement and the Prospectus as amended or supplemented at such Representation Date).</w:t>
      </w:r>
    </w:p>
    <w:p>
      <w:pPr>
        <w:spacing w:after="0" w:line="11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12"/>
          </w:cols>
          <w:pgMar w:left="248" w:top="274" w:right="339" w:bottom="1440" w:gutter="0" w:footer="0" w:header="0"/>
        </w:sectPr>
      </w:pPr>
    </w:p>
    <w:bookmarkStart w:id="117" w:name="page118"/>
    <w:bookmarkEnd w:id="117"/>
    <w:p>
      <w:pPr>
        <w:ind w:left="-40" w:right="60" w:firstLine="464"/>
        <w:spacing w:after="0" w:line="270" w:lineRule="auto"/>
        <w:tabs>
          <w:tab w:leader="none" w:pos="806"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Comfort Letter</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Citigroup,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its independent accountants to furnish Citigroup letter(s) (the “</w:t>
      </w:r>
      <w:r>
        <w:rPr>
          <w:rFonts w:ascii="Arial" w:cs="Arial" w:eastAsia="Arial" w:hAnsi="Arial"/>
          <w:sz w:val="17"/>
          <w:szCs w:val="17"/>
          <w:u w:val="single" w:color="auto"/>
          <w:color w:val="auto"/>
        </w:rPr>
        <w:t>Comfort Letter</w:t>
      </w:r>
      <w:r>
        <w:rPr>
          <w:rFonts w:ascii="Arial" w:cs="Arial" w:eastAsia="Arial" w:hAnsi="Arial"/>
          <w:sz w:val="17"/>
          <w:szCs w:val="17"/>
          <w:color w:val="auto"/>
        </w:rPr>
        <w:t>”), dated the date the Comfort Letter is delivered, in form and substance satisfactory to Citigroup,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u w:val="single" w:color="auto"/>
          <w:color w:val="auto"/>
        </w:rPr>
        <w:t>Initial Comfort Letter</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69" w:lineRule="exact"/>
        <w:rPr>
          <w:rFonts w:ascii="Arial" w:cs="Arial" w:eastAsia="Arial" w:hAnsi="Arial"/>
          <w:sz w:val="17"/>
          <w:szCs w:val="17"/>
          <w:color w:val="auto"/>
        </w:rPr>
      </w:pPr>
    </w:p>
    <w:p>
      <w:pPr>
        <w:ind w:left="-40" w:right="80" w:firstLine="464"/>
        <w:spacing w:after="0" w:line="273" w:lineRule="auto"/>
        <w:tabs>
          <w:tab w:leader="none" w:pos="776"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Market Activities</w:t>
      </w:r>
      <w:r>
        <w:rPr>
          <w:rFonts w:ascii="Arial" w:cs="Arial" w:eastAsia="Arial" w:hAnsi="Arial"/>
          <w:sz w:val="17"/>
          <w:szCs w:val="17"/>
          <w:color w:val="auto"/>
        </w:rPr>
        <w:t>. The Company will not, directly or indirectly, (i) take any action designed to cause or result in, or that constitutes or might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reasonably 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Citigroup;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bid for and purchase its Common Shares in accordance with Rule 10b-18 under the Exchange Act,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 such bids or purchases shall be made by the Company during the three (3) Trading Days before or after any sale of any Securities pursuant to this Agreement.</w:t>
      </w:r>
    </w:p>
    <w:p>
      <w:pPr>
        <w:spacing w:after="0" w:line="70" w:lineRule="exact"/>
        <w:rPr>
          <w:rFonts w:ascii="Arial" w:cs="Arial" w:eastAsia="Arial" w:hAnsi="Arial"/>
          <w:sz w:val="17"/>
          <w:szCs w:val="17"/>
          <w:color w:val="auto"/>
        </w:rPr>
      </w:pPr>
    </w:p>
    <w:p>
      <w:pPr>
        <w:jc w:val="both"/>
        <w:ind w:left="-40" w:right="220" w:firstLine="464"/>
        <w:spacing w:after="0" w:line="259" w:lineRule="auto"/>
        <w:tabs>
          <w:tab w:leader="none" w:pos="786"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Company and its subsidiaries shall maintain, or cause to be maintained, insurance in such amounts and covering such risks as 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and its subsidiaries, considered as one enterprise.</w:t>
      </w:r>
    </w:p>
    <w:p>
      <w:pPr>
        <w:spacing w:after="0" w:line="78" w:lineRule="exact"/>
        <w:rPr>
          <w:rFonts w:ascii="Arial" w:cs="Arial" w:eastAsia="Arial" w:hAnsi="Arial"/>
          <w:sz w:val="18"/>
          <w:szCs w:val="18"/>
          <w:color w:val="auto"/>
        </w:rPr>
      </w:pPr>
    </w:p>
    <w:p>
      <w:pPr>
        <w:ind w:left="-40" w:firstLine="464"/>
        <w:spacing w:after="0" w:line="273" w:lineRule="auto"/>
        <w:tabs>
          <w:tab w:leader="none" w:pos="766"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Compliance with Laws</w:t>
      </w:r>
      <w:r>
        <w:rPr>
          <w:rFonts w:ascii="Arial" w:cs="Arial" w:eastAsia="Arial" w:hAnsi="Arial"/>
          <w:sz w:val="17"/>
          <w:szCs w:val="17"/>
          <w:color w:val="auto"/>
        </w:rPr>
        <w:t>. The Company and each of its subsidiaries shall maintain, or cause to be maintained, all material environmental permits,</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 on the condition, financial or otherwise, or on the earnings, business affairs or business prospects of the Company and its subsidiaries, considered as one enterprise.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80" w:top="274" w:right="279" w:bottom="1440" w:gutter="0" w:footer="0" w:header="0"/>
        </w:sectPr>
      </w:pPr>
    </w:p>
    <w:bookmarkStart w:id="118" w:name="page119"/>
    <w:bookmarkEnd w:id="118"/>
    <w:p>
      <w:pPr>
        <w:ind w:left="-40" w:right="180" w:firstLine="464"/>
        <w:spacing w:after="0" w:line="259" w:lineRule="auto"/>
        <w:tabs>
          <w:tab w:leader="none" w:pos="806"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Company Act</w:t>
      </w:r>
      <w:r>
        <w:rPr>
          <w:rFonts w:ascii="Arial" w:cs="Arial" w:eastAsia="Arial" w:hAnsi="Arial"/>
          <w:sz w:val="18"/>
          <w:szCs w:val="18"/>
          <w:color w:val="auto"/>
        </w:rPr>
        <w:t>. The Company will conduct its affairs in such a manner so as to reasonably ensure that neither it nor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will be or become, at any time prior to the termination of this Agreement, required to register as an “investment company,” as such term is defined in the Investment Company Act, assuming no change in the Commission’s current interpretation as to entities that are not considered an investment company.</w:t>
      </w:r>
    </w:p>
    <w:p>
      <w:pPr>
        <w:spacing w:after="0" w:line="78" w:lineRule="exact"/>
        <w:rPr>
          <w:rFonts w:ascii="Arial" w:cs="Arial" w:eastAsia="Arial" w:hAnsi="Arial"/>
          <w:sz w:val="18"/>
          <w:szCs w:val="18"/>
          <w:color w:val="auto"/>
        </w:rPr>
      </w:pPr>
    </w:p>
    <w:p>
      <w:pPr>
        <w:jc w:val="both"/>
        <w:ind w:left="-40" w:firstLine="464"/>
        <w:spacing w:after="0" w:line="264" w:lineRule="auto"/>
        <w:tabs>
          <w:tab w:leader="none" w:pos="806"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as from time to time in force and effect, so far as necessary to permit the continuance of sales of, or dealings in, the Placement Securities as contemplated by the provisions hereof and the Prospectus.</w:t>
      </w:r>
    </w:p>
    <w:p>
      <w:pPr>
        <w:spacing w:after="0" w:line="73" w:lineRule="exact"/>
        <w:rPr>
          <w:rFonts w:ascii="Arial" w:cs="Arial" w:eastAsia="Arial" w:hAnsi="Arial"/>
          <w:sz w:val="18"/>
          <w:szCs w:val="18"/>
          <w:color w:val="auto"/>
        </w:rPr>
      </w:pPr>
    </w:p>
    <w:p>
      <w:pPr>
        <w:jc w:val="both"/>
        <w:ind w:left="-40" w:right="160" w:firstLine="464"/>
        <w:spacing w:after="0" w:line="259" w:lineRule="auto"/>
        <w:tabs>
          <w:tab w:leader="none" w:pos="846"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No Offer to Sell</w:t>
      </w:r>
      <w:r>
        <w:rPr>
          <w:rFonts w:ascii="Arial" w:cs="Arial" w:eastAsia="Arial" w:hAnsi="Arial"/>
          <w:sz w:val="18"/>
          <w:szCs w:val="18"/>
          <w:color w:val="auto"/>
        </w:rPr>
        <w:t>. Other than a free writing prospectus (as defined in Rule 405 under the Securities Act) approved in advance in writing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Citigroup, in its capacity as principal or agent hereunder, the Company (including its agents and representatives, other than Citigroup in its capacity as such) will not, directly or indirectly, make, use, prepare, authorize, approve or refer to any free writing prospectus relating to the Securities to be sold by Citigroup, as principal or agent hereunder.</w:t>
      </w:r>
    </w:p>
    <w:p>
      <w:pPr>
        <w:spacing w:after="0" w:line="78" w:lineRule="exact"/>
        <w:rPr>
          <w:rFonts w:ascii="Arial" w:cs="Arial" w:eastAsia="Arial" w:hAnsi="Arial"/>
          <w:sz w:val="18"/>
          <w:szCs w:val="18"/>
          <w:color w:val="auto"/>
        </w:rPr>
      </w:pPr>
    </w:p>
    <w:p>
      <w:pPr>
        <w:ind w:left="-40" w:right="640" w:firstLine="464"/>
        <w:spacing w:after="0" w:line="277" w:lineRule="auto"/>
        <w:tabs>
          <w:tab w:leader="none" w:pos="806"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Company and its subsidiaries shall comply in all material respects with all effective applicable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Sarbanes-Oxley Act.</w:t>
      </w:r>
    </w:p>
    <w:p>
      <w:pPr>
        <w:spacing w:after="0" w:line="62" w:lineRule="exact"/>
        <w:rPr>
          <w:rFonts w:ascii="Arial" w:cs="Arial" w:eastAsia="Arial" w:hAnsi="Arial"/>
          <w:sz w:val="18"/>
          <w:szCs w:val="18"/>
          <w:color w:val="auto"/>
        </w:rPr>
      </w:pPr>
    </w:p>
    <w:p>
      <w:pPr>
        <w:ind w:left="-40" w:right="180" w:firstLine="464"/>
        <w:spacing w:after="0" w:line="286" w:lineRule="auto"/>
        <w:tabs>
          <w:tab w:leader="none" w:pos="806"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 xml:space="preserve">Regulation M. </w:t>
      </w:r>
      <w:r>
        <w:rPr>
          <w:rFonts w:ascii="Arial" w:cs="Arial" w:eastAsia="Arial" w:hAnsi="Arial"/>
          <w:sz w:val="17"/>
          <w:szCs w:val="17"/>
          <w:color w:val="auto"/>
        </w:rPr>
        <w:t>If the Company has reason to believe that the exemptive provisions set forth in Rule 101(c)(1) of Regulation M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are not satisfied with respect to the Company or the Common Shares, it shall promptly notify Citigroup and sales of the Placement Securities under this Agreement shall be suspended until that or other exemptive provisions have been satisfied in the judgment of each party.</w:t>
      </w:r>
    </w:p>
    <w:p>
      <w:pPr>
        <w:spacing w:after="0" w:line="57" w:lineRule="exact"/>
        <w:rPr>
          <w:rFonts w:ascii="Arial" w:cs="Arial" w:eastAsia="Arial" w:hAnsi="Arial"/>
          <w:sz w:val="17"/>
          <w:szCs w:val="17"/>
          <w:color w:val="auto"/>
        </w:rPr>
      </w:pPr>
    </w:p>
    <w:p>
      <w:pPr>
        <w:ind w:left="-40" w:right="200" w:firstLine="464"/>
        <w:spacing w:after="0" w:line="277" w:lineRule="auto"/>
        <w:tabs>
          <w:tab w:leader="none" w:pos="796"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REIT Treatment</w:t>
      </w:r>
      <w:r>
        <w:rPr>
          <w:rFonts w:ascii="Arial" w:cs="Arial" w:eastAsia="Arial" w:hAnsi="Arial"/>
          <w:sz w:val="18"/>
          <w:szCs w:val="18"/>
          <w:color w:val="auto"/>
        </w:rPr>
        <w:t>. The Company will use its best efforts to meet the requirements to qualify as a “real estate investment trust” under the Code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taxable years that include any portion of the term of this Agreement.</w:t>
      </w:r>
    </w:p>
    <w:p>
      <w:pPr>
        <w:spacing w:after="0" w:line="62" w:lineRule="exact"/>
        <w:rPr>
          <w:sz w:val="20"/>
          <w:szCs w:val="20"/>
          <w:color w:val="auto"/>
        </w:rPr>
      </w:pPr>
    </w:p>
    <w:p>
      <w:pPr>
        <w:ind w:left="-40" w:right="240" w:firstLine="464"/>
        <w:spacing w:after="0" w:line="270" w:lineRule="auto"/>
        <w:tabs>
          <w:tab w:leader="none" w:pos="876"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 xml:space="preserve">Renewal of Registration Statement. </w:t>
      </w:r>
      <w:r>
        <w:rPr>
          <w:rFonts w:ascii="Arial" w:cs="Arial" w:eastAsia="Arial" w:hAnsi="Arial"/>
          <w:sz w:val="17"/>
          <w:szCs w:val="17"/>
          <w:color w:val="auto"/>
        </w:rPr>
        <w:t>The date of this Agreement is not more than three years subsequent to the initial effective date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w:t>
      </w:r>
      <w:r>
        <w:rPr>
          <w:rFonts w:ascii="Arial" w:cs="Arial" w:eastAsia="Arial" w:hAnsi="Arial"/>
          <w:sz w:val="17"/>
          <w:szCs w:val="17"/>
          <w:u w:val="single" w:color="auto"/>
          <w:color w:val="auto"/>
        </w:rPr>
        <w:t>Renewal Date</w:t>
      </w:r>
      <w:r>
        <w:rPr>
          <w:rFonts w:ascii="Arial" w:cs="Arial" w:eastAsia="Arial" w:hAnsi="Arial"/>
          <w:sz w:val="17"/>
          <w:szCs w:val="17"/>
          <w:color w:val="auto"/>
        </w:rPr>
        <w:t>”). If, immediately prior to the third anniversary of the Renewal Date, this Agreement has not terminated and a prospectus is required to be delivered or made available by Citigroup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80" w:top="274" w:right="259" w:bottom="1440" w:gutter="0" w:footer="0" w:header="0"/>
        </w:sectPr>
      </w:pPr>
    </w:p>
    <w:bookmarkStart w:id="119" w:name="page120"/>
    <w:bookmarkEnd w:id="119"/>
    <w:p>
      <w:pPr>
        <w:ind w:left="-8" w:right="20" w:firstLine="464"/>
        <w:spacing w:after="0" w:line="259" w:lineRule="auto"/>
        <w:tabs>
          <w:tab w:leader="none" w:pos="928"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Rights to Refuse Purchase. </w:t>
      </w:r>
      <w:r>
        <w:rPr>
          <w:rFonts w:ascii="Arial" w:cs="Arial" w:eastAsia="Arial" w:hAnsi="Arial"/>
          <w:sz w:val="18"/>
          <w:szCs w:val="18"/>
          <w:color w:val="auto"/>
        </w:rPr>
        <w:t>If, to the knowledge of the Company, all filings required by Rule 424 in connection with the offering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Citigroup the right to refuse to purchase and pay for such Securities.</w:t>
      </w:r>
    </w:p>
    <w:p>
      <w:pPr>
        <w:spacing w:after="0" w:line="187" w:lineRule="exact"/>
        <w:rPr>
          <w:sz w:val="20"/>
          <w:szCs w:val="20"/>
          <w:color w:val="auto"/>
        </w:rPr>
      </w:pPr>
    </w:p>
    <w:p>
      <w:pPr>
        <w:ind w:left="452"/>
        <w:spacing w:after="0"/>
        <w:tabs>
          <w:tab w:leader="none" w:pos="1552"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117" w:lineRule="exact"/>
        <w:rPr>
          <w:sz w:val="20"/>
          <w:szCs w:val="20"/>
          <w:color w:val="auto"/>
        </w:rPr>
      </w:pPr>
    </w:p>
    <w:p>
      <w:pPr>
        <w:ind w:left="-8" w:right="80" w:firstLine="464"/>
        <w:spacing w:after="0" w:line="283" w:lineRule="auto"/>
        <w:tabs>
          <w:tab w:leader="none" w:pos="828" w:val="left"/>
        </w:tabs>
        <w:numPr>
          <w:ilvl w:val="1"/>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will pay all expenses incident to the performance of its obligations under this Agreement, including (i) the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printing and filing of the Registration Statement (including financial statements and exhibits) as originally filed and of each amendment and supplement thereto, (ii) the preparation, issuance and delivery of the certificates for the Placement Securities to Citigroup, including any stock or other transfer taxes and any capital duties, stamp duties or other duties or taxes payable upon the sale, issuance or delivery of the Placement Securities to Citigroup, (iii) the fees and disbursements of the counsel, accountants and other advisors to the Company, (iv) the qualification or exemption of the Placement Securities under securities laws in accordance with the provisions of Section 7(e) hereof, including filing fees and the reasonable fees and disbursements of counsel for Citigroup in connection therewith and in connection with the preparation of a state securities law or “blue sky” survey and any supplements thereto, (v) the printing and delivery to Citigroup of copies of any Permitted Free Writing Prospectus and the Prospectus and any amendments or supplements thereto and any costs associated with electronic delivery of any of the foregoing by Citigroup to investors, (vi) the preparation, printing and delivery to Citigroup of copies of the Blue Sky Survey and any Canadian “wrapper” and any supplements thereto, (vii) the fees and expenses of the custodian and the transfer agent and registrar for the Securities, (viii) the filing fees incident to, and the reasonable fees and disbursements of counsel for Citigroup in connection with, the review by FINRA of the terms of the sale of the Securities, (ix) the fees and expenses incurred in connection with the listing of the Placement Securities on the NYSE,</w:t>
      </w:r>
    </w:p>
    <w:p>
      <w:pPr>
        <w:spacing w:after="0" w:line="3" w:lineRule="exact"/>
        <w:rPr>
          <w:rFonts w:ascii="Arial" w:cs="Arial" w:eastAsia="Arial" w:hAnsi="Arial"/>
          <w:sz w:val="16"/>
          <w:szCs w:val="16"/>
          <w:color w:val="auto"/>
        </w:rPr>
      </w:pPr>
    </w:p>
    <w:p>
      <w:pPr>
        <w:ind w:left="-8" w:firstLine="8"/>
        <w:spacing w:after="0" w:line="288" w:lineRule="auto"/>
        <w:tabs>
          <w:tab w:leader="none" w:pos="24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disbursements of counsel for Citigroup in connection with the copying and delivery of closing documents delivered by the Company or the Company’s accountants or counsel (including any local counsel) and (xi) if Securities having an aggregate offering price of $50,000,000 or more have not been offered and sold under this Agreement and/or the Alternative Distribution Agreements by the eighteen-month anniversary of this Agreement (or such earlier date at which the Company terminates this Agreement)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the Company shall reimburse Citigroup and the Alternative Agents for all of its reasonable out-of-pocket expenses, including the reasonable fees and disbursements of counsel for Citigroup and the Alternative Agents incurred by Citigroup and the Alternative Agents in connection with the transactions contemplated by this Agreement and the Alternative Distribution Agreements (the “</w:t>
      </w:r>
      <w:r>
        <w:rPr>
          <w:rFonts w:ascii="Arial" w:cs="Arial" w:eastAsia="Arial" w:hAnsi="Arial"/>
          <w:sz w:val="16"/>
          <w:szCs w:val="16"/>
          <w:u w:val="single" w:color="auto"/>
          <w:color w:val="auto"/>
        </w:rPr>
        <w:t>Expenses</w:t>
      </w:r>
      <w:r>
        <w:rPr>
          <w:rFonts w:ascii="Arial" w:cs="Arial" w:eastAsia="Arial" w:hAnsi="Arial"/>
          <w:sz w:val="16"/>
          <w:szCs w:val="16"/>
          <w:color w:val="auto"/>
        </w:rPr>
        <w:t>”). The Expenses shall be due and payable by the Company to Citigroup within five (5) business days of the Determination Date.</w:t>
      </w:r>
    </w:p>
    <w:p>
      <w:pPr>
        <w:spacing w:after="0" w:line="60" w:lineRule="exact"/>
        <w:rPr>
          <w:rFonts w:ascii="Arial" w:cs="Arial" w:eastAsia="Arial" w:hAnsi="Arial"/>
          <w:sz w:val="16"/>
          <w:szCs w:val="16"/>
          <w:color w:val="auto"/>
        </w:rPr>
      </w:pPr>
    </w:p>
    <w:p>
      <w:pPr>
        <w:ind w:left="-8" w:right="140" w:firstLine="464"/>
        <w:spacing w:after="0" w:line="277" w:lineRule="auto"/>
        <w:tabs>
          <w:tab w:leader="none" w:pos="838" w:val="left"/>
        </w:tabs>
        <w:numPr>
          <w:ilvl w:val="1"/>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this Agreement is terminated by Citigroup in accordance with the provisions of Section 9 or Section 13(a)(i) or (iii)</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first clause only) hereof, the Company shall reimburse Citigroup for all of its out-of-pocket expenses,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12"/>
          </w:cols>
          <w:pgMar w:left="248" w:top="274" w:right="239" w:bottom="1440" w:gutter="0" w:footer="0" w:header="0"/>
        </w:sectPr>
      </w:pPr>
    </w:p>
    <w:bookmarkStart w:id="120" w:name="page121"/>
    <w:bookmarkEnd w:id="120"/>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the reasonable fees and disbursements of counsel for Citigroup, unless Securities having an aggregate offering price of $50,000,000 or more have previously been offered and sold under this Agreement and/or the Alternative Distribution Agreements.</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Conditions of Citigroup’s Obligations</w:t>
      </w:r>
      <w:r>
        <w:rPr>
          <w:rFonts w:ascii="Arial" w:cs="Arial" w:eastAsia="Arial" w:hAnsi="Arial"/>
          <w:sz w:val="18"/>
          <w:szCs w:val="18"/>
          <w:color w:val="auto"/>
        </w:rPr>
        <w:t>. The obligations of Citigroup hereunder with respect to a Placement will be subject to the continuing accuracy and completeness of the representations and warranties of the Company contained in this Agreement or in certificates of any officer of the Company or any subsidiary delivered pursuant to the provisions hereof, to the performance by the Company of its covenants and other obligations hereunder, and to the following further conditions:</w:t>
      </w:r>
    </w:p>
    <w:p>
      <w:pPr>
        <w:spacing w:after="0" w:line="79" w:lineRule="exact"/>
        <w:rPr>
          <w:sz w:val="20"/>
          <w:szCs w:val="20"/>
          <w:color w:val="auto"/>
        </w:rPr>
      </w:pPr>
    </w:p>
    <w:p>
      <w:pPr>
        <w:ind w:left="840" w:hanging="376"/>
        <w:spacing w:after="0"/>
        <w:tabs>
          <w:tab w:leader="none" w:pos="840" w:val="left"/>
        </w:tabs>
        <w:numPr>
          <w:ilvl w:val="1"/>
          <w:numId w:val="125"/>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of Registration Statement; Payment of Filing Fee. </w:t>
      </w:r>
      <w:r>
        <w:rPr>
          <w:rFonts w:ascii="Arial" w:cs="Arial" w:eastAsia="Arial" w:hAnsi="Arial"/>
          <w:sz w:val="16"/>
          <w:szCs w:val="16"/>
          <w:color w:val="auto"/>
        </w:rPr>
        <w:t>The Registration Statement shall have become effective and shall be available for</w:t>
      </w:r>
    </w:p>
    <w:p>
      <w:pPr>
        <w:spacing w:after="0" w:line="46" w:lineRule="exact"/>
        <w:rPr>
          <w:rFonts w:ascii="Arial" w:cs="Arial" w:eastAsia="Arial" w:hAnsi="Arial"/>
          <w:sz w:val="16"/>
          <w:szCs w:val="16"/>
          <w:color w:val="auto"/>
        </w:rPr>
      </w:pPr>
    </w:p>
    <w:p>
      <w:pPr>
        <w:ind w:right="20" w:firstLine="8"/>
        <w:spacing w:after="0" w:line="252" w:lineRule="auto"/>
        <w:tabs>
          <w:tab w:leader="none" w:pos="21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sales of Placement Securities issued pursuant to all prior Placement Notices (each as amended by a corresponding Acceptance, if applicable) and (ii) the sale of all Placement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86" w:lineRule="exact"/>
        <w:rPr>
          <w:rFonts w:ascii="Arial" w:cs="Arial" w:eastAsia="Arial" w:hAnsi="Arial"/>
          <w:sz w:val="18"/>
          <w:szCs w:val="18"/>
          <w:color w:val="auto"/>
        </w:rPr>
      </w:pPr>
    </w:p>
    <w:p>
      <w:pPr>
        <w:ind w:right="100" w:firstLine="464"/>
        <w:spacing w:after="0" w:line="288" w:lineRule="auto"/>
        <w:tabs>
          <w:tab w:leader="none" w:pos="846" w:val="left"/>
        </w:tabs>
        <w:numPr>
          <w:ilvl w:val="1"/>
          <w:numId w:val="126"/>
        </w:numPr>
        <w:rPr>
          <w:rFonts w:ascii="Arial" w:cs="Arial" w:eastAsia="Arial" w:hAnsi="Arial"/>
          <w:sz w:val="16"/>
          <w:szCs w:val="16"/>
          <w:color w:val="auto"/>
        </w:rPr>
      </w:pPr>
      <w:r>
        <w:rPr>
          <w:rFonts w:ascii="Arial" w:cs="Arial" w:eastAsia="Arial" w:hAnsi="Arial"/>
          <w:sz w:val="16"/>
          <w:szCs w:val="16"/>
          <w:i w:val="1"/>
          <w:iCs w:val="1"/>
          <w:color w:val="auto"/>
        </w:rPr>
        <w:t>No Material Notices</w:t>
      </w:r>
      <w:r>
        <w:rPr>
          <w:rFonts w:ascii="Arial" w:cs="Arial" w:eastAsia="Arial" w:hAnsi="Arial"/>
          <w:sz w:val="16"/>
          <w:szCs w:val="16"/>
          <w:color w:val="auto"/>
        </w:rPr>
        <w:t>. None of the following events shall have occurred and be continuing: (i) receipt by the Company or any of its subsidiaries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w:t>
      </w:r>
    </w:p>
    <w:p>
      <w:pPr>
        <w:ind w:firstLine="8"/>
        <w:spacing w:after="0" w:line="268" w:lineRule="auto"/>
        <w:tabs>
          <w:tab w:leader="none" w:pos="26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Securities for sale in any jurisdiction or the initiation or threatening of any proceeding for such purpose;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121" w:name="page122"/>
    <w:bookmarkEnd w:id="121"/>
    <w:p>
      <w:pPr>
        <w:ind w:left="-8" w:firstLine="464"/>
        <w:spacing w:after="0" w:line="257" w:lineRule="auto"/>
        <w:tabs>
          <w:tab w:leader="none" w:pos="828" w:val="left"/>
        </w:tabs>
        <w:numPr>
          <w:ilvl w:val="1"/>
          <w:numId w:val="12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Misstatement or Material Omission</w:t>
      </w:r>
      <w:r>
        <w:rPr>
          <w:rFonts w:ascii="Arial" w:cs="Arial" w:eastAsia="Arial" w:hAnsi="Arial"/>
          <w:sz w:val="18"/>
          <w:szCs w:val="18"/>
          <w:color w:val="auto"/>
        </w:rPr>
        <w:t>. Citigroup shall not have advised the Company that the Registration Statement or Prospectus, or any Issuer</w:t>
      </w:r>
      <w:r>
        <w:rPr>
          <w:rFonts w:ascii="Arial" w:cs="Arial" w:eastAsia="Arial" w:hAnsi="Arial"/>
          <w:sz w:val="18"/>
          <w:szCs w:val="18"/>
          <w:i w:val="1"/>
          <w:iCs w:val="1"/>
          <w:color w:val="auto"/>
        </w:rPr>
        <w:t xml:space="preserve"> </w:t>
      </w:r>
      <w:r>
        <w:rPr>
          <w:rFonts w:ascii="Arial" w:cs="Arial" w:eastAsia="Arial" w:hAnsi="Arial"/>
          <w:sz w:val="18"/>
          <w:szCs w:val="18"/>
          <w:color w:val="auto"/>
        </w:rPr>
        <w:t>Free Writing Prospectus, or any amendment or supplement thereto, contains an untrue statement of fact that in Citigroup’s opinion is material, or omits to state a fact that in Citigroup’s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80" w:lineRule="exact"/>
        <w:rPr>
          <w:rFonts w:ascii="Arial" w:cs="Arial" w:eastAsia="Arial" w:hAnsi="Arial"/>
          <w:sz w:val="18"/>
          <w:szCs w:val="18"/>
          <w:color w:val="auto"/>
        </w:rPr>
      </w:pPr>
    </w:p>
    <w:p>
      <w:pPr>
        <w:ind w:left="-8" w:right="40" w:firstLine="464"/>
        <w:spacing w:after="0" w:line="286" w:lineRule="auto"/>
        <w:tabs>
          <w:tab w:leader="none" w:pos="838" w:val="left"/>
        </w:tabs>
        <w:numPr>
          <w:ilvl w:val="1"/>
          <w:numId w:val="128"/>
        </w:numPr>
        <w:rPr>
          <w:rFonts w:ascii="Arial" w:cs="Arial" w:eastAsia="Arial" w:hAnsi="Arial"/>
          <w:sz w:val="17"/>
          <w:szCs w:val="17"/>
          <w:color w:val="auto"/>
        </w:rPr>
      </w:pPr>
      <w:r>
        <w:rPr>
          <w:rFonts w:ascii="Arial" w:cs="Arial" w:eastAsia="Arial" w:hAnsi="Arial"/>
          <w:sz w:val="17"/>
          <w:szCs w:val="17"/>
          <w:i w:val="1"/>
          <w:iCs w:val="1"/>
          <w:color w:val="auto"/>
        </w:rPr>
        <w:t>Material Changes</w:t>
      </w:r>
      <w:r>
        <w:rPr>
          <w:rFonts w:ascii="Arial" w:cs="Arial" w:eastAsia="Arial" w:hAnsi="Arial"/>
          <w:sz w:val="17"/>
          <w:szCs w:val="17"/>
          <w:color w:val="auto"/>
        </w:rPr>
        <w:t>. Except as contemplated in the Prospectus, or disclosed in the Company’s reports filed with the Commission, there shall not</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57" w:lineRule="exact"/>
        <w:rPr>
          <w:rFonts w:ascii="Arial" w:cs="Arial" w:eastAsia="Arial" w:hAnsi="Arial"/>
          <w:sz w:val="17"/>
          <w:szCs w:val="17"/>
          <w:color w:val="auto"/>
        </w:rPr>
      </w:pPr>
    </w:p>
    <w:p>
      <w:pPr>
        <w:ind w:left="-8" w:right="140" w:firstLine="464"/>
        <w:spacing w:after="0" w:line="277" w:lineRule="auto"/>
        <w:tabs>
          <w:tab w:leader="none" w:pos="828" w:val="left"/>
        </w:tabs>
        <w:numPr>
          <w:ilvl w:val="1"/>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Company. </w:t>
      </w:r>
      <w:r>
        <w:rPr>
          <w:rFonts w:ascii="Arial" w:cs="Arial" w:eastAsia="Arial" w:hAnsi="Arial"/>
          <w:sz w:val="18"/>
          <w:szCs w:val="18"/>
          <w:color w:val="auto"/>
        </w:rPr>
        <w:t>Citigroup shall have received the favorable opinion of Company Counsel, required to be delivered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7(p) on or before the date on which such delivery of such opinion is required pursuant to Section 7(p).</w:t>
      </w:r>
    </w:p>
    <w:p>
      <w:pPr>
        <w:spacing w:after="0" w:line="62" w:lineRule="exact"/>
        <w:rPr>
          <w:rFonts w:ascii="Arial" w:cs="Arial" w:eastAsia="Arial" w:hAnsi="Arial"/>
          <w:sz w:val="18"/>
          <w:szCs w:val="18"/>
          <w:color w:val="auto"/>
        </w:rPr>
      </w:pPr>
    </w:p>
    <w:p>
      <w:pPr>
        <w:ind w:left="-8" w:right="140" w:firstLine="464"/>
        <w:spacing w:after="0" w:line="277" w:lineRule="auto"/>
        <w:tabs>
          <w:tab w:leader="none" w:pos="808" w:val="left"/>
        </w:tabs>
        <w:numPr>
          <w:ilvl w:val="1"/>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Certificate. </w:t>
      </w:r>
      <w:r>
        <w:rPr>
          <w:rFonts w:ascii="Arial" w:cs="Arial" w:eastAsia="Arial" w:hAnsi="Arial"/>
          <w:sz w:val="18"/>
          <w:szCs w:val="18"/>
          <w:color w:val="auto"/>
        </w:rPr>
        <w:t>Citigroup shall have received the certificate required to be delivered pursuant to Section 7(o) on or before the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delivery of such certificate is required pursuant to Section 7(o).</w:t>
      </w:r>
    </w:p>
    <w:p>
      <w:pPr>
        <w:spacing w:after="0" w:line="62" w:lineRule="exact"/>
        <w:rPr>
          <w:rFonts w:ascii="Arial" w:cs="Arial" w:eastAsia="Arial" w:hAnsi="Arial"/>
          <w:sz w:val="18"/>
          <w:szCs w:val="18"/>
          <w:color w:val="auto"/>
        </w:rPr>
      </w:pPr>
    </w:p>
    <w:p>
      <w:pPr>
        <w:ind w:left="-8" w:right="40" w:firstLine="464"/>
        <w:spacing w:after="0" w:line="277" w:lineRule="auto"/>
        <w:tabs>
          <w:tab w:leader="none" w:pos="838" w:val="left"/>
        </w:tabs>
        <w:numPr>
          <w:ilvl w:val="1"/>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Accountant’s Comfort Letter. </w:t>
      </w:r>
      <w:r>
        <w:rPr>
          <w:rFonts w:ascii="Arial" w:cs="Arial" w:eastAsia="Arial" w:hAnsi="Arial"/>
          <w:sz w:val="18"/>
          <w:szCs w:val="18"/>
          <w:color w:val="auto"/>
        </w:rPr>
        <w:t>Citigroup shall have received the Comfort Letter required to be delivered pursuant Section 7(q) on or before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on which such delivery of such Comfort Letter is required pursuant to Section 7(q).</w:t>
      </w:r>
    </w:p>
    <w:p>
      <w:pPr>
        <w:spacing w:after="0" w:line="62" w:lineRule="exact"/>
        <w:rPr>
          <w:rFonts w:ascii="Arial" w:cs="Arial" w:eastAsia="Arial" w:hAnsi="Arial"/>
          <w:sz w:val="18"/>
          <w:szCs w:val="18"/>
          <w:color w:val="auto"/>
        </w:rPr>
      </w:pPr>
    </w:p>
    <w:p>
      <w:pPr>
        <w:ind w:left="852" w:hanging="396"/>
        <w:spacing w:after="0"/>
        <w:tabs>
          <w:tab w:leader="none" w:pos="852" w:val="left"/>
        </w:tabs>
        <w:numPr>
          <w:ilvl w:val="1"/>
          <w:numId w:val="128"/>
        </w:numPr>
        <w:rPr>
          <w:rFonts w:ascii="Arial" w:cs="Arial" w:eastAsia="Arial" w:hAnsi="Arial"/>
          <w:sz w:val="16"/>
          <w:szCs w:val="16"/>
          <w:color w:val="auto"/>
        </w:rPr>
      </w:pPr>
      <w:r>
        <w:rPr>
          <w:rFonts w:ascii="Arial" w:cs="Arial" w:eastAsia="Arial" w:hAnsi="Arial"/>
          <w:sz w:val="16"/>
          <w:szCs w:val="16"/>
          <w:i w:val="1"/>
          <w:iCs w:val="1"/>
          <w:color w:val="auto"/>
        </w:rPr>
        <w:t>Approval for Listing</w:t>
      </w:r>
      <w:r>
        <w:rPr>
          <w:rFonts w:ascii="Arial" w:cs="Arial" w:eastAsia="Arial" w:hAnsi="Arial"/>
          <w:sz w:val="16"/>
          <w:szCs w:val="16"/>
          <w:color w:val="auto"/>
        </w:rPr>
        <w:t>. The Placement Securities shall either have been (i) approved for listing on the NYSE, subject only to notice of issuance, or</w:t>
      </w:r>
    </w:p>
    <w:p>
      <w:pPr>
        <w:spacing w:after="0" w:line="46" w:lineRule="exact"/>
        <w:rPr>
          <w:rFonts w:ascii="Arial" w:cs="Arial" w:eastAsia="Arial" w:hAnsi="Arial"/>
          <w:sz w:val="16"/>
          <w:szCs w:val="16"/>
          <w:color w:val="auto"/>
        </w:rPr>
      </w:pPr>
    </w:p>
    <w:p>
      <w:pPr>
        <w:ind w:left="272" w:hanging="272"/>
        <w:spacing w:after="0"/>
        <w:tabs>
          <w:tab w:leader="none" w:pos="27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Company shall have filed an application for listing of the Placement Securities on the NYSE at, or prior to, the issuance of any Placement Notice.</w:t>
      </w:r>
    </w:p>
    <w:p>
      <w:pPr>
        <w:spacing w:after="0" w:line="125" w:lineRule="exact"/>
        <w:rPr>
          <w:rFonts w:ascii="Arial" w:cs="Arial" w:eastAsia="Arial" w:hAnsi="Arial"/>
          <w:sz w:val="16"/>
          <w:szCs w:val="16"/>
          <w:color w:val="auto"/>
        </w:rPr>
      </w:pPr>
    </w:p>
    <w:p>
      <w:pPr>
        <w:ind w:left="812" w:hanging="356"/>
        <w:spacing w:after="0"/>
        <w:tabs>
          <w:tab w:leader="none" w:pos="812" w:val="left"/>
        </w:tabs>
        <w:numPr>
          <w:ilvl w:val="1"/>
          <w:numId w:val="129"/>
        </w:numPr>
        <w:rPr>
          <w:rFonts w:ascii="Arial" w:cs="Arial" w:eastAsia="Arial" w:hAnsi="Arial"/>
          <w:sz w:val="18"/>
          <w:szCs w:val="18"/>
          <w:color w:val="auto"/>
        </w:rPr>
      </w:pPr>
      <w:r>
        <w:rPr>
          <w:rFonts w:ascii="Arial" w:cs="Arial" w:eastAsia="Arial" w:hAnsi="Arial"/>
          <w:sz w:val="18"/>
          <w:szCs w:val="18"/>
          <w:i w:val="1"/>
          <w:iCs w:val="1"/>
          <w:color w:val="auto"/>
        </w:rPr>
        <w:t>No Suspension</w:t>
      </w:r>
      <w:r>
        <w:rPr>
          <w:rFonts w:ascii="Arial" w:cs="Arial" w:eastAsia="Arial" w:hAnsi="Arial"/>
          <w:sz w:val="18"/>
          <w:szCs w:val="18"/>
          <w:color w:val="auto"/>
        </w:rPr>
        <w:t>. Trading in the Securities shall not have been suspended on the NYSE.</w:t>
      </w:r>
    </w:p>
    <w:p>
      <w:pPr>
        <w:spacing w:after="0" w:line="117" w:lineRule="exact"/>
        <w:rPr>
          <w:rFonts w:ascii="Arial" w:cs="Arial" w:eastAsia="Arial" w:hAnsi="Arial"/>
          <w:sz w:val="18"/>
          <w:szCs w:val="18"/>
          <w:color w:val="auto"/>
        </w:rPr>
      </w:pPr>
    </w:p>
    <w:p>
      <w:pPr>
        <w:jc w:val="both"/>
        <w:ind w:left="-8" w:firstLine="464"/>
        <w:spacing w:after="0" w:line="259" w:lineRule="auto"/>
        <w:tabs>
          <w:tab w:leader="none" w:pos="798" w:val="left"/>
        </w:tabs>
        <w:numPr>
          <w:ilvl w:val="1"/>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each date on which the Company is required to deliver a certificate pursuant to Section 7(o), counsel for Citigroup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78" w:lineRule="exact"/>
        <w:rPr>
          <w:rFonts w:ascii="Arial" w:cs="Arial" w:eastAsia="Arial" w:hAnsi="Arial"/>
          <w:sz w:val="18"/>
          <w:szCs w:val="18"/>
          <w:color w:val="auto"/>
        </w:rPr>
      </w:pPr>
    </w:p>
    <w:p>
      <w:pPr>
        <w:ind w:left="-8" w:right="620" w:firstLine="464"/>
        <w:spacing w:after="0" w:line="308" w:lineRule="auto"/>
        <w:tabs>
          <w:tab w:leader="none" w:pos="838" w:val="left"/>
        </w:tabs>
        <w:numPr>
          <w:ilvl w:val="1"/>
          <w:numId w:val="129"/>
        </w:numPr>
        <w:rPr>
          <w:rFonts w:ascii="Arial" w:cs="Arial" w:eastAsia="Arial" w:hAnsi="Arial"/>
          <w:sz w:val="17"/>
          <w:szCs w:val="17"/>
          <w:color w:val="auto"/>
        </w:rPr>
      </w:pPr>
      <w:r>
        <w:rPr>
          <w:rFonts w:ascii="Arial" w:cs="Arial" w:eastAsia="Arial" w:hAnsi="Arial"/>
          <w:sz w:val="17"/>
          <w:szCs w:val="17"/>
          <w:i w:val="1"/>
          <w:iCs w:val="1"/>
          <w:color w:val="auto"/>
        </w:rPr>
        <w:t>Securities Act Filings Made</w:t>
      </w:r>
      <w:r>
        <w:rPr>
          <w:rFonts w:ascii="Arial" w:cs="Arial" w:eastAsia="Arial" w:hAnsi="Arial"/>
          <w:sz w:val="17"/>
          <w:szCs w:val="17"/>
          <w:color w:val="auto"/>
        </w:rPr>
        <w:t>. All filings with the Commission required by Rule 424 under the Securities Act to have been filed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of any Placement Notice hereunder shall have been made within the applicable time period prescribed for such filing by Rule 424.</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92"/>
          </w:cols>
          <w:pgMar w:left="248" w:top="274" w:right="259" w:bottom="1440" w:gutter="0" w:footer="0" w:header="0"/>
        </w:sectPr>
      </w:pPr>
    </w:p>
    <w:bookmarkStart w:id="122" w:name="page123"/>
    <w:bookmarkEnd w:id="122"/>
    <w:p>
      <w:pPr>
        <w:ind w:left="-40" w:right="40" w:firstLine="464"/>
        <w:spacing w:after="0" w:line="259" w:lineRule="auto"/>
        <w:tabs>
          <w:tab w:leader="none" w:pos="766"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Termination of Agreement. </w:t>
      </w:r>
      <w:r>
        <w:rPr>
          <w:rFonts w:ascii="Arial" w:cs="Arial" w:eastAsia="Arial" w:hAnsi="Arial"/>
          <w:sz w:val="18"/>
          <w:szCs w:val="18"/>
          <w:color w:val="auto"/>
        </w:rPr>
        <w:t>If any condition specified in this Section 9 shall not have been fulfilled in all material respects when and as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fulfilled, this Agreement may be terminated by Citigroup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187" w:lineRule="exact"/>
        <w:rPr>
          <w:sz w:val="20"/>
          <w:szCs w:val="20"/>
          <w:color w:val="auto"/>
        </w:rPr>
      </w:pPr>
    </w:p>
    <w:p>
      <w:pPr>
        <w:ind w:left="420"/>
        <w:spacing w:after="0"/>
        <w:tabs>
          <w:tab w:leader="none" w:pos="16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117" w:lineRule="exact"/>
        <w:rPr>
          <w:sz w:val="20"/>
          <w:szCs w:val="20"/>
          <w:color w:val="auto"/>
        </w:rPr>
      </w:pPr>
    </w:p>
    <w:p>
      <w:pPr>
        <w:ind w:left="-40" w:right="40" w:firstLine="464"/>
        <w:spacing w:after="0" w:line="268" w:lineRule="auto"/>
        <w:tabs>
          <w:tab w:leader="none" w:pos="796"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by the Company. </w:t>
      </w:r>
      <w:r>
        <w:rPr>
          <w:rFonts w:ascii="Arial" w:cs="Arial" w:eastAsia="Arial" w:hAnsi="Arial"/>
          <w:sz w:val="17"/>
          <w:szCs w:val="17"/>
          <w:color w:val="auto"/>
        </w:rPr>
        <w:t>The Company will indemnify and hold harmless Citigroup, its affiliates, its directors, its officers and each</w:t>
      </w:r>
      <w:r>
        <w:rPr>
          <w:rFonts w:ascii="Arial" w:cs="Arial" w:eastAsia="Arial" w:hAnsi="Arial"/>
          <w:sz w:val="17"/>
          <w:szCs w:val="17"/>
          <w:i w:val="1"/>
          <w:iCs w:val="1"/>
          <w:color w:val="auto"/>
        </w:rPr>
        <w:t xml:space="preserve"> </w:t>
      </w:r>
      <w:r>
        <w:rPr>
          <w:rFonts w:ascii="Arial" w:cs="Arial" w:eastAsia="Arial" w:hAnsi="Arial"/>
          <w:sz w:val="17"/>
          <w:szCs w:val="17"/>
          <w:color w:val="auto"/>
        </w:rPr>
        <w:t>person, if any, who controls Citigroup, within the meaning of Section 15 of the Securities Act or Section 20 of the Exchange Act, against any losses, claims, damages or liabilities, joint or several, to which Citigroup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Citigroup for any legal or other expenses reasonably incurred by Citigroup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Citigroup expressly for use in the Prospectus, as amended or supplemented, relating to such Securities.</w:t>
      </w:r>
    </w:p>
    <w:p>
      <w:pPr>
        <w:spacing w:after="0" w:line="79" w:lineRule="exact"/>
        <w:rPr>
          <w:rFonts w:ascii="Arial" w:cs="Arial" w:eastAsia="Arial" w:hAnsi="Arial"/>
          <w:sz w:val="17"/>
          <w:szCs w:val="17"/>
          <w:color w:val="auto"/>
        </w:rPr>
      </w:pPr>
    </w:p>
    <w:p>
      <w:pPr>
        <w:ind w:left="-40" w:firstLine="464"/>
        <w:spacing w:after="0" w:line="270" w:lineRule="auto"/>
        <w:tabs>
          <w:tab w:leader="none" w:pos="806"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Indemnification by Citigroup</w:t>
      </w:r>
      <w:r>
        <w:rPr>
          <w:rFonts w:ascii="Arial" w:cs="Arial" w:eastAsia="Arial" w:hAnsi="Arial"/>
          <w:sz w:val="17"/>
          <w:szCs w:val="17"/>
          <w:color w:val="auto"/>
        </w:rPr>
        <w:t>. Citigroup will indemnify and hold harmless the Company, its trustees, its officers who signed the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80" w:top="274" w:right="259" w:bottom="1440" w:gutter="0" w:footer="0" w:header="0"/>
        </w:sectPr>
      </w:pPr>
    </w:p>
    <w:bookmarkStart w:id="123" w:name="page124"/>
    <w:bookmarkEnd w:id="123"/>
    <w:p>
      <w:pPr>
        <w:ind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amendment or supplement in reliance upon and in conformity with written information furnished to the Company by Citigroup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39" w:lineRule="exact"/>
        <w:rPr>
          <w:sz w:val="20"/>
          <w:szCs w:val="20"/>
          <w:color w:val="auto"/>
        </w:rPr>
      </w:pPr>
    </w:p>
    <w:p>
      <w:pPr>
        <w:ind w:firstLine="464"/>
        <w:spacing w:after="0" w:line="268" w:lineRule="auto"/>
        <w:tabs>
          <w:tab w:leader="none" w:pos="836" w:val="left"/>
        </w:tabs>
        <w:numPr>
          <w:ilvl w:val="0"/>
          <w:numId w:val="1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Actions against Parties; Notification. </w:t>
      </w:r>
      <w:r>
        <w:rPr>
          <w:rFonts w:ascii="Arial" w:cs="Arial" w:eastAsia="Arial" w:hAnsi="Arial"/>
          <w:sz w:val="17"/>
          <w:szCs w:val="17"/>
          <w:color w:val="auto"/>
        </w:rPr>
        <w:t>Promptly after receipt by an indemnified party under subsection (a) or (b) above of notice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Citigroup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 required under Section 10(c) above, then each indemnifying party shall contribute to such amount paid or payable by such indemnified party in such proportion as is appropriate to reflect not only such relative benefits but also the relative fault of the Company on the one hand and Citigroup on the other in connection with the statements or omissions which resulted in such losses, claims, damages or liabilities (or actions in respect thereof), as well as any other relevant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124" w:name="page125"/>
    <w:bookmarkEnd w:id="124"/>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equitable considerations. The relative benefits received by the Company on the one hand and Citigroup on the other shall be deemed to be in the same proportion as the total net proceeds from the offering of Securities pursuant to this Agreement (before deducting expenses) received by the Company bear to the total commissions received by Citigroup. The relative fault shall be determined by reference to, among other things, whether the untrue or alleged untrue statement of a material fact or the omission or alleged omission to state a material fact relates to information supplied by the Company on the one hand or Citigroup on the other and the parties’ relative intent, knowledge, access to information and opportunity to correct or prevent such statement or omission. The Company and Citigroup agree that it would not be just and 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 Notwithstanding the provisions of this Section 11, Citigroup shall not be required to contribute any amount in excess of the amount by which the total price at which the Securities sold by it and distributed to the public were offered to the public exceeds the amount of any damages which Citigroup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8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obligations of the Company under Section 10 and this Section 11 shall be in addition to any liability which the Company may otherwise have and shall extend, upon the same terms and conditions, to each person, if any, who controls Citigroup within the meaning of the Securities Act; and the obligations of Citigroup under Section 10 and this Section 11 shall be in addition to any liability which it may otherwise have and shall extend, upon the same terms and conditions, to each officer of the Company who signed the Registration Statement, to each trustee of the Company and to each person, if any, who controls the Company within the meaning of the Securities Act.</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Representations, Warranties and Agreements to Survive Delivery</w:t>
      </w:r>
      <w:r>
        <w:rPr>
          <w:rFonts w:ascii="Arial" w:cs="Arial" w:eastAsia="Arial" w:hAnsi="Arial"/>
          <w:sz w:val="17"/>
          <w:szCs w:val="17"/>
          <w:color w:val="auto"/>
        </w:rPr>
        <w:t>. All indemnities, agreements representations, warranties and other statements contained in this Agreement or in certificates of officers of the Company or any subsidiary submitted pursuant hereto, shall remain operative and in full force and effect, regardless of any investigation (or any statement as to the results thereof) made by or on behalf of Citigroup or any controlling person, or by or on behalf of the Company or any controlling person, and shall survive delivery of the Securities to Citigroup.</w:t>
      </w:r>
    </w:p>
    <w:p>
      <w:pPr>
        <w:spacing w:after="0" w:line="171"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w:t>
      </w:r>
    </w:p>
    <w:p>
      <w:pPr>
        <w:spacing w:after="0" w:line="117" w:lineRule="exact"/>
        <w:rPr>
          <w:sz w:val="20"/>
          <w:szCs w:val="20"/>
          <w:color w:val="auto"/>
        </w:rPr>
      </w:pPr>
    </w:p>
    <w:p>
      <w:pPr>
        <w:ind w:right="140" w:firstLine="464"/>
        <w:spacing w:after="0" w:line="264" w:lineRule="auto"/>
        <w:tabs>
          <w:tab w:leader="none" w:pos="836"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General. </w:t>
      </w:r>
      <w:r>
        <w:rPr>
          <w:rFonts w:ascii="Arial" w:cs="Arial" w:eastAsia="Arial" w:hAnsi="Arial"/>
          <w:sz w:val="18"/>
          <w:szCs w:val="18"/>
          <w:color w:val="auto"/>
        </w:rPr>
        <w:t>Citigroup may terminate this Agreement, by notice to the Company, as hereinafter specified at any time (i) if there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since the time of execution of this Agreement or since the date as of which information is given in the Prospectus, any material adverse change, or any development involving a prospective material adverse change, in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125" w:name="page126"/>
    <w:bookmarkEnd w:id="12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affecting the general affairs, management, financial position, shareholders’ equity or results of operations of the Company and its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Citigroup, impracticable or inadvisable to market the Securities or to enforce contracts for the sale of the Securities, or (iii) if trading in the Placement Securities has been suspended or limited by the Commission or the NYSE, or if trading generally on the NYSE Amex Equities, the NYSE or the Nasdaq Global Market has been suspended or limited, or minimum or 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70" w:lineRule="exact"/>
        <w:rPr>
          <w:sz w:val="20"/>
          <w:szCs w:val="20"/>
          <w:color w:val="auto"/>
        </w:rPr>
      </w:pPr>
    </w:p>
    <w:p>
      <w:pPr>
        <w:ind w:right="80" w:firstLine="464"/>
        <w:spacing w:after="0" w:line="277" w:lineRule="auto"/>
        <w:tabs>
          <w:tab w:leader="none" w:pos="846" w:val="left"/>
        </w:tabs>
        <w:numPr>
          <w:ilvl w:val="1"/>
          <w:numId w:val="13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the Company. </w:t>
      </w:r>
      <w:r>
        <w:rPr>
          <w:rFonts w:ascii="Arial" w:cs="Arial" w:eastAsia="Arial" w:hAnsi="Arial"/>
          <w:sz w:val="18"/>
          <w:szCs w:val="18"/>
          <w:color w:val="auto"/>
        </w:rPr>
        <w:t>The Company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62" w:lineRule="exact"/>
        <w:rPr>
          <w:rFonts w:ascii="Arial" w:cs="Arial" w:eastAsia="Arial" w:hAnsi="Arial"/>
          <w:sz w:val="18"/>
          <w:szCs w:val="18"/>
          <w:color w:val="auto"/>
        </w:rPr>
      </w:pPr>
    </w:p>
    <w:p>
      <w:pPr>
        <w:ind w:right="680" w:firstLine="464"/>
        <w:spacing w:after="0" w:line="277" w:lineRule="auto"/>
        <w:tabs>
          <w:tab w:leader="none" w:pos="836" w:val="left"/>
        </w:tabs>
        <w:numPr>
          <w:ilvl w:val="1"/>
          <w:numId w:val="13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Citigroup. </w:t>
      </w:r>
      <w:r>
        <w:rPr>
          <w:rFonts w:ascii="Arial" w:cs="Arial" w:eastAsia="Arial" w:hAnsi="Arial"/>
          <w:sz w:val="18"/>
          <w:szCs w:val="18"/>
          <w:color w:val="auto"/>
        </w:rPr>
        <w:t>Citigroup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62" w:lineRule="exact"/>
        <w:rPr>
          <w:rFonts w:ascii="Arial" w:cs="Arial" w:eastAsia="Arial" w:hAnsi="Arial"/>
          <w:sz w:val="18"/>
          <w:szCs w:val="18"/>
          <w:color w:val="auto"/>
        </w:rPr>
      </w:pPr>
    </w:p>
    <w:p>
      <w:pPr>
        <w:ind w:right="40" w:firstLine="464"/>
        <w:spacing w:after="0" w:line="264" w:lineRule="auto"/>
        <w:tabs>
          <w:tab w:leader="none" w:pos="846" w:val="left"/>
        </w:tabs>
        <w:numPr>
          <w:ilvl w:val="1"/>
          <w:numId w:val="134"/>
        </w:numPr>
        <w:rPr>
          <w:rFonts w:ascii="Arial" w:cs="Arial" w:eastAsia="Arial" w:hAnsi="Arial"/>
          <w:sz w:val="18"/>
          <w:szCs w:val="18"/>
          <w:color w:val="auto"/>
        </w:rPr>
      </w:pPr>
      <w:r>
        <w:rPr>
          <w:rFonts w:ascii="Arial" w:cs="Arial" w:eastAsia="Arial" w:hAnsi="Arial"/>
          <w:sz w:val="18"/>
          <w:szCs w:val="18"/>
          <w:i w:val="1"/>
          <w:iCs w:val="1"/>
          <w:color w:val="auto"/>
        </w:rPr>
        <w:t xml:space="preserve">Automatic Termination. </w:t>
      </w:r>
      <w:r>
        <w:rPr>
          <w:rFonts w:ascii="Arial" w:cs="Arial" w:eastAsia="Arial" w:hAnsi="Arial"/>
          <w:sz w:val="18"/>
          <w:szCs w:val="18"/>
          <w:color w:val="auto"/>
        </w:rPr>
        <w:t>Unless earlier terminated pursuant to this Section 13, this Agreement shall automatically terminate upon the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Placement Securities through Citigroup on the terms and subject to the conditions set forth herein with an aggregate offering price equal to the Maximum Amount set forth in Section 1 of this Agreement.</w:t>
      </w:r>
    </w:p>
    <w:p>
      <w:pPr>
        <w:spacing w:after="0" w:line="73" w:lineRule="exact"/>
        <w:rPr>
          <w:rFonts w:ascii="Arial" w:cs="Arial" w:eastAsia="Arial" w:hAnsi="Arial"/>
          <w:sz w:val="18"/>
          <w:szCs w:val="18"/>
          <w:color w:val="auto"/>
        </w:rPr>
      </w:pPr>
    </w:p>
    <w:p>
      <w:pPr>
        <w:ind w:left="840" w:hanging="376"/>
        <w:spacing w:after="0"/>
        <w:tabs>
          <w:tab w:leader="none" w:pos="840" w:val="left"/>
        </w:tabs>
        <w:numPr>
          <w:ilvl w:val="1"/>
          <w:numId w:val="134"/>
        </w:numPr>
        <w:rPr>
          <w:rFonts w:ascii="Arial" w:cs="Arial" w:eastAsia="Arial" w:hAnsi="Arial"/>
          <w:sz w:val="17"/>
          <w:szCs w:val="17"/>
          <w:color w:val="auto"/>
        </w:rPr>
      </w:pPr>
      <w:r>
        <w:rPr>
          <w:rFonts w:ascii="Arial" w:cs="Arial" w:eastAsia="Arial" w:hAnsi="Arial"/>
          <w:sz w:val="17"/>
          <w:szCs w:val="17"/>
          <w:i w:val="1"/>
          <w:iCs w:val="1"/>
          <w:color w:val="auto"/>
        </w:rPr>
        <w:t xml:space="preserve">Continued Force and Effect. </w:t>
      </w:r>
      <w:r>
        <w:rPr>
          <w:rFonts w:ascii="Arial" w:cs="Arial" w:eastAsia="Arial" w:hAnsi="Arial"/>
          <w:sz w:val="17"/>
          <w:szCs w:val="17"/>
          <w:color w:val="auto"/>
        </w:rPr>
        <w:t>This Agreement shall remain in full force and effect unless terminated pursuant to Sections 13(a), (b), (c) or</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above or otherwise by mutual agreement of the parties.</w:t>
      </w:r>
    </w:p>
    <w:p>
      <w:pPr>
        <w:spacing w:after="0" w:line="102" w:lineRule="exact"/>
        <w:rPr>
          <w:rFonts w:ascii="Arial" w:cs="Arial" w:eastAsia="Arial" w:hAnsi="Arial"/>
          <w:sz w:val="18"/>
          <w:szCs w:val="18"/>
          <w:color w:val="auto"/>
        </w:rPr>
      </w:pPr>
    </w:p>
    <w:p>
      <w:pPr>
        <w:ind w:right="60" w:firstLine="464"/>
        <w:spacing w:after="0" w:line="259" w:lineRule="auto"/>
        <w:tabs>
          <w:tab w:leader="none" w:pos="816" w:val="left"/>
        </w:tabs>
        <w:numPr>
          <w:ilvl w:val="1"/>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of Termination. </w:t>
      </w:r>
      <w:r>
        <w:rPr>
          <w:rFonts w:ascii="Arial" w:cs="Arial" w:eastAsia="Arial" w:hAnsi="Arial"/>
          <w:sz w:val="18"/>
          <w:szCs w:val="18"/>
          <w:color w:val="auto"/>
        </w:rPr>
        <w:t>Any termination of this Agreement shall be effective on the date specified in such notice of termination;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termination shall not be effective until the close of business on the date of receipt of such notice by Citigroup or the Company, as the case may be. If such termination shall occur prior to the Settlement Date for any sale of Placement Securities, such Placement Securities shall settle in accordance with the provisions of this Agreement.</w:t>
      </w:r>
    </w:p>
    <w:p>
      <w:pPr>
        <w:spacing w:after="0" w:line="78" w:lineRule="exact"/>
        <w:rPr>
          <w:rFonts w:ascii="Arial" w:cs="Arial" w:eastAsia="Arial" w:hAnsi="Arial"/>
          <w:sz w:val="18"/>
          <w:szCs w:val="18"/>
          <w:color w:val="auto"/>
        </w:rPr>
      </w:pPr>
    </w:p>
    <w:p>
      <w:pPr>
        <w:ind w:right="160" w:firstLine="464"/>
        <w:spacing w:after="0" w:line="264" w:lineRule="auto"/>
        <w:tabs>
          <w:tab w:leader="none" w:pos="846" w:val="left"/>
        </w:tabs>
        <w:numPr>
          <w:ilvl w:val="1"/>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Liabilities. </w:t>
      </w:r>
      <w:r>
        <w:rPr>
          <w:rFonts w:ascii="Arial" w:cs="Arial" w:eastAsia="Arial" w:hAnsi="Arial"/>
          <w:sz w:val="18"/>
          <w:szCs w:val="18"/>
          <w:color w:val="auto"/>
        </w:rPr>
        <w:t>If this Agreement is terminated pursuant to this Section 13, such termination shall be without liability of any party to any other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Section 8 hereof, and except that, in the case of any termination of this Agreement, Section 5, Section 10, Section 11, Section 12 and Section 22 hereof shall survive such termination and remain in full force and effect.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126" w:name="page127"/>
    <w:bookmarkEnd w:id="126"/>
    <w:p>
      <w:pPr>
        <w:ind w:right="6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 </w:t>
      </w:r>
      <w:r>
        <w:rPr>
          <w:rFonts w:ascii="Arial" w:cs="Arial" w:eastAsia="Arial" w:hAnsi="Arial"/>
          <w:sz w:val="17"/>
          <w:szCs w:val="17"/>
          <w:u w:val="single" w:color="auto"/>
          <w:color w:val="auto"/>
        </w:rPr>
        <w:t>Notices</w:t>
      </w:r>
      <w:r>
        <w:rPr>
          <w:rFonts w:ascii="Arial" w:cs="Arial" w:eastAsia="Arial" w:hAnsi="Arial"/>
          <w:sz w:val="17"/>
          <w:szCs w:val="17"/>
          <w:color w:val="auto"/>
        </w:rPr>
        <w:t>. Except as otherwise provided in this Agreement, all notices and other communications hereunder shall be in writing and shall be deemed to have been duly given if mailed or transmitted by any standard form of telecommunication. Notices to Citigroup shall be directed to Citigroup Global Markets Inc., 388 Greenwich Street, New York, New York 10013, Attention: General Counsel, fax no. (646) 291-14; notices to the Company shall be directed to it at 1626 East Jefferson Street, Rockville, Maryland 20852, Attention: General Counsel, fax no. (301) 998-3715.</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inure to the benefit of and be binding upon Citigroup, the Company and their respective successors. Nothing expressed or mentioned in this Agreement is intended or shall be construed to give any person, firm or corporation, other than Citigroup, the Company and their respective successors and the 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Citigroup, the Company and their respective successors, and said controlling persons and officers, trustees and directors and their heirs and legal representatives, and for the benefit of no other person, firm or corporation. No purchaser of Securities from Citigroup shall be deemed to be a successor by reason merely of such purchase.</w:t>
      </w:r>
    </w:p>
    <w:p>
      <w:pPr>
        <w:spacing w:after="0" w:line="16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stock-related numbers contained in this Agreement shall be adjusted to take into account any stock split, stock dividend or similar event effected with respect to the Securities.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SHALL BE GOVERNED BY AND CONSTRUED IN ACCORDANCE WITH THE LAWS OF THE STATE OF NEW YORK. SPECIFIED TIMES OF DAY REFER TO NEW YORK CITY TIME.</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124"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and Exhibit headings herein are for convenience only and shall not affect the construction hereof.</w:t>
      </w:r>
    </w:p>
    <w:p>
      <w:pPr>
        <w:spacing w:after="0" w:line="22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have the respective meanings set forth below: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the time of each sale of any Securities pursuant to this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means the Company’s Declaration of Trust, as amended.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127" w:name="page128"/>
    <w:bookmarkEnd w:id="1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EDGAR</w:t>
      </w:r>
      <w:r>
        <w:rPr>
          <w:rFonts w:ascii="Arial" w:cs="Arial" w:eastAsia="Arial" w:hAnsi="Arial"/>
          <w:sz w:val="18"/>
          <w:szCs w:val="18"/>
          <w:color w:val="auto"/>
        </w:rPr>
        <w:t>” means the Commission’s Electronic Data Gathering, Analysis and Retrieval system.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 in each case in the form furnished (electronically or otherwise) to Citigroup for use in connection with the offering of the Securities.</w:t>
      </w:r>
    </w:p>
    <w:p>
      <w:pPr>
        <w:spacing w:after="0" w:line="64"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Shares</w:t>
      </w:r>
      <w:r>
        <w:rPr>
          <w:rFonts w:ascii="Arial" w:cs="Arial" w:eastAsia="Arial" w:hAnsi="Arial"/>
          <w:sz w:val="16"/>
          <w:szCs w:val="16"/>
          <w:color w:val="auto"/>
        </w:rPr>
        <w:t>” means the Company’s preferred shares of beneficial interest, par value $.01 per share, including the Company’s outstanding 5.417% Series 1 Cumulative Convertible Preferred Shares and the Company’s outstanding 5.000% Series C Cumulative Redeemable Preferred Shares.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and the rules and regulations promulgated thereunder or implementing the provisions thereof.</w:t>
      </w:r>
    </w:p>
    <w:p>
      <w:pPr>
        <w:spacing w:after="0" w:line="170"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Securities by Citigroup outside of the United States.</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Permitted Free Writing Prospectuses</w:t>
      </w:r>
      <w:r>
        <w:rPr>
          <w:rFonts w:ascii="Arial" w:cs="Arial" w:eastAsia="Arial" w:hAnsi="Arial"/>
          <w:sz w:val="18"/>
          <w:szCs w:val="18"/>
          <w:color w:val="auto"/>
        </w:rPr>
        <w:t>. The Company represents, warrants and agrees that, unless it obtains the prior consent of Citigroup, and Citigroup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128" w:name="page129"/>
    <w:bookmarkEnd w:id="12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consented to by Citigroup or by the Company, as the case may be, is hereinafter referred to as a “</w:t>
      </w: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Exhibit F hereto are Permitted Free Writing Prospectuses.</w:t>
      </w:r>
    </w:p>
    <w:p>
      <w:pPr>
        <w:spacing w:after="0" w:line="188"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Absence of Fiduciary Relationship</w:t>
      </w:r>
      <w:r>
        <w:rPr>
          <w:rFonts w:ascii="Arial" w:cs="Arial" w:eastAsia="Arial" w:hAnsi="Arial"/>
          <w:sz w:val="16"/>
          <w:szCs w:val="16"/>
          <w:color w:val="auto"/>
        </w:rPr>
        <w:t>. The Company acknowledges and agrees that:</w:t>
      </w:r>
    </w:p>
    <w:p>
      <w:pPr>
        <w:spacing w:after="0" w:line="117" w:lineRule="exact"/>
        <w:rPr>
          <w:sz w:val="20"/>
          <w:szCs w:val="20"/>
          <w:color w:val="auto"/>
        </w:rPr>
      </w:pPr>
    </w:p>
    <w:p>
      <w:pPr>
        <w:ind w:right="60" w:firstLine="464"/>
        <w:spacing w:after="0" w:line="255" w:lineRule="auto"/>
        <w:tabs>
          <w:tab w:leader="none" w:pos="8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Citigroup is acting solely as agent and/or principal in connection with the public offering of the Securities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Citigroup, on the other hand, has been or will be created in respect of any of the transactions contemplated by this Agreement, irrespective of whether or not Citigroup has advised or is advising the Company on other matters, and Citigroup has no obligation to the Company with respect to the transactions contemplated by this Agreement except the obligations expressly set forth in this Agreement;</w:t>
      </w:r>
    </w:p>
    <w:p>
      <w:pPr>
        <w:spacing w:after="0" w:line="85" w:lineRule="exact"/>
        <w:rPr>
          <w:rFonts w:ascii="Arial" w:cs="Arial" w:eastAsia="Arial" w:hAnsi="Arial"/>
          <w:sz w:val="18"/>
          <w:szCs w:val="18"/>
          <w:color w:val="auto"/>
        </w:rPr>
      </w:pPr>
    </w:p>
    <w:p>
      <w:pPr>
        <w:ind w:left="860" w:hanging="396"/>
        <w:spacing w:after="0"/>
        <w:tabs>
          <w:tab w:leader="none" w:pos="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public offering or minimum market price of the Securities set forth in this Agreement was not established by Citigroup;</w:t>
      </w:r>
    </w:p>
    <w:p>
      <w:pPr>
        <w:spacing w:after="0" w:line="117" w:lineRule="exact"/>
        <w:rPr>
          <w:rFonts w:ascii="Arial" w:cs="Arial" w:eastAsia="Arial" w:hAnsi="Arial"/>
          <w:sz w:val="18"/>
          <w:szCs w:val="18"/>
          <w:color w:val="auto"/>
        </w:rPr>
      </w:pPr>
    </w:p>
    <w:p>
      <w:pPr>
        <w:ind w:right="20" w:firstLine="464"/>
        <w:spacing w:after="0" w:line="277" w:lineRule="auto"/>
        <w:tabs>
          <w:tab w:leader="none" w:pos="8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it is capable of evaluating and understanding, and understands and accepts, the terms, risks and conditions of the transactions contemplated by this Agreement;</w:t>
      </w:r>
    </w:p>
    <w:p>
      <w:pPr>
        <w:spacing w:after="0" w:line="62" w:lineRule="exact"/>
        <w:rPr>
          <w:rFonts w:ascii="Arial" w:cs="Arial" w:eastAsia="Arial" w:hAnsi="Arial"/>
          <w:sz w:val="18"/>
          <w:szCs w:val="18"/>
          <w:color w:val="auto"/>
        </w:rPr>
      </w:pPr>
    </w:p>
    <w:p>
      <w:pPr>
        <w:ind w:right="140" w:firstLine="464"/>
        <w:spacing w:after="0" w:line="277" w:lineRule="auto"/>
        <w:tabs>
          <w:tab w:leader="none" w:pos="84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Citigroup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62" w:lineRule="exact"/>
        <w:rPr>
          <w:rFonts w:ascii="Arial" w:cs="Arial" w:eastAsia="Arial" w:hAnsi="Arial"/>
          <w:sz w:val="18"/>
          <w:szCs w:val="18"/>
          <w:color w:val="auto"/>
        </w:rPr>
      </w:pPr>
    </w:p>
    <w:p>
      <w:pPr>
        <w:ind w:right="380" w:firstLine="464"/>
        <w:spacing w:after="0" w:line="264" w:lineRule="auto"/>
        <w:tabs>
          <w:tab w:leader="none" w:pos="8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it is aware that Citigroup and its respective affiliates are engaged in a broad range of transactions which may involve interests that differ from those of the Company and Citigroup has no obligation to disclose such interests and transactions to the Company by virtue of any fiduciary, advisory or agency relationship or otherwise; and</w:t>
      </w:r>
    </w:p>
    <w:p>
      <w:pPr>
        <w:spacing w:after="0" w:line="73" w:lineRule="exact"/>
        <w:rPr>
          <w:rFonts w:ascii="Arial" w:cs="Arial" w:eastAsia="Arial" w:hAnsi="Arial"/>
          <w:sz w:val="18"/>
          <w:szCs w:val="18"/>
          <w:color w:val="auto"/>
        </w:rPr>
      </w:pPr>
    </w:p>
    <w:p>
      <w:pPr>
        <w:ind w:firstLine="464"/>
        <w:spacing w:after="0" w:line="286" w:lineRule="auto"/>
        <w:tabs>
          <w:tab w:leader="none" w:pos="81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it waives, to the fullest extent permitted by law, any claims it may have against Citigroup for breach of fiduciary duty or alleged breach of fiduciary duty and agrees that Citigroup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29" w:name="page130"/>
    <w:bookmarkEnd w:id="129"/>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between Citigroup Global Markets Inc. and the Company in accordance with its terms.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Guglielmone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-130810</wp:posOffset>
            </wp:positionV>
            <wp:extent cx="27527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7"/>
          <w:szCs w:val="17"/>
          <w:color w:val="auto"/>
        </w:rPr>
        <w:t>Title:</w:t>
        <w:tab/>
        <w:t>Executive Vice President-Chief Financial Officer and</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 GLOBAL MARKETS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Adam Pozza</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Adam Pozza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-130810</wp:posOffset>
            </wp:positionV>
            <wp:extent cx="27527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ATM Equity Distribution Agreement Signature Page</w:t>
      </w:r>
    </w:p>
    <w:p>
      <w:pPr>
        <w:sectPr>
          <w:pgSz w:w="11900" w:h="16838" w:orient="portrait"/>
          <w:cols w:equalWidth="0" w:num="1">
            <w:col w:w="11400"/>
          </w:cols>
          <w:pgMar w:left="240" w:top="274" w:right="259" w:bottom="1440" w:gutter="0" w:footer="0" w:header="0"/>
        </w:sectPr>
      </w:pPr>
    </w:p>
    <w:bookmarkStart w:id="130" w:name="page131"/>
    <w:bookmarkEnd w:id="13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FORM OF PLACEMENT NOTICE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From:</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Cc:</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To:</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Subject: Equity Distribution—Placement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Pursuant to the terms and subject to the conditions contained in the Equity Distribution Agreement between Federal Realty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and Citigroup Global Markets Inc. (“</w:t>
      </w:r>
      <w:r>
        <w:rPr>
          <w:rFonts w:ascii="Arial" w:cs="Arial" w:eastAsia="Arial" w:hAnsi="Arial"/>
          <w:sz w:val="18"/>
          <w:szCs w:val="18"/>
          <w:u w:val="single" w:color="auto"/>
          <w:color w:val="auto"/>
        </w:rPr>
        <w:t>Citigroup</w:t>
      </w:r>
      <w:r>
        <w:rPr>
          <w:rFonts w:ascii="Arial" w:cs="Arial" w:eastAsia="Arial" w:hAnsi="Arial"/>
          <w:sz w:val="18"/>
          <w:szCs w:val="18"/>
          <w:color w:val="auto"/>
        </w:rPr>
        <w:t>”), dated May 7, 2018 (the “</w:t>
      </w:r>
      <w:r>
        <w:rPr>
          <w:rFonts w:ascii="Arial" w:cs="Arial" w:eastAsia="Arial" w:hAnsi="Arial"/>
          <w:sz w:val="18"/>
          <w:szCs w:val="18"/>
          <w:u w:val="single" w:color="auto"/>
          <w:color w:val="auto"/>
        </w:rPr>
        <w:t>Agreement</w:t>
      </w:r>
      <w:r>
        <w:rPr>
          <w:rFonts w:ascii="Arial" w:cs="Arial" w:eastAsia="Arial" w:hAnsi="Arial"/>
          <w:sz w:val="18"/>
          <w:szCs w:val="18"/>
          <w:color w:val="auto"/>
        </w:rPr>
        <w:t>”), I hereby request on behalf of the Company that Citigroup sell up to [*] (“</w:t>
      </w:r>
      <w:r>
        <w:rPr>
          <w:rFonts w:ascii="Arial" w:cs="Arial" w:eastAsia="Arial" w:hAnsi="Arial"/>
          <w:sz w:val="18"/>
          <w:szCs w:val="18"/>
          <w:u w:val="single" w:color="auto"/>
          <w:color w:val="auto"/>
        </w:rPr>
        <w:t>Placement Securities</w:t>
      </w:r>
      <w:r>
        <w:rPr>
          <w:rFonts w:ascii="Arial" w:cs="Arial" w:eastAsia="Arial" w:hAnsi="Arial"/>
          <w:sz w:val="18"/>
          <w:szCs w:val="18"/>
          <w:color w:val="auto"/>
        </w:rPr>
        <w:t>”) of the Company’s common shares of beneficial interest, par value $.01 per share, at a minimum market price of $[*] per share, and agree that the Company will pay Citigroup, as compensation for such sales, [*]% of the gross sales price of Placement Securities sold pursuant to the terms of this Placement Notice.</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ADDITIONAL SALES PARAMETERS MAY BE ADDED, SUCH AS THE TIME PERIOD IN WHICH SALES ARE REQUESTED TO BE MADE, SPECIFIC DATES THE SHARES MAY NOT BE SOLD ON, THE MANNER IN WHICH SALES ARE TO BE MADE BY CITIGROUP AND/OR THE CAPACITY IN WHICH CITIGROUP MAY ACT IN SELLING SHARES (AS PRINCIPAL, AGENT, OR BOTH).</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 A-1</w:t>
      </w:r>
    </w:p>
    <w:p>
      <w:pPr>
        <w:sectPr>
          <w:pgSz w:w="11900" w:h="16838" w:orient="portrait"/>
          <w:cols w:equalWidth="0" w:num="1">
            <w:col w:w="11360"/>
          </w:cols>
          <w:pgMar w:left="240" w:top="274" w:right="299" w:bottom="1440" w:gutter="0" w:footer="0" w:header="0"/>
        </w:sectPr>
      </w:pPr>
    </w:p>
    <w:bookmarkStart w:id="131" w:name="page132"/>
    <w:bookmarkEnd w:id="131"/>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u w:val="single" w:color="auto"/>
          <w:color w:val="auto"/>
        </w:rPr>
        <w:t>AUTHORIZED INDIVIDUALS FOR PLACEMENT NOTICES AND ACCEPTANCES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Citigroup Global Markets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3"/>
          </w:tcPr>
          <w:p>
            <w:pPr>
              <w:jc w:val="center"/>
              <w:ind w:right="1420"/>
              <w:spacing w:after="0"/>
              <w:rPr>
                <w:sz w:val="20"/>
                <w:szCs w:val="20"/>
                <w:color w:val="auto"/>
              </w:rPr>
            </w:pPr>
            <w:r>
              <w:rPr>
                <w:rFonts w:ascii="Arial" w:cs="Arial" w:eastAsia="Arial" w:hAnsi="Arial"/>
                <w:sz w:val="14"/>
                <w:szCs w:val="14"/>
                <w:color w:val="auto"/>
                <w:w w:val="96"/>
              </w:rPr>
              <w:t>Name</w:t>
            </w:r>
          </w:p>
        </w:tc>
        <w:tc>
          <w:tcPr>
            <w:tcW w:w="5220" w:type="dxa"/>
            <w:vAlign w:val="bottom"/>
            <w:gridSpan w:val="3"/>
          </w:tcPr>
          <w:p>
            <w:pPr>
              <w:jc w:val="center"/>
              <w:ind w:left="3136"/>
              <w:spacing w:after="0"/>
              <w:rPr>
                <w:sz w:val="20"/>
                <w:szCs w:val="20"/>
                <w:color w:val="auto"/>
              </w:rPr>
            </w:pPr>
            <w:r>
              <w:rPr>
                <w:rFonts w:ascii="Arial" w:cs="Arial" w:eastAsia="Arial" w:hAnsi="Arial"/>
                <w:sz w:val="14"/>
                <w:szCs w:val="14"/>
                <w:color w:val="auto"/>
              </w:rPr>
              <w:t>Email</w:t>
            </w:r>
          </w:p>
        </w:tc>
      </w:tr>
      <w:tr>
        <w:trPr>
          <w:trHeight w:val="304"/>
        </w:trPr>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40" w:type="dxa"/>
            <w:vAlign w:val="bottom"/>
            <w:gridSpan w:val="2"/>
          </w:tcPr>
          <w:p>
            <w:pPr>
              <w:spacing w:after="0"/>
              <w:rPr>
                <w:sz w:val="24"/>
                <w:szCs w:val="24"/>
                <w:color w:val="auto"/>
              </w:rPr>
            </w:pPr>
          </w:p>
        </w:tc>
        <w:tc>
          <w:tcPr>
            <w:tcW w:w="4060" w:type="dxa"/>
            <w:vAlign w:val="bottom"/>
          </w:tcPr>
          <w:p>
            <w:pPr>
              <w:spacing w:after="0"/>
              <w:rPr>
                <w:sz w:val="24"/>
                <w:szCs w:val="24"/>
                <w:color w:val="auto"/>
              </w:rPr>
            </w:pPr>
          </w:p>
        </w:tc>
        <w:tc>
          <w:tcPr>
            <w:tcW w:w="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r>
      <w:tr>
        <w:trPr>
          <w:trHeight w:val="324"/>
        </w:trPr>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3"/>
          </w:tcPr>
          <w:p>
            <w:pPr>
              <w:jc w:val="center"/>
              <w:ind w:right="1420"/>
              <w:spacing w:after="0"/>
              <w:rPr>
                <w:sz w:val="20"/>
                <w:szCs w:val="20"/>
                <w:color w:val="auto"/>
              </w:rPr>
            </w:pPr>
            <w:r>
              <w:rPr>
                <w:rFonts w:ascii="Arial" w:cs="Arial" w:eastAsia="Arial" w:hAnsi="Arial"/>
                <w:sz w:val="18"/>
                <w:szCs w:val="18"/>
                <w:color w:val="auto"/>
              </w:rPr>
              <w:t>[•]</w:t>
            </w:r>
          </w:p>
        </w:tc>
        <w:tc>
          <w:tcPr>
            <w:tcW w:w="4060" w:type="dxa"/>
            <w:vAlign w:val="bottom"/>
          </w:tcPr>
          <w:p>
            <w:pPr>
              <w:spacing w:after="0"/>
              <w:rPr>
                <w:sz w:val="24"/>
                <w:szCs w:val="24"/>
                <w:color w:val="auto"/>
              </w:rPr>
            </w:pPr>
          </w:p>
        </w:tc>
        <w:tc>
          <w:tcPr>
            <w:tcW w:w="1160" w:type="dxa"/>
            <w:vAlign w:val="bottom"/>
            <w:gridSpan w:val="2"/>
          </w:tcPr>
          <w:p>
            <w:pPr>
              <w:jc w:val="center"/>
              <w:ind w:right="840"/>
              <w:spacing w:after="0"/>
              <w:rPr>
                <w:sz w:val="20"/>
                <w:szCs w:val="20"/>
                <w:color w:val="auto"/>
              </w:rPr>
            </w:pPr>
            <w:r>
              <w:rPr>
                <w:rFonts w:ascii="Arial" w:cs="Arial" w:eastAsia="Arial" w:hAnsi="Arial"/>
                <w:sz w:val="18"/>
                <w:szCs w:val="18"/>
                <w:color w:val="auto"/>
              </w:rPr>
              <w:t>[•]</w:t>
            </w:r>
          </w:p>
        </w:tc>
      </w:tr>
      <w:tr>
        <w:trPr>
          <w:trHeight w:val="500"/>
        </w:trPr>
        <w:tc>
          <w:tcPr>
            <w:tcW w:w="4520" w:type="dxa"/>
            <w:vAlign w:val="bottom"/>
            <w:gridSpan w:val="5"/>
          </w:tcPr>
          <w:p>
            <w:pPr>
              <w:spacing w:after="0"/>
              <w:rPr>
                <w:sz w:val="20"/>
                <w:szCs w:val="20"/>
                <w:color w:val="auto"/>
              </w:rPr>
            </w:pPr>
            <w:r>
              <w:rPr>
                <w:rFonts w:ascii="Arial" w:cs="Arial" w:eastAsia="Arial" w:hAnsi="Arial"/>
                <w:sz w:val="18"/>
                <w:szCs w:val="18"/>
                <w:b w:val="1"/>
                <w:bCs w:val="1"/>
                <w:color w:val="auto"/>
              </w:rPr>
              <w:t>Federal Realty Investment Trust</w:t>
            </w:r>
          </w:p>
        </w:tc>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2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color w:val="auto"/>
                <w:w w:val="96"/>
              </w:rPr>
              <w:t>Name</w:t>
            </w:r>
          </w:p>
        </w:tc>
        <w:tc>
          <w:tcPr>
            <w:tcW w:w="1420" w:type="dxa"/>
            <w:vAlign w:val="bottom"/>
          </w:tcPr>
          <w:p>
            <w:pPr>
              <w:spacing w:after="0"/>
              <w:rPr>
                <w:sz w:val="24"/>
                <w:szCs w:val="24"/>
                <w:color w:val="auto"/>
              </w:rPr>
            </w:pPr>
          </w:p>
        </w:tc>
        <w:tc>
          <w:tcPr>
            <w:tcW w:w="5220" w:type="dxa"/>
            <w:vAlign w:val="bottom"/>
            <w:gridSpan w:val="3"/>
          </w:tcPr>
          <w:p>
            <w:pPr>
              <w:jc w:val="center"/>
              <w:ind w:left="3136"/>
              <w:spacing w:after="0"/>
              <w:rPr>
                <w:sz w:val="20"/>
                <w:szCs w:val="20"/>
                <w:color w:val="auto"/>
              </w:rPr>
            </w:pPr>
            <w:r>
              <w:rPr>
                <w:rFonts w:ascii="Arial" w:cs="Arial" w:eastAsia="Arial" w:hAnsi="Arial"/>
                <w:sz w:val="14"/>
                <w:szCs w:val="14"/>
                <w:color w:val="auto"/>
              </w:rPr>
              <w:t>Email</w:t>
            </w:r>
          </w:p>
        </w:tc>
      </w:tr>
      <w:tr>
        <w:trPr>
          <w:trHeight w:val="20"/>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04"/>
        </w:trPr>
        <w:tc>
          <w:tcPr>
            <w:tcW w:w="2500" w:type="dxa"/>
            <w:vAlign w:val="bottom"/>
          </w:tcPr>
          <w:p>
            <w:pPr>
              <w:spacing w:after="0"/>
              <w:rPr>
                <w:sz w:val="24"/>
                <w:szCs w:val="24"/>
                <w:color w:val="auto"/>
              </w:rPr>
            </w:pPr>
          </w:p>
        </w:tc>
        <w:tc>
          <w:tcPr>
            <w:tcW w:w="2020" w:type="dxa"/>
            <w:vAlign w:val="bottom"/>
            <w:gridSpan w:val="4"/>
          </w:tcPr>
          <w:p>
            <w:pPr>
              <w:jc w:val="center"/>
              <w:ind w:right="1200"/>
              <w:spacing w:after="0"/>
              <w:rPr>
                <w:sz w:val="20"/>
                <w:szCs w:val="20"/>
                <w:color w:val="auto"/>
              </w:rPr>
            </w:pPr>
            <w:r>
              <w:rPr>
                <w:rFonts w:ascii="Arial" w:cs="Arial" w:eastAsia="Arial" w:hAnsi="Arial"/>
                <w:sz w:val="18"/>
                <w:szCs w:val="18"/>
                <w:color w:val="auto"/>
                <w:w w:val="91"/>
              </w:rPr>
              <w:t>Don Wood</w:t>
            </w:r>
          </w:p>
        </w:tc>
        <w:tc>
          <w:tcPr>
            <w:tcW w:w="5220" w:type="dxa"/>
            <w:vAlign w:val="bottom"/>
            <w:gridSpan w:val="3"/>
          </w:tcPr>
          <w:p>
            <w:pPr>
              <w:jc w:val="center"/>
              <w:ind w:left="3136"/>
              <w:spacing w:after="0"/>
              <w:rPr>
                <w:sz w:val="20"/>
                <w:szCs w:val="20"/>
                <w:color w:val="auto"/>
              </w:rPr>
            </w:pPr>
            <w:r>
              <w:rPr>
                <w:rFonts w:ascii="Arial" w:cs="Arial" w:eastAsia="Arial" w:hAnsi="Arial"/>
                <w:sz w:val="18"/>
                <w:szCs w:val="18"/>
                <w:color w:val="auto"/>
                <w:w w:val="91"/>
              </w:rPr>
              <w:t>dwood@federalrealty.com</w:t>
            </w:r>
          </w:p>
        </w:tc>
      </w:tr>
      <w:tr>
        <w:trPr>
          <w:trHeight w:val="324"/>
        </w:trPr>
        <w:tc>
          <w:tcPr>
            <w:tcW w:w="4520" w:type="dxa"/>
            <w:vAlign w:val="bottom"/>
            <w:gridSpan w:val="5"/>
          </w:tcPr>
          <w:p>
            <w:pPr>
              <w:jc w:val="center"/>
              <w:ind w:left="1230"/>
              <w:spacing w:after="0"/>
              <w:rPr>
                <w:sz w:val="20"/>
                <w:szCs w:val="20"/>
                <w:color w:val="auto"/>
              </w:rPr>
            </w:pPr>
            <w:r>
              <w:rPr>
                <w:rFonts w:ascii="Arial" w:cs="Arial" w:eastAsia="Arial" w:hAnsi="Arial"/>
                <w:sz w:val="18"/>
                <w:szCs w:val="18"/>
                <w:color w:val="auto"/>
                <w:w w:val="93"/>
              </w:rPr>
              <w:t>Dawn Becker</w:t>
            </w:r>
          </w:p>
        </w:tc>
        <w:tc>
          <w:tcPr>
            <w:tcW w:w="5220" w:type="dxa"/>
            <w:vAlign w:val="bottom"/>
            <w:gridSpan w:val="3"/>
          </w:tcPr>
          <w:p>
            <w:pPr>
              <w:jc w:val="center"/>
              <w:ind w:left="3136"/>
              <w:spacing w:after="0"/>
              <w:rPr>
                <w:sz w:val="20"/>
                <w:szCs w:val="20"/>
                <w:color w:val="auto"/>
              </w:rPr>
            </w:pPr>
            <w:r>
              <w:rPr>
                <w:rFonts w:ascii="Arial" w:cs="Arial" w:eastAsia="Arial" w:hAnsi="Arial"/>
                <w:sz w:val="18"/>
                <w:szCs w:val="18"/>
                <w:color w:val="auto"/>
                <w:w w:val="90"/>
              </w:rPr>
              <w:t>dbecker@federalrealty.com</w:t>
            </w:r>
          </w:p>
        </w:tc>
      </w:tr>
      <w:tr>
        <w:trPr>
          <w:trHeight w:val="324"/>
        </w:trPr>
        <w:tc>
          <w:tcPr>
            <w:tcW w:w="4520" w:type="dxa"/>
            <w:vAlign w:val="bottom"/>
            <w:gridSpan w:val="5"/>
          </w:tcPr>
          <w:p>
            <w:pPr>
              <w:jc w:val="center"/>
              <w:ind w:left="1230"/>
              <w:spacing w:after="0"/>
              <w:rPr>
                <w:sz w:val="20"/>
                <w:szCs w:val="20"/>
                <w:color w:val="auto"/>
              </w:rPr>
            </w:pPr>
            <w:r>
              <w:rPr>
                <w:rFonts w:ascii="Arial" w:cs="Arial" w:eastAsia="Arial" w:hAnsi="Arial"/>
                <w:sz w:val="18"/>
                <w:szCs w:val="18"/>
                <w:color w:val="auto"/>
                <w:w w:val="94"/>
              </w:rPr>
              <w:t>Daniel Guglielmone</w:t>
            </w:r>
          </w:p>
        </w:tc>
        <w:tc>
          <w:tcPr>
            <w:tcW w:w="5220" w:type="dxa"/>
            <w:vAlign w:val="bottom"/>
            <w:gridSpan w:val="3"/>
          </w:tcPr>
          <w:p>
            <w:pPr>
              <w:jc w:val="center"/>
              <w:ind w:left="3136"/>
              <w:spacing w:after="0"/>
              <w:rPr>
                <w:sz w:val="20"/>
                <w:szCs w:val="20"/>
                <w:color w:val="auto"/>
              </w:rPr>
            </w:pPr>
            <w:r>
              <w:rPr>
                <w:rFonts w:ascii="Arial" w:cs="Arial" w:eastAsia="Arial" w:hAnsi="Arial"/>
                <w:sz w:val="18"/>
                <w:szCs w:val="18"/>
                <w:color w:val="auto"/>
                <w:w w:val="89"/>
              </w:rPr>
              <w:t>dang@federalrealty.com</w:t>
            </w:r>
          </w:p>
        </w:tc>
      </w:tr>
      <w:tr>
        <w:trPr>
          <w:trHeight w:val="365"/>
        </w:trPr>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20" w:type="dxa"/>
            <w:vAlign w:val="bottom"/>
            <w:gridSpan w:val="3"/>
          </w:tcPr>
          <w:p>
            <w:pPr>
              <w:ind w:left="860"/>
              <w:spacing w:after="0"/>
              <w:rPr>
                <w:sz w:val="20"/>
                <w:szCs w:val="20"/>
                <w:color w:val="auto"/>
              </w:rPr>
            </w:pPr>
            <w:r>
              <w:rPr>
                <w:rFonts w:ascii="Arial" w:cs="Arial" w:eastAsia="Arial" w:hAnsi="Arial"/>
                <w:sz w:val="18"/>
                <w:szCs w:val="18"/>
                <w:color w:val="auto"/>
              </w:rPr>
              <w:t>Exh. B-1</w:t>
            </w:r>
          </w:p>
        </w:tc>
      </w:tr>
    </w:tbl>
    <w:p>
      <w:pPr>
        <w:sectPr>
          <w:pgSz w:w="11900" w:h="16838" w:orient="portrait"/>
          <w:cols w:equalWidth="0" w:num="1">
            <w:col w:w="10219"/>
          </w:cols>
          <w:pgMar w:left="240" w:top="274" w:right="1440" w:bottom="1440" w:gutter="0" w:footer="0" w:header="0"/>
        </w:sectPr>
      </w:pPr>
    </w:p>
    <w:bookmarkStart w:id="132" w:name="page133"/>
    <w:bookmarkEnd w:id="132"/>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Citigroup shall be paid compensation at a mutually agreed rate not to exceed 2.00% of the gross sales price of Securities sold pursuant to the terms of this Agreement.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Exh. C-1</w:t>
      </w:r>
    </w:p>
    <w:p>
      <w:pPr>
        <w:sectPr>
          <w:pgSz w:w="11900" w:h="16838" w:orient="portrait"/>
          <w:cols w:equalWidth="0" w:num="1">
            <w:col w:w="11220"/>
          </w:cols>
          <w:pgMar w:left="240" w:top="274" w:right="439" w:bottom="1440" w:gutter="0" w:footer="0" w:header="0"/>
        </w:sectPr>
      </w:pPr>
    </w:p>
    <w:bookmarkStart w:id="133" w:name="page134"/>
    <w:bookmarkEnd w:id="133"/>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FORM OF OPINION OF PILLSBURY WINTHROP SHAW PITTMAN LLP (CORPORATE)</w:t>
      </w:r>
    </w:p>
    <w:p>
      <w:pPr>
        <w:sectPr>
          <w:pgSz w:w="11900" w:h="16838" w:orient="portrait"/>
          <w:cols w:equalWidth="0" w:num="1">
            <w:col w:w="9019"/>
          </w:cols>
          <w:pgMar w:left="1440" w:top="274" w:right="1440"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OPINION OF PILLSBURY WINTHROP SHAW PITTMAN LLP (TAX)</w:t>
      </w:r>
    </w:p>
    <w:p>
      <w:pPr>
        <w:sectPr>
          <w:pgSz w:w="11900" w:h="16838" w:orient="portrait"/>
          <w:cols w:equalWidth="0" w:num="1">
            <w:col w:w="9019"/>
          </w:cols>
          <w:pgMar w:left="1440" w:top="274" w:right="1440"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 CERTIFICATE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undersigned, [*], the duly qualified and elected [*] of Federal Realty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a Maryland real estate investment trust, does hereby certify on behalf of the Company, pursuant to Section 7(o) of the Equity Distribution Agreement dated May [7], 2018 (the “</w:t>
      </w:r>
      <w:r>
        <w:rPr>
          <w:rFonts w:ascii="Arial" w:cs="Arial" w:eastAsia="Arial" w:hAnsi="Arial"/>
          <w:sz w:val="18"/>
          <w:szCs w:val="18"/>
          <w:u w:val="single" w:color="auto"/>
          <w:color w:val="auto"/>
        </w:rPr>
        <w:t>Agreement</w:t>
      </w:r>
      <w:r>
        <w:rPr>
          <w:rFonts w:ascii="Arial" w:cs="Arial" w:eastAsia="Arial" w:hAnsi="Arial"/>
          <w:sz w:val="18"/>
          <w:szCs w:val="18"/>
          <w:color w:val="auto"/>
        </w:rPr>
        <w:t>”) between the Company and Citigroup Global Markets Inc. (the “</w:t>
      </w:r>
      <w:r>
        <w:rPr>
          <w:rFonts w:ascii="Arial" w:cs="Arial" w:eastAsia="Arial" w:hAnsi="Arial"/>
          <w:sz w:val="18"/>
          <w:szCs w:val="18"/>
          <w:u w:val="single" w:color="auto"/>
          <w:color w:val="auto"/>
        </w:rPr>
        <w:t>Agent</w:t>
      </w:r>
      <w:r>
        <w:rPr>
          <w:rFonts w:ascii="Arial" w:cs="Arial" w:eastAsia="Arial" w:hAnsi="Arial"/>
          <w:sz w:val="18"/>
          <w:szCs w:val="18"/>
          <w:color w:val="auto"/>
        </w:rPr>
        <w:t>”), that to the knowledge of the undersigned:</w:t>
      </w:r>
    </w:p>
    <w:p>
      <w:pPr>
        <w:spacing w:after="0" w:line="73" w:lineRule="exact"/>
        <w:rPr>
          <w:sz w:val="20"/>
          <w:szCs w:val="20"/>
          <w:color w:val="auto"/>
        </w:rPr>
      </w:pPr>
    </w:p>
    <w:p>
      <w:pPr>
        <w:ind w:right="20" w:firstLine="464"/>
        <w:spacing w:after="0" w:line="255" w:lineRule="auto"/>
        <w:tabs>
          <w:tab w:leader="none" w:pos="80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81" w:lineRule="exact"/>
        <w:rPr>
          <w:rFonts w:ascii="Arial" w:cs="Arial" w:eastAsia="Arial" w:hAnsi="Arial"/>
          <w:sz w:val="18"/>
          <w:szCs w:val="18"/>
          <w:color w:val="auto"/>
        </w:rPr>
      </w:pPr>
    </w:p>
    <w:p>
      <w:pPr>
        <w:ind w:right="640" w:firstLine="464"/>
        <w:spacing w:after="0" w:line="277" w:lineRule="auto"/>
        <w:tabs>
          <w:tab w:leader="none" w:pos="85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agreements and satisfied all conditions on its part to be performed or satisfied pursuant to the Agreement at or prior to the date hereof (other than those conditions waived by the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but not otherwise defined shall have the meanings assigned to such terms in the Agreement.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E-1</w:t>
      </w:r>
    </w:p>
    <w:p>
      <w:pPr>
        <w:sectPr>
          <w:pgSz w:w="11900" w:h="16838" w:orient="portrait"/>
          <w:cols w:equalWidth="0" w:num="1">
            <w:col w:w="11420"/>
          </w:cols>
          <w:pgMar w:left="240" w:top="274"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PERMITTED FREE WRITING PROSPECTUSES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acting as counsel for Federal Realty Investment Trust, a Maryland real estate investment trust (the “Company”), in connection with the issuance and sale, from time to time, of up to $400,000,000 aggregate offering price of common shares of beneficial interest (the “Shares”), par value $0.01 per share, of the Company, all of which are authorized but heretofore unissued shares to be offered and sold by the Company, pursuant to the Registration Statement on Form S-3 (Registration No. 333-224701) (the “Registration Statement”), filed by the Company with the Securities and Exchange Commission (the “Commission”) under the Securities Act of 1933 (the “Act”), and related prospectus, dated May 7, 2018, as supplemented by the prospectus supplement dated May 7, 2018 relating to the offer and sale of the Shares (as so supplemented, the “Prospectus”).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reviewed and are familiar with such documents, corporate proceedings and other matters as we have considered relevant or necessary as a basis for the opinions in this letter. Based on the foregoing, we are of the opinion that the Shares have been duly authorized and, when issued and sold by the Company in the manner described in the Registration Statement and the Prospectus and in accordance with the resolutions adopted by the Board of Trustees of the Company, will be validly issued, fully paid and nonassessable.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in this letter are limited to the laws of the State of Maryland as in effect on the date hereof.</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Company’s Current Report on Form 8-K filed by the Company with the Commission on the date hereof and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8.1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a prospectus (the “Base Prospectus”), a prospectus supplement, and all documents incorporated and deemed to be incorporated by reference therein, on May 7, 2018 with the Securities and Exchange Commission.</w:t>
      </w:r>
    </w:p>
    <w:p>
      <w:pPr>
        <w:spacing w:after="0" w:line="18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w:t>
      </w:r>
    </w:p>
    <w:p>
      <w:pPr>
        <w:sectPr>
          <w:pgSz w:w="11900" w:h="16838" w:orient="portrait"/>
          <w:cols w:equalWidth="0" w:num="1">
            <w:col w:w="11420"/>
          </w:cols>
          <w:pgMar w:left="240" w:top="121" w:right="239" w:bottom="1440" w:gutter="0" w:footer="0" w:header="0"/>
        </w:sectPr>
      </w:pPr>
    </w:p>
    <w:bookmarkStart w:id="139" w:name="page140"/>
    <w:bookmarkEnd w:id="13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2018;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(2018) taxable year and for future taxable years, and (iii) the discussions in (x) the Base Prospectus under the caption “Material Federal Income Tax Considerations,” and (y) the Company’s Annual Report on Form 10-K for the year ended December 31, 2017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can own,” and “Risk Factors–U.S. federal tax reform legislation now and in the future could affect REITs, both positively and negatively, in ways that are difficult to anticipate,”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8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20"/>
          </w:cols>
          <w:pgMar w:left="240" w:top="274" w:right="239" w:bottom="1440" w:gutter="0" w:footer="0" w:header="0"/>
        </w:sectPr>
      </w:pPr>
    </w:p>
    <w:bookmarkStart w:id="140" w:name="page141"/>
    <w:bookmarkEnd w:id="140"/>
    <w:p>
      <w:pPr>
        <w:ind w:right="4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1)"/>
      <w:numFmt w:val="lowerLetter"/>
      <w:start w:val="3"/>
    </w:lvl>
  </w:abstractNum>
  <w:abstractNum w:abstractNumId="2">
    <w:nsid w:val="98A3148"/>
    <w:multiLevelType w:val="hybridMultilevel"/>
    <w:lvl w:ilvl="0">
      <w:lvlJc w:val="left"/>
      <w:lvlText w:val="(%1)"/>
      <w:numFmt w:val="lowerLetter"/>
      <w:start w:val="1"/>
    </w:lvl>
    <w:lvl w:ilvl="1">
      <w:lvlJc w:val="left"/>
      <w:lvlText w:val="(%2)"/>
      <w:numFmt w:val="decimal"/>
      <w:start w:val="1"/>
    </w:lvl>
  </w:abstractNum>
  <w:abstractNum w:abstractNumId="3">
    <w:nsid w:val="799D0247"/>
    <w:multiLevelType w:val="hybridMultilevel"/>
    <w:lvl w:ilvl="0">
      <w:lvlJc w:val="left"/>
      <w:lvlText w:val="(%1)"/>
      <w:numFmt w:val="lowerRoman"/>
      <w:start w:val="1"/>
    </w:lvl>
  </w:abstractNum>
  <w:abstractNum w:abstractNumId="4">
    <w:nsid w:val="6B94764"/>
    <w:multiLevelType w:val="hybridMultilevel"/>
    <w:lvl w:ilvl="0">
      <w:lvlJc w:val="left"/>
      <w:lvlText w:val="(%1)"/>
      <w:numFmt w:val="decimal"/>
      <w:start w:val="2"/>
    </w:lvl>
  </w:abstractNum>
  <w:abstractNum w:abstractNumId="5">
    <w:nsid w:val="42C296BD"/>
    <w:multiLevelType w:val="hybridMultilevel"/>
    <w:lvl w:ilvl="0">
      <w:lvlJc w:val="left"/>
      <w:lvlText w:val="(%1)"/>
      <w:numFmt w:val="decimal"/>
      <w:start w:val="4"/>
    </w:lvl>
  </w:abstractNum>
  <w:abstractNum w:abstractNumId="6">
    <w:nsid w:val="168E121F"/>
    <w:multiLevelType w:val="hybridMultilevel"/>
    <w:lvl w:ilvl="0">
      <w:lvlJc w:val="left"/>
      <w:lvlText w:val="(%1)"/>
      <w:numFmt w:val="decimal"/>
      <w:start w:val="5"/>
    </w:lvl>
  </w:abstractNum>
  <w:abstractNum w:abstractNumId="7">
    <w:nsid w:val="1EBA5D23"/>
    <w:multiLevelType w:val="hybridMultilevel"/>
    <w:lvl w:ilvl="0">
      <w:lvlJc w:val="left"/>
      <w:lvlText w:val="(%1)"/>
      <w:numFmt w:val="decimal"/>
      <w:start w:val="9"/>
    </w:lvl>
  </w:abstractNum>
  <w:abstractNum w:abstractNumId="8">
    <w:nsid w:val="661E3F1E"/>
    <w:multiLevelType w:val="hybridMultilevel"/>
    <w:lvl w:ilvl="0">
      <w:lvlJc w:val="left"/>
      <w:lvlText w:val="(%1)"/>
      <w:numFmt w:val="decimal"/>
      <w:start w:val="12"/>
    </w:lvl>
  </w:abstractNum>
  <w:abstractNum w:abstractNumId="9">
    <w:nsid w:val="5DC79EA8"/>
    <w:multiLevelType w:val="hybridMultilevel"/>
    <w:lvl w:ilvl="0">
      <w:lvlJc w:val="left"/>
      <w:lvlText w:val="(%1)"/>
      <w:numFmt w:val="decimal"/>
      <w:start w:val="17"/>
    </w:lvl>
  </w:abstractNum>
  <w:abstractNum w:abstractNumId="10">
    <w:nsid w:val="540A471C"/>
    <w:multiLevelType w:val="hybridMultilevel"/>
    <w:lvl w:ilvl="0">
      <w:lvlJc w:val="left"/>
      <w:lvlText w:val="(%1)"/>
      <w:numFmt w:val="decimal"/>
      <w:start w:val="21"/>
    </w:lvl>
  </w:abstractNum>
  <w:abstractNum w:abstractNumId="11">
    <w:nsid w:val="7BD3EE7B"/>
    <w:multiLevelType w:val="hybridMultilevel"/>
    <w:lvl w:ilvl="0">
      <w:lvlJc w:val="left"/>
      <w:lvlText w:val="(%1)"/>
      <w:numFmt w:val="decimal"/>
      <w:start w:val="25"/>
    </w:lvl>
  </w:abstractNum>
  <w:abstractNum w:abstractNumId="12">
    <w:nsid w:val="51D9C564"/>
    <w:multiLevelType w:val="hybridMultilevel"/>
    <w:lvl w:ilvl="0">
      <w:lvlJc w:val="left"/>
      <w:lvlText w:val="(%1)"/>
      <w:numFmt w:val="lowerLetter"/>
      <w:start w:val="2"/>
    </w:lvl>
  </w:abstractNum>
  <w:abstractNum w:abstractNumId="13">
    <w:nsid w:val="613EFDC5"/>
    <w:multiLevelType w:val="hybridMultilevel"/>
    <w:lvl w:ilvl="0">
      <w:lvlJc w:val="left"/>
      <w:lvlText w:val="%1"/>
      <w:numFmt w:val="lowerLetter"/>
      <w:start w:val="1"/>
    </w:lvl>
    <w:lvl w:ilvl="1">
      <w:lvlJc w:val="left"/>
      <w:lvlText w:val="(%2)"/>
      <w:numFmt w:val="lowerLetter"/>
      <w:start w:val="1"/>
    </w:lvl>
  </w:abstractNum>
  <w:abstractNum w:abstractNumId="14">
    <w:nsid w:val="BF72B14"/>
    <w:multiLevelType w:val="hybridMultilevel"/>
    <w:lvl w:ilvl="0">
      <w:lvlJc w:val="left"/>
      <w:lvlText w:val="(%1)"/>
      <w:numFmt w:val="lowerLetter"/>
      <w:start w:val="61"/>
    </w:lvl>
    <w:lvl w:ilvl="1">
      <w:lvlJc w:val="left"/>
      <w:lvlText w:val="(%2)"/>
      <w:numFmt w:val="lowerLetter"/>
      <w:start w:val="3"/>
    </w:lvl>
  </w:abstractNum>
  <w:abstractNum w:abstractNumId="15">
    <w:nsid w:val="11447B73"/>
    <w:multiLevelType w:val="hybridMultilevel"/>
    <w:lvl w:ilvl="0">
      <w:lvlJc w:val="left"/>
      <w:lvlText w:val="(%1)"/>
      <w:numFmt w:val="lowerLetter"/>
      <w:start w:val="4"/>
    </w:lvl>
  </w:abstractNum>
  <w:abstractNum w:abstractNumId="16">
    <w:nsid w:val="42963E5A"/>
    <w:multiLevelType w:val="hybridMultilevel"/>
    <w:lvl w:ilvl="0">
      <w:lvlJc w:val="left"/>
      <w:lvlText w:val="%1"/>
      <w:numFmt w:val="lowerRoman"/>
      <w:start w:val="1"/>
    </w:lvl>
    <w:lvl w:ilvl="1">
      <w:lvlJc w:val="left"/>
      <w:lvlText w:val="(%2)"/>
      <w:numFmt w:val="lowerLetter"/>
      <w:start w:val="7"/>
    </w:lvl>
  </w:abstractNum>
  <w:abstractNum w:abstractNumId="17">
    <w:nsid w:val="A0382C5"/>
    <w:multiLevelType w:val="hybridMultilevel"/>
    <w:lvl w:ilvl="0">
      <w:lvlJc w:val="left"/>
      <w:lvlText w:val="(%1)"/>
      <w:numFmt w:val="lowerRoman"/>
      <w:start w:val="4"/>
    </w:lvl>
    <w:lvl w:ilvl="1">
      <w:lvlJc w:val="left"/>
      <w:lvlText w:val="%2"/>
      <w:numFmt w:val="lowerLetter"/>
      <w:start w:val="1"/>
    </w:lvl>
  </w:abstractNum>
  <w:abstractNum w:abstractNumId="18">
    <w:nsid w:val="8F2B15E"/>
    <w:multiLevelType w:val="hybridMultilevel"/>
    <w:lvl w:ilvl="0">
      <w:lvlJc w:val="left"/>
      <w:lvlText w:val="(%1)"/>
      <w:numFmt w:val="lowerLetter"/>
      <w:start w:val="1"/>
    </w:lvl>
  </w:abstractNum>
  <w:abstractNum w:abstractNumId="19">
    <w:nsid w:val="1A32234B"/>
    <w:multiLevelType w:val="hybridMultilevel"/>
    <w:lvl w:ilvl="0">
      <w:lvlJc w:val="left"/>
      <w:lvlText w:val="(%1)"/>
      <w:numFmt w:val="lowerLetter"/>
      <w:start w:val="3"/>
    </w:lvl>
  </w:abstractNum>
  <w:abstractNum w:abstractNumId="20">
    <w:nsid w:val="3B0FD379"/>
    <w:multiLevelType w:val="hybridMultilevel"/>
    <w:lvl w:ilvl="0">
      <w:lvlJc w:val="left"/>
      <w:lvlText w:val="(%1)"/>
      <w:numFmt w:val="lowerLetter"/>
      <w:start w:val="5"/>
    </w:lvl>
  </w:abstractNum>
  <w:abstractNum w:abstractNumId="21">
    <w:nsid w:val="68EB2F63"/>
    <w:multiLevelType w:val="hybridMultilevel"/>
    <w:lvl w:ilvl="0">
      <w:lvlJc w:val="left"/>
      <w:lvlText w:val="(%1)"/>
      <w:numFmt w:val="lowerLetter"/>
      <w:start w:val="12"/>
    </w:lvl>
    <w:lvl w:ilvl="1">
      <w:lvlJc w:val="left"/>
      <w:lvlText w:val="(%2)"/>
      <w:numFmt w:val="decimal"/>
      <w:start w:val="1"/>
    </w:lvl>
    <w:lvl w:ilvl="2">
      <w:lvlJc w:val="left"/>
      <w:lvlText w:val="(%3)"/>
      <w:numFmt w:val="lowerRoman"/>
      <w:start w:val="1"/>
    </w:lvl>
  </w:abstractNum>
  <w:abstractNum w:abstractNumId="22">
    <w:nsid w:val="4962813B"/>
    <w:multiLevelType w:val="hybridMultilevel"/>
    <w:lvl w:ilvl="0">
      <w:lvlJc w:val="left"/>
      <w:lvlText w:val="(%1)"/>
      <w:numFmt w:val="lowerRoman"/>
      <w:start w:val="2"/>
    </w:lvl>
  </w:abstractNum>
  <w:abstractNum w:abstractNumId="23">
    <w:nsid w:val="60B6DF70"/>
    <w:multiLevelType w:val="hybridMultilevel"/>
    <w:lvl w:ilvl="0">
      <w:lvlJc w:val="left"/>
      <w:lvlText w:val="(%1)"/>
      <w:numFmt w:val="decimal"/>
      <w:start w:val="2"/>
    </w:lvl>
  </w:abstractNum>
  <w:abstractNum w:abstractNumId="24">
    <w:nsid w:val="6A5EE64"/>
    <w:multiLevelType w:val="hybridMultilevel"/>
    <w:lvl w:ilvl="0">
      <w:lvlJc w:val="left"/>
      <w:lvlText w:val="(%1)"/>
      <w:numFmt w:val="lowerLetter"/>
      <w:start w:val="16"/>
    </w:lvl>
  </w:abstractNum>
  <w:abstractNum w:abstractNumId="25">
    <w:nsid w:val="14330624"/>
    <w:multiLevelType w:val="hybridMultilevel"/>
    <w:lvl w:ilvl="0">
      <w:lvlJc w:val="left"/>
      <w:lvlText w:val="(%1)"/>
      <w:numFmt w:val="lowerLetter"/>
      <w:start w:val="17"/>
    </w:lvl>
  </w:abstractNum>
  <w:abstractNum w:abstractNumId="26">
    <w:nsid w:val="7FFFCA11"/>
    <w:multiLevelType w:val="hybridMultilevel"/>
    <w:lvl w:ilvl="0">
      <w:lvlJc w:val="left"/>
      <w:lvlText w:val="(%1)"/>
      <w:numFmt w:val="lowerLetter"/>
      <w:start w:val="21"/>
    </w:lvl>
  </w:abstractNum>
  <w:abstractNum w:abstractNumId="27">
    <w:nsid w:val="1A27709E"/>
    <w:multiLevelType w:val="hybridMultilevel"/>
    <w:lvl w:ilvl="0">
      <w:lvlJc w:val="left"/>
      <w:lvlText w:val="(%1)"/>
      <w:numFmt w:val="lowerLetter"/>
      <w:start w:val="27"/>
    </w:lvl>
  </w:abstractNum>
  <w:abstractNum w:abstractNumId="28">
    <w:nsid w:val="71EA1109"/>
    <w:multiLevelType w:val="hybridMultilevel"/>
    <w:lvl w:ilvl="0">
      <w:lvlJc w:val="left"/>
      <w:lvlText w:val="(%1)"/>
      <w:numFmt w:val="lowerLetter"/>
      <w:start w:val="28"/>
    </w:lvl>
  </w:abstractNum>
  <w:abstractNum w:abstractNumId="29">
    <w:nsid w:val="100F59DC"/>
    <w:multiLevelType w:val="hybridMultilevel"/>
    <w:lvl w:ilvl="0">
      <w:lvlJc w:val="left"/>
      <w:lvlText w:val="(%1)"/>
      <w:numFmt w:val="lowerLetter"/>
      <w:start w:val="1"/>
    </w:lvl>
  </w:abstractNum>
  <w:abstractNum w:abstractNumId="30">
    <w:nsid w:val="7FB7E0AA"/>
    <w:multiLevelType w:val="hybridMultilevel"/>
    <w:lvl w:ilvl="0">
      <w:lvlJc w:val="left"/>
      <w:lvlText w:val="%1"/>
      <w:numFmt w:val="lowerLetter"/>
      <w:start w:val="1"/>
    </w:lvl>
    <w:lvl w:ilvl="1">
      <w:lvlJc w:val="left"/>
      <w:lvlText w:val="(%2)"/>
      <w:numFmt w:val="lowerLetter"/>
      <w:start w:val="2"/>
    </w:lvl>
  </w:abstractNum>
  <w:abstractNum w:abstractNumId="31">
    <w:nsid w:val="6EB5BD4"/>
    <w:multiLevelType w:val="hybridMultilevel"/>
    <w:lvl w:ilvl="0">
      <w:lvlJc w:val="left"/>
      <w:lvlText w:val="(%1)"/>
      <w:numFmt w:val="lowerLetter"/>
      <w:start w:val="61"/>
    </w:lvl>
    <w:lvl w:ilvl="1">
      <w:lvlJc w:val="left"/>
      <w:lvlText w:val="%2"/>
      <w:numFmt w:val="lowerLetter"/>
      <w:start w:val="1"/>
    </w:lvl>
  </w:abstractNum>
  <w:abstractNum w:abstractNumId="32">
    <w:nsid w:val="6F6DD9AC"/>
    <w:multiLevelType w:val="hybridMultilevel"/>
    <w:lvl w:ilvl="0">
      <w:lvlJc w:val="left"/>
      <w:lvlText w:val="%1"/>
      <w:numFmt w:val="lowerLetter"/>
      <w:start w:val="1"/>
    </w:lvl>
    <w:lvl w:ilvl="1">
      <w:lvlJc w:val="left"/>
      <w:lvlText w:val="(%2)"/>
      <w:numFmt w:val="lowerLetter"/>
      <w:start w:val="1"/>
    </w:lvl>
  </w:abstractNum>
  <w:abstractNum w:abstractNumId="33">
    <w:nsid w:val="94211F2"/>
    <w:multiLevelType w:val="hybridMultilevel"/>
    <w:lvl w:ilvl="0">
      <w:lvlJc w:val="left"/>
      <w:lvlText w:val="(%1)"/>
      <w:numFmt w:val="lowerLetter"/>
      <w:start w:val="9"/>
    </w:lvl>
    <w:lvl w:ilvl="1">
      <w:lvlJc w:val="left"/>
      <w:lvlText w:val="(%2)"/>
      <w:numFmt w:val="lowerLetter"/>
      <w:start w:val="2"/>
    </w:lvl>
  </w:abstractNum>
  <w:abstractNum w:abstractNumId="34">
    <w:nsid w:val="885E1B"/>
    <w:multiLevelType w:val="hybridMultilevel"/>
    <w:lvl w:ilvl="0">
      <w:lvlJc w:val="left"/>
      <w:lvlText w:val="(%1)"/>
      <w:numFmt w:val="lowerLetter"/>
      <w:start w:val="35"/>
    </w:lvl>
    <w:lvl w:ilvl="1">
      <w:lvlJc w:val="left"/>
      <w:lvlText w:val="%2"/>
      <w:numFmt w:val="lowerLetter"/>
      <w:start w:val="1"/>
    </w:lvl>
  </w:abstractNum>
  <w:abstractNum w:abstractNumId="35">
    <w:nsid w:val="76272110"/>
    <w:multiLevelType w:val="hybridMultilevel"/>
    <w:lvl w:ilvl="0">
      <w:lvlJc w:val="left"/>
      <w:lvlText w:val="%1"/>
      <w:numFmt w:val="lowerLetter"/>
      <w:start w:val="1"/>
    </w:lvl>
    <w:lvl w:ilvl="1">
      <w:lvlJc w:val="left"/>
      <w:lvlText w:val="(%2)"/>
      <w:numFmt w:val="lowerLetter"/>
      <w:start w:val="3"/>
    </w:lvl>
  </w:abstractNum>
  <w:abstractNum w:abstractNumId="36">
    <w:nsid w:val="4C04A8AF"/>
    <w:multiLevelType w:val="hybridMultilevel"/>
    <w:lvl w:ilvl="0">
      <w:lvlJc w:val="left"/>
      <w:lvlText w:val="(%1)"/>
      <w:numFmt w:val="lowerLetter"/>
      <w:start w:val="35"/>
    </w:lvl>
    <w:lvl w:ilvl="1">
      <w:lvlJc w:val="left"/>
      <w:lvlText w:val="(%2)"/>
      <w:numFmt w:val="lowerLetter"/>
      <w:start w:val="9"/>
    </w:lvl>
  </w:abstractNum>
  <w:abstractNum w:abstractNumId="37">
    <w:nsid w:val="1716703B"/>
    <w:multiLevelType w:val="hybridMultilevel"/>
    <w:lvl w:ilvl="0">
      <w:lvlJc w:val="left"/>
      <w:lvlText w:val="(%1)"/>
      <w:numFmt w:val="lowerLetter"/>
      <w:start w:val="11"/>
    </w:lvl>
  </w:abstractNum>
  <w:abstractNum w:abstractNumId="38">
    <w:nsid w:val="14E17E33"/>
    <w:multiLevelType w:val="hybridMultilevel"/>
    <w:lvl w:ilvl="0">
      <w:lvlJc w:val="left"/>
      <w:lvlText w:val="(%1)"/>
      <w:numFmt w:val="lowerLetter"/>
      <w:start w:val="1"/>
    </w:lvl>
  </w:abstractNum>
  <w:abstractNum w:abstractNumId="39">
    <w:nsid w:val="3222E7CD"/>
    <w:multiLevelType w:val="hybridMultilevel"/>
    <w:lvl w:ilvl="0">
      <w:lvlJc w:val="left"/>
      <w:lvlText w:val="(%1)"/>
      <w:numFmt w:val="lowerLetter"/>
      <w:start w:val="3"/>
    </w:lvl>
  </w:abstractNum>
  <w:abstractNum w:abstractNumId="40">
    <w:nsid w:val="74DE0EE3"/>
    <w:multiLevelType w:val="hybridMultilevel"/>
    <w:lvl w:ilvl="0">
      <w:lvlJc w:val="left"/>
      <w:lvlText w:val="%1"/>
      <w:numFmt w:val="lowerLetter"/>
      <w:start w:val="1"/>
    </w:lvl>
    <w:lvl w:ilvl="1">
      <w:lvlJc w:val="left"/>
      <w:lvlText w:val="(%2)"/>
      <w:numFmt w:val="lowerLetter"/>
      <w:start w:val="1"/>
    </w:lvl>
  </w:abstractNum>
  <w:abstractNum w:abstractNumId="41">
    <w:nsid w:val="68EBC550"/>
    <w:multiLevelType w:val="hybridMultilevel"/>
    <w:lvl w:ilvl="0">
      <w:lvlJc w:val="left"/>
      <w:lvlText w:val="(%1)"/>
      <w:numFmt w:val="lowerLetter"/>
      <w:start w:val="4"/>
    </w:lvl>
    <w:lvl w:ilvl="1">
      <w:lvlJc w:val="left"/>
      <w:lvlText w:val="(%2)"/>
      <w:numFmt w:val="lowerLetter"/>
      <w:start w:val="6"/>
    </w:lvl>
  </w:abstractNum>
  <w:abstractNum w:abstractNumId="42">
    <w:nsid w:val="2DF6D648"/>
    <w:multiLevelType w:val="hybridMultilevel"/>
    <w:lvl w:ilvl="0">
      <w:lvlJc w:val="left"/>
      <w:lvlText w:val="(%1)"/>
      <w:numFmt w:val="lowerLetter"/>
      <w:start w:val="7"/>
    </w:lvl>
  </w:abstractNum>
  <w:abstractNum w:abstractNumId="43">
    <w:nsid w:val="46B7D447"/>
    <w:multiLevelType w:val="hybridMultilevel"/>
    <w:lvl w:ilvl="0">
      <w:lvlJc w:val="left"/>
      <w:lvlText w:val="(%1)"/>
      <w:numFmt w:val="lowerLetter"/>
      <w:start w:val="1"/>
    </w:lvl>
  </w:abstractNum>
  <w:abstractNum w:abstractNumId="44">
    <w:nsid w:val="4A2AC315"/>
    <w:multiLevelType w:val="hybridMultilevel"/>
    <w:lvl w:ilvl="0">
      <w:lvlJc w:val="left"/>
      <w:lvlText w:val="(%1)"/>
      <w:numFmt w:val="lowerLetter"/>
      <w:start w:val="6"/>
    </w:lvl>
  </w:abstractNum>
  <w:abstractNum w:abstractNumId="45">
    <w:nsid w:val="39EE015C"/>
    <w:multiLevelType w:val="hybridMultilevel"/>
    <w:lvl w:ilvl="0">
      <w:lvlJc w:val="left"/>
      <w:lvlText w:val="(%1)"/>
      <w:numFmt w:val="lowerRoman"/>
      <w:start w:val="1"/>
    </w:lvl>
  </w:abstractNum>
  <w:abstractNum w:abstractNumId="46">
    <w:nsid w:val="57FC4FBB"/>
    <w:multiLevelType w:val="hybridMultilevel"/>
    <w:lvl w:ilvl="0">
      <w:lvlJc w:val="left"/>
      <w:lvlText w:val="(%1)"/>
      <w:numFmt w:val="lowerLetter"/>
      <w:start w:val="3"/>
    </w:lvl>
  </w:abstractNum>
  <w:abstractNum w:abstractNumId="47">
    <w:nsid w:val="CC1016F"/>
    <w:multiLevelType w:val="hybridMultilevel"/>
    <w:lvl w:ilvl="0">
      <w:lvlJc w:val="left"/>
      <w:lvlText w:val="(%1)"/>
      <w:numFmt w:val="lowerLetter"/>
      <w:start w:val="1"/>
    </w:lvl>
    <w:lvl w:ilvl="1">
      <w:lvlJc w:val="left"/>
      <w:lvlText w:val="(%2)"/>
      <w:numFmt w:val="decimal"/>
      <w:start w:val="1"/>
    </w:lvl>
  </w:abstractNum>
  <w:abstractNum w:abstractNumId="48">
    <w:nsid w:val="43F18422"/>
    <w:multiLevelType w:val="hybridMultilevel"/>
    <w:lvl w:ilvl="0">
      <w:lvlJc w:val="left"/>
      <w:lvlText w:val="(%1)"/>
      <w:numFmt w:val="decimal"/>
      <w:start w:val="2"/>
    </w:lvl>
  </w:abstractNum>
  <w:abstractNum w:abstractNumId="49">
    <w:nsid w:val="60EF0119"/>
    <w:multiLevelType w:val="hybridMultilevel"/>
    <w:lvl w:ilvl="0">
      <w:lvlJc w:val="left"/>
      <w:lvlText w:val="(%1)"/>
      <w:numFmt w:val="decimal"/>
      <w:start w:val="4"/>
    </w:lvl>
  </w:abstractNum>
  <w:abstractNum w:abstractNumId="50">
    <w:nsid w:val="26F324BA"/>
    <w:multiLevelType w:val="hybridMultilevel"/>
    <w:lvl w:ilvl="0">
      <w:lvlJc w:val="left"/>
      <w:lvlText w:val="(%1)"/>
      <w:numFmt w:val="decimal"/>
      <w:start w:val="5"/>
    </w:lvl>
  </w:abstractNum>
  <w:abstractNum w:abstractNumId="51">
    <w:nsid w:val="7F01579B"/>
    <w:multiLevelType w:val="hybridMultilevel"/>
    <w:lvl w:ilvl="0">
      <w:lvlJc w:val="left"/>
      <w:lvlText w:val="(%1)"/>
      <w:numFmt w:val="decimal"/>
      <w:start w:val="9"/>
    </w:lvl>
  </w:abstractNum>
  <w:abstractNum w:abstractNumId="52">
    <w:nsid w:val="49DA307D"/>
    <w:multiLevelType w:val="hybridMultilevel"/>
    <w:lvl w:ilvl="0">
      <w:lvlJc w:val="left"/>
      <w:lvlText w:val="(%1)"/>
      <w:numFmt w:val="decimal"/>
      <w:start w:val="12"/>
    </w:lvl>
  </w:abstractNum>
  <w:abstractNum w:abstractNumId="53">
    <w:nsid w:val="7055A5F5"/>
    <w:multiLevelType w:val="hybridMultilevel"/>
    <w:lvl w:ilvl="0">
      <w:lvlJc w:val="left"/>
      <w:lvlText w:val="(%1)"/>
      <w:numFmt w:val="decimal"/>
      <w:start w:val="17"/>
    </w:lvl>
  </w:abstractNum>
  <w:abstractNum w:abstractNumId="54">
    <w:nsid w:val="5FB8370B"/>
    <w:multiLevelType w:val="hybridMultilevel"/>
    <w:lvl w:ilvl="0">
      <w:lvlJc w:val="left"/>
      <w:lvlText w:val="(%1)"/>
      <w:numFmt w:val="decimal"/>
      <w:start w:val="21"/>
    </w:lvl>
  </w:abstractNum>
  <w:abstractNum w:abstractNumId="55">
    <w:nsid w:val="50801EE1"/>
    <w:multiLevelType w:val="hybridMultilevel"/>
    <w:lvl w:ilvl="0">
      <w:lvlJc w:val="left"/>
      <w:lvlText w:val="(%1)"/>
      <w:numFmt w:val="decimal"/>
      <w:start w:val="25"/>
    </w:lvl>
  </w:abstractNum>
  <w:abstractNum w:abstractNumId="56">
    <w:nsid w:val="488AC1A"/>
    <w:multiLevelType w:val="hybridMultilevel"/>
    <w:lvl w:ilvl="0">
      <w:lvlJc w:val="left"/>
      <w:lvlText w:val="(%1)"/>
      <w:numFmt w:val="lowerLetter"/>
      <w:start w:val="2"/>
    </w:lvl>
  </w:abstractNum>
  <w:abstractNum w:abstractNumId="57">
    <w:nsid w:val="5FB8011C"/>
    <w:multiLevelType w:val="hybridMultilevel"/>
    <w:lvl w:ilvl="0">
      <w:lvlJc w:val="left"/>
      <w:lvlText w:val="(%1)"/>
      <w:numFmt w:val="lowerLetter"/>
      <w:start w:val="1"/>
    </w:lvl>
  </w:abstractNum>
  <w:abstractNum w:abstractNumId="58">
    <w:nsid w:val="6AA78F7F"/>
    <w:multiLevelType w:val="hybridMultilevel"/>
    <w:lvl w:ilvl="0">
      <w:lvlJc w:val="left"/>
      <w:lvlText w:val="%1"/>
      <w:numFmt w:val="lowerLetter"/>
      <w:start w:val="1"/>
    </w:lvl>
    <w:lvl w:ilvl="1">
      <w:lvlJc w:val="left"/>
      <w:lvlText w:val="(%2)"/>
      <w:numFmt w:val="lowerLetter"/>
      <w:start w:val="4"/>
    </w:lvl>
  </w:abstractNum>
  <w:abstractNum w:abstractNumId="59">
    <w:nsid w:val="7672BD23"/>
    <w:multiLevelType w:val="hybridMultilevel"/>
    <w:lvl w:ilvl="0">
      <w:lvlJc w:val="left"/>
      <w:lvlText w:val="(%1)"/>
      <w:numFmt w:val="lowerLetter"/>
      <w:start w:val="9"/>
    </w:lvl>
    <w:lvl w:ilvl="1">
      <w:lvlJc w:val="left"/>
      <w:lvlText w:val="%2"/>
      <w:numFmt w:val="lowerLetter"/>
      <w:start w:val="1"/>
    </w:lvl>
  </w:abstractNum>
  <w:abstractNum w:abstractNumId="60">
    <w:nsid w:val="6FC75AF8"/>
    <w:multiLevelType w:val="hybridMultilevel"/>
    <w:lvl w:ilvl="0">
      <w:lvlJc w:val="left"/>
      <w:lvlText w:val="(%1)"/>
      <w:numFmt w:val="lowerLetter"/>
      <w:start w:val="25"/>
    </w:lvl>
    <w:lvl w:ilvl="1">
      <w:lvlJc w:val="left"/>
      <w:lvlText w:val="%2"/>
      <w:numFmt w:val="lowerLetter"/>
      <w:start w:val="1"/>
    </w:lvl>
  </w:abstractNum>
  <w:abstractNum w:abstractNumId="61">
    <w:nsid w:val="6A5F7029"/>
    <w:multiLevelType w:val="hybridMultilevel"/>
    <w:lvl w:ilvl="0">
      <w:lvlJc w:val="left"/>
      <w:lvlText w:val="%1"/>
      <w:numFmt w:val="upperLetter"/>
      <w:start w:val="1"/>
    </w:lvl>
    <w:lvl w:ilvl="1">
      <w:lvlJc w:val="left"/>
      <w:lvlText w:val="(%2)"/>
      <w:numFmt w:val="lowerLetter"/>
      <w:start w:val="7"/>
    </w:lvl>
  </w:abstractNum>
  <w:abstractNum w:abstractNumId="62">
    <w:nsid w:val="7D5E18F8"/>
    <w:multiLevelType w:val="hybridMultilevel"/>
    <w:lvl w:ilvl="0">
      <w:lvlJc w:val="left"/>
      <w:lvlText w:val="(%1)"/>
      <w:numFmt w:val="upperLetter"/>
      <w:start w:val="1"/>
    </w:lvl>
    <w:lvl w:ilvl="1">
      <w:lvlJc w:val="left"/>
      <w:lvlText w:val="%2"/>
      <w:numFmt w:val="lowerLetter"/>
      <w:start w:val="1"/>
    </w:lvl>
  </w:abstractNum>
  <w:abstractNum w:abstractNumId="63">
    <w:nsid w:val="5F3534A4"/>
    <w:multiLevelType w:val="hybridMultilevel"/>
    <w:lvl w:ilvl="0">
      <w:lvlJc w:val="left"/>
      <w:lvlText w:val="(%1)"/>
      <w:numFmt w:val="lowerLetter"/>
      <w:start w:val="1"/>
    </w:lvl>
  </w:abstractNum>
  <w:abstractNum w:abstractNumId="64">
    <w:nsid w:val="73A1821B"/>
    <w:multiLevelType w:val="hybridMultilevel"/>
    <w:lvl w:ilvl="0">
      <w:lvlJc w:val="left"/>
      <w:lvlText w:val="(%1)"/>
      <w:numFmt w:val="lowerLetter"/>
      <w:start w:val="3"/>
    </w:lvl>
  </w:abstractNum>
  <w:abstractNum w:abstractNumId="65">
    <w:nsid w:val="7DE67713"/>
    <w:multiLevelType w:val="hybridMultilevel"/>
    <w:lvl w:ilvl="0">
      <w:lvlJc w:val="left"/>
      <w:lvlText w:val="(%1)"/>
      <w:numFmt w:val="lowerLetter"/>
      <w:start w:val="5"/>
    </w:lvl>
  </w:abstractNum>
  <w:abstractNum w:abstractNumId="66">
    <w:nsid w:val="555C55B5"/>
    <w:multiLevelType w:val="hybridMultilevel"/>
    <w:lvl w:ilvl="0">
      <w:lvlJc w:val="left"/>
      <w:lvlText w:val="(%1)"/>
      <w:numFmt w:val="lowerRoman"/>
      <w:start w:val="6"/>
    </w:lvl>
    <w:lvl w:ilvl="1">
      <w:lvlJc w:val="left"/>
      <w:lvlText w:val="(%2)"/>
      <w:numFmt w:val="lowerLetter"/>
      <w:start w:val="12"/>
    </w:lvl>
    <w:lvl w:ilvl="2">
      <w:lvlJc w:val="left"/>
      <w:lvlText w:val="(%3)"/>
      <w:numFmt w:val="decimal"/>
      <w:start w:val="1"/>
    </w:lvl>
    <w:lvl w:ilvl="3">
      <w:lvlJc w:val="left"/>
      <w:lvlText w:val="(%4)"/>
      <w:numFmt w:val="lowerRoman"/>
      <w:start w:val="1"/>
    </w:lvl>
  </w:abstractNum>
  <w:abstractNum w:abstractNumId="67">
    <w:nsid w:val="3FA62ACA"/>
    <w:multiLevelType w:val="hybridMultilevel"/>
    <w:lvl w:ilvl="0">
      <w:lvlJc w:val="left"/>
      <w:lvlText w:val="(%1)"/>
      <w:numFmt w:val="lowerRoman"/>
      <w:start w:val="2"/>
    </w:lvl>
  </w:abstractNum>
  <w:abstractNum w:abstractNumId="68">
    <w:nsid w:val="14FCE74E"/>
    <w:multiLevelType w:val="hybridMultilevel"/>
    <w:lvl w:ilvl="0">
      <w:lvlJc w:val="left"/>
      <w:lvlText w:val="%1"/>
      <w:numFmt w:val="lowerRoman"/>
      <w:start w:val="1"/>
    </w:lvl>
    <w:lvl w:ilvl="1">
      <w:lvlJc w:val="left"/>
      <w:lvlText w:val="(%2)"/>
      <w:numFmt w:val="decimal"/>
      <w:start w:val="2"/>
    </w:lvl>
  </w:abstractNum>
  <w:abstractNum w:abstractNumId="69">
    <w:nsid w:val="6A3DD3E8"/>
    <w:multiLevelType w:val="hybridMultilevel"/>
    <w:lvl w:ilvl="0">
      <w:lvlJc w:val="left"/>
      <w:lvlText w:val="(%1)"/>
      <w:numFmt w:val="lowerRoman"/>
      <w:start w:val="1"/>
    </w:lvl>
    <w:lvl w:ilvl="1">
      <w:lvlJc w:val="left"/>
      <w:lvlText w:val="%2"/>
      <w:numFmt w:val="decimal"/>
      <w:start w:val="1"/>
    </w:lvl>
  </w:abstractNum>
  <w:abstractNum w:abstractNumId="70">
    <w:nsid w:val="71C91298"/>
    <w:multiLevelType w:val="hybridMultilevel"/>
    <w:lvl w:ilvl="0">
      <w:lvlJc w:val="left"/>
      <w:lvlText w:val="(%1)"/>
      <w:numFmt w:val="lowerLetter"/>
      <w:start w:val="16"/>
    </w:lvl>
  </w:abstractNum>
  <w:abstractNum w:abstractNumId="71">
    <w:nsid w:val="9DAF632"/>
    <w:multiLevelType w:val="hybridMultilevel"/>
    <w:lvl w:ilvl="0">
      <w:lvlJc w:val="left"/>
      <w:lvlText w:val="(%1)"/>
      <w:numFmt w:val="lowerLetter"/>
      <w:start w:val="17"/>
    </w:lvl>
  </w:abstractNum>
  <w:abstractNum w:abstractNumId="72">
    <w:nsid w:val="53299938"/>
    <w:multiLevelType w:val="hybridMultilevel"/>
    <w:lvl w:ilvl="0">
      <w:lvlJc w:val="left"/>
      <w:lvlText w:val="(%1)"/>
      <w:numFmt w:val="lowerLetter"/>
      <w:start w:val="21"/>
    </w:lvl>
  </w:abstractNum>
  <w:abstractNum w:abstractNumId="73">
    <w:nsid w:val="1FBFE8E0"/>
    <w:multiLevelType w:val="hybridMultilevel"/>
    <w:lvl w:ilvl="0">
      <w:lvlJc w:val="left"/>
      <w:lvlText w:val="(%1)"/>
      <w:numFmt w:val="lowerLetter"/>
      <w:start w:val="27"/>
    </w:lvl>
  </w:abstractNum>
  <w:abstractNum w:abstractNumId="74">
    <w:nsid w:val="5092CA79"/>
    <w:multiLevelType w:val="hybridMultilevel"/>
    <w:lvl w:ilvl="0">
      <w:lvlJc w:val="left"/>
      <w:lvlText w:val="(%1)"/>
      <w:numFmt w:val="lowerLetter"/>
      <w:start w:val="28"/>
    </w:lvl>
  </w:abstractNum>
  <w:abstractNum w:abstractNumId="75">
    <w:nsid w:val="1D545C4D"/>
    <w:multiLevelType w:val="hybridMultilevel"/>
    <w:lvl w:ilvl="0">
      <w:lvlJc w:val="left"/>
      <w:lvlText w:val="%1"/>
      <w:numFmt w:val="decimal"/>
      <w:start w:val="1"/>
    </w:lvl>
    <w:lvl w:ilvl="1">
      <w:lvlJc w:val="left"/>
      <w:lvlText w:val="(%2)"/>
      <w:numFmt w:val="lowerLetter"/>
      <w:start w:val="1"/>
    </w:lvl>
  </w:abstractNum>
  <w:abstractNum w:abstractNumId="76">
    <w:nsid w:val="59ADEA3D"/>
    <w:multiLevelType w:val="hybridMultilevel"/>
    <w:lvl w:ilvl="0">
      <w:lvlJc w:val="left"/>
      <w:lvlText w:val="(%1)"/>
      <w:numFmt w:val="decimal"/>
      <w:start w:val="5"/>
    </w:lvl>
    <w:lvl w:ilvl="1">
      <w:lvlJc w:val="left"/>
      <w:lvlText w:val="%2"/>
      <w:numFmt w:val="lowerLetter"/>
      <w:start w:val="1"/>
    </w:lvl>
  </w:abstractNum>
  <w:abstractNum w:abstractNumId="77">
    <w:nsid w:val="288F1A34"/>
    <w:multiLevelType w:val="hybridMultilevel"/>
    <w:lvl w:ilvl="0">
      <w:lvlJc w:val="left"/>
      <w:lvlText w:val="%1"/>
      <w:numFmt w:val="lowerLetter"/>
      <w:start w:val="1"/>
    </w:lvl>
    <w:lvl w:ilvl="1">
      <w:lvlJc w:val="left"/>
      <w:lvlText w:val="(%2)"/>
      <w:numFmt w:val="lowerLetter"/>
      <w:start w:val="2"/>
    </w:lvl>
  </w:abstractNum>
  <w:abstractNum w:abstractNumId="78">
    <w:nsid w:val="2A155DBC"/>
    <w:multiLevelType w:val="hybridMultilevel"/>
    <w:lvl w:ilvl="0">
      <w:lvlJc w:val="left"/>
      <w:lvlText w:val="(%1)"/>
      <w:numFmt w:val="lowerLetter"/>
      <w:start w:val="61"/>
    </w:lvl>
    <w:lvl w:ilvl="1">
      <w:lvlJc w:val="left"/>
      <w:lvlText w:val="%2"/>
      <w:numFmt w:val="lowerLetter"/>
      <w:start w:val="1"/>
    </w:lvl>
  </w:abstractNum>
  <w:abstractNum w:abstractNumId="79">
    <w:nsid w:val="1D9F6E5F"/>
    <w:multiLevelType w:val="hybridMultilevel"/>
    <w:lvl w:ilvl="0">
      <w:lvlJc w:val="left"/>
      <w:lvlText w:val="%1"/>
      <w:numFmt w:val="lowerLetter"/>
      <w:start w:val="1"/>
    </w:lvl>
    <w:lvl w:ilvl="1">
      <w:lvlJc w:val="left"/>
      <w:lvlText w:val="(%2)"/>
      <w:numFmt w:val="lowerLetter"/>
      <w:start w:val="1"/>
    </w:lvl>
  </w:abstractNum>
  <w:abstractNum w:abstractNumId="80">
    <w:nsid w:val="97E1B4E"/>
    <w:multiLevelType w:val="hybridMultilevel"/>
    <w:lvl w:ilvl="0">
      <w:lvlJc w:val="left"/>
      <w:lvlText w:val="(%1)"/>
      <w:numFmt w:val="lowerLetter"/>
      <w:start w:val="9"/>
    </w:lvl>
    <w:lvl w:ilvl="1">
      <w:lvlJc w:val="left"/>
      <w:lvlText w:val="(%2)"/>
      <w:numFmt w:val="lowerLetter"/>
      <w:start w:val="2"/>
    </w:lvl>
  </w:abstractNum>
  <w:abstractNum w:abstractNumId="81">
    <w:nsid w:val="51088277"/>
    <w:multiLevelType w:val="hybridMultilevel"/>
    <w:lvl w:ilvl="0">
      <w:lvlJc w:val="left"/>
      <w:lvlText w:val="(%1)"/>
      <w:numFmt w:val="lowerLetter"/>
      <w:start w:val="35"/>
    </w:lvl>
    <w:lvl w:ilvl="1">
      <w:lvlJc w:val="left"/>
      <w:lvlText w:val="%2"/>
      <w:numFmt w:val="lowerLetter"/>
      <w:start w:val="1"/>
    </w:lvl>
  </w:abstractNum>
  <w:abstractNum w:abstractNumId="82">
    <w:nsid w:val="1CA0C5FA"/>
    <w:multiLevelType w:val="hybridMultilevel"/>
    <w:lvl w:ilvl="0">
      <w:lvlJc w:val="left"/>
      <w:lvlText w:val="%1"/>
      <w:numFmt w:val="lowerLetter"/>
      <w:start w:val="1"/>
    </w:lvl>
    <w:lvl w:ilvl="1">
      <w:lvlJc w:val="left"/>
      <w:lvlText w:val="(%2)"/>
      <w:numFmt w:val="lowerLetter"/>
      <w:start w:val="3"/>
    </w:lvl>
  </w:abstractNum>
  <w:abstractNum w:abstractNumId="83">
    <w:nsid w:val="53584BCB"/>
    <w:multiLevelType w:val="hybridMultilevel"/>
    <w:lvl w:ilvl="0">
      <w:lvlJc w:val="left"/>
      <w:lvlText w:val="(%1)"/>
      <w:numFmt w:val="lowerLetter"/>
      <w:start w:val="35"/>
    </w:lvl>
    <w:lvl w:ilvl="1">
      <w:lvlJc w:val="left"/>
      <w:lvlText w:val="(%2)"/>
      <w:numFmt w:val="lowerLetter"/>
      <w:start w:val="9"/>
    </w:lvl>
  </w:abstractNum>
  <w:abstractNum w:abstractNumId="84">
    <w:nsid w:val="415E286C"/>
    <w:multiLevelType w:val="hybridMultilevel"/>
    <w:lvl w:ilvl="0">
      <w:lvlJc w:val="left"/>
      <w:lvlText w:val="(%1)"/>
      <w:numFmt w:val="lowerLetter"/>
      <w:start w:val="11"/>
    </w:lvl>
  </w:abstractNum>
  <w:abstractNum w:abstractNumId="85">
    <w:nsid w:val="7C58FD05"/>
    <w:multiLevelType w:val="hybridMultilevel"/>
    <w:lvl w:ilvl="0">
      <w:lvlJc w:val="left"/>
      <w:lvlText w:val="(%1)"/>
      <w:numFmt w:val="lowerLetter"/>
      <w:start w:val="1"/>
    </w:lvl>
  </w:abstractNum>
  <w:abstractNum w:abstractNumId="86">
    <w:nsid w:val="23D86AAC"/>
    <w:multiLevelType w:val="hybridMultilevel"/>
    <w:lvl w:ilvl="0">
      <w:lvlJc w:val="left"/>
      <w:lvlText w:val="(%1)"/>
      <w:numFmt w:val="lowerLetter"/>
      <w:start w:val="3"/>
    </w:lvl>
  </w:abstractNum>
  <w:abstractNum w:abstractNumId="87">
    <w:nsid w:val="45E6D486"/>
    <w:multiLevelType w:val="hybridMultilevel"/>
    <w:lvl w:ilvl="0">
      <w:lvlJc w:val="left"/>
      <w:lvlText w:val="%1"/>
      <w:numFmt w:val="lowerLetter"/>
      <w:start w:val="1"/>
    </w:lvl>
    <w:lvl w:ilvl="1">
      <w:lvlJc w:val="left"/>
      <w:lvlText w:val="(%2)"/>
      <w:numFmt w:val="lowerLetter"/>
      <w:start w:val="1"/>
    </w:lvl>
  </w:abstractNum>
  <w:abstractNum w:abstractNumId="88">
    <w:nsid w:val="5C10FE21"/>
    <w:multiLevelType w:val="hybridMultilevel"/>
    <w:lvl w:ilvl="0">
      <w:lvlJc w:val="left"/>
      <w:lvlText w:val="(%1)"/>
      <w:numFmt w:val="lowerLetter"/>
      <w:start w:val="4"/>
    </w:lvl>
    <w:lvl w:ilvl="1">
      <w:lvlJc w:val="left"/>
      <w:lvlText w:val="(%2)"/>
      <w:numFmt w:val="lowerLetter"/>
      <w:start w:val="6"/>
    </w:lvl>
  </w:abstractNum>
  <w:abstractNum w:abstractNumId="89">
    <w:nsid w:val="E7FFA2B"/>
    <w:multiLevelType w:val="hybridMultilevel"/>
    <w:lvl w:ilvl="0">
      <w:lvlJc w:val="left"/>
      <w:lvlText w:val="(%1)"/>
      <w:numFmt w:val="lowerLetter"/>
      <w:start w:val="7"/>
    </w:lvl>
  </w:abstractNum>
  <w:abstractNum w:abstractNumId="90">
    <w:nsid w:val="3C5991AA"/>
    <w:multiLevelType w:val="hybridMultilevel"/>
    <w:lvl w:ilvl="0">
      <w:lvlJc w:val="left"/>
      <w:lvlText w:val="(%1)"/>
      <w:numFmt w:val="lowerLetter"/>
      <w:start w:val="1"/>
    </w:lvl>
  </w:abstractNum>
  <w:abstractNum w:abstractNumId="91">
    <w:nsid w:val="4BD8591A"/>
    <w:multiLevelType w:val="hybridMultilevel"/>
    <w:lvl w:ilvl="0">
      <w:lvlJc w:val="left"/>
      <w:lvlText w:val="(%1)"/>
      <w:numFmt w:val="lowerLetter"/>
      <w:start w:val="6"/>
    </w:lvl>
  </w:abstractNum>
  <w:abstractNum w:abstractNumId="92">
    <w:nsid w:val="78DF6A55"/>
    <w:multiLevelType w:val="hybridMultilevel"/>
    <w:lvl w:ilvl="0">
      <w:lvlJc w:val="left"/>
      <w:lvlText w:val="(%1)"/>
      <w:numFmt w:val="lowerRoman"/>
      <w:start w:val="1"/>
    </w:lvl>
  </w:abstractNum>
  <w:abstractNum w:abstractNumId="93">
    <w:nsid w:val="39B7AAA2"/>
    <w:multiLevelType w:val="hybridMultilevel"/>
    <w:lvl w:ilvl="0">
      <w:lvlJc w:val="left"/>
      <w:lvlText w:val="(%1)"/>
      <w:numFmt w:val="lowerLetter"/>
      <w:start w:val="3"/>
    </w:lvl>
  </w:abstractNum>
  <w:abstractNum w:abstractNumId="94">
    <w:nsid w:val="2B0D8DBE"/>
    <w:multiLevelType w:val="hybridMultilevel"/>
    <w:lvl w:ilvl="0">
      <w:lvlJc w:val="left"/>
      <w:lvlText w:val="(%1)"/>
      <w:numFmt w:val="lowerRoman"/>
      <w:start w:val="3"/>
    </w:lvl>
  </w:abstractNum>
  <w:abstractNum w:abstractNumId="95">
    <w:nsid w:val="6C80EC70"/>
    <w:multiLevelType w:val="hybridMultilevel"/>
    <w:lvl w:ilvl="0">
      <w:lvlJc w:val="left"/>
      <w:lvlText w:val="(%1)"/>
      <w:numFmt w:val="lowerLetter"/>
      <w:start w:val="1"/>
    </w:lvl>
    <w:lvl w:ilvl="1">
      <w:lvlJc w:val="left"/>
      <w:lvlText w:val="(%2)"/>
      <w:numFmt w:val="decimal"/>
      <w:start w:val="1"/>
    </w:lvl>
  </w:abstractNum>
  <w:abstractNum w:abstractNumId="96">
    <w:nsid w:val="379E21B5"/>
    <w:multiLevelType w:val="hybridMultilevel"/>
    <w:lvl w:ilvl="0">
      <w:lvlJc w:val="left"/>
      <w:lvlText w:val="(%1)"/>
      <w:numFmt w:val="lowerRoman"/>
      <w:start w:val="1"/>
    </w:lvl>
  </w:abstractNum>
  <w:abstractNum w:abstractNumId="97">
    <w:nsid w:val="69E373"/>
    <w:multiLevelType w:val="hybridMultilevel"/>
    <w:lvl w:ilvl="0">
      <w:lvlJc w:val="left"/>
      <w:lvlText w:val="(%1)"/>
      <w:numFmt w:val="decimal"/>
      <w:start w:val="2"/>
    </w:lvl>
  </w:abstractNum>
  <w:abstractNum w:abstractNumId="98">
    <w:nsid w:val="2C27173B"/>
    <w:multiLevelType w:val="hybridMultilevel"/>
    <w:lvl w:ilvl="0">
      <w:lvlJc w:val="left"/>
      <w:lvlText w:val="(%1)"/>
      <w:numFmt w:val="decimal"/>
      <w:start w:val="4"/>
    </w:lvl>
  </w:abstractNum>
  <w:abstractNum w:abstractNumId="99">
    <w:nsid w:val="4C9B0904"/>
    <w:multiLevelType w:val="hybridMultilevel"/>
    <w:lvl w:ilvl="0">
      <w:lvlJc w:val="left"/>
      <w:lvlText w:val="(%1)"/>
      <w:numFmt w:val="decimal"/>
      <w:start w:val="5"/>
    </w:lvl>
  </w:abstractNum>
  <w:abstractNum w:abstractNumId="100">
    <w:nsid w:val="6AA7B75C"/>
    <w:multiLevelType w:val="hybridMultilevel"/>
    <w:lvl w:ilvl="0">
      <w:lvlJc w:val="left"/>
      <w:lvlText w:val="(%1)"/>
      <w:numFmt w:val="decimal"/>
      <w:start w:val="9"/>
    </w:lvl>
  </w:abstractNum>
  <w:abstractNum w:abstractNumId="101">
    <w:nsid w:val="1DF029D3"/>
    <w:multiLevelType w:val="hybridMultilevel"/>
    <w:lvl w:ilvl="0">
      <w:lvlJc w:val="left"/>
      <w:lvlText w:val="(%1)"/>
      <w:numFmt w:val="decimal"/>
      <w:start w:val="12"/>
    </w:lvl>
  </w:abstractNum>
  <w:abstractNum w:abstractNumId="102">
    <w:nsid w:val="5675FF36"/>
    <w:multiLevelType w:val="hybridMultilevel"/>
    <w:lvl w:ilvl="0">
      <w:lvlJc w:val="left"/>
      <w:lvlText w:val="(%1)"/>
      <w:numFmt w:val="decimal"/>
      <w:start w:val="17"/>
    </w:lvl>
  </w:abstractNum>
  <w:abstractNum w:abstractNumId="103">
    <w:nsid w:val="3DD15094"/>
    <w:multiLevelType w:val="hybridMultilevel"/>
    <w:lvl w:ilvl="0">
      <w:lvlJc w:val="left"/>
      <w:lvlText w:val="(%1)"/>
      <w:numFmt w:val="decimal"/>
      <w:start w:val="21"/>
    </w:lvl>
  </w:abstractNum>
  <w:abstractNum w:abstractNumId="104">
    <w:nsid w:val="3DB012B3"/>
    <w:multiLevelType w:val="hybridMultilevel"/>
    <w:lvl w:ilvl="0">
      <w:lvlJc w:val="left"/>
      <w:lvlText w:val="(%1)"/>
      <w:numFmt w:val="decimal"/>
      <w:start w:val="25"/>
    </w:lvl>
  </w:abstractNum>
  <w:abstractNum w:abstractNumId="105">
    <w:nsid w:val="2708C9AF"/>
    <w:multiLevelType w:val="hybridMultilevel"/>
    <w:lvl w:ilvl="0">
      <w:lvlJc w:val="left"/>
      <w:lvlText w:val="(%1)"/>
      <w:numFmt w:val="lowerLetter"/>
      <w:start w:val="2"/>
    </w:lvl>
  </w:abstractNum>
  <w:abstractNum w:abstractNumId="106">
    <w:nsid w:val="5B25ACE2"/>
    <w:multiLevelType w:val="hybridMultilevel"/>
    <w:lvl w:ilvl="0">
      <w:lvlJc w:val="left"/>
      <w:lvlText w:val="%1"/>
      <w:numFmt w:val="lowerLetter"/>
      <w:start w:val="1"/>
    </w:lvl>
    <w:lvl w:ilvl="1">
      <w:lvlJc w:val="left"/>
      <w:lvlText w:val="(%2)"/>
      <w:numFmt w:val="lowerLetter"/>
      <w:start w:val="1"/>
    </w:lvl>
  </w:abstractNum>
  <w:abstractNum w:abstractNumId="107">
    <w:nsid w:val="175DFCF0"/>
    <w:multiLevelType w:val="hybridMultilevel"/>
    <w:lvl w:ilvl="0">
      <w:lvlJc w:val="left"/>
      <w:lvlText w:val="(%1)"/>
      <w:numFmt w:val="lowerLetter"/>
      <w:start w:val="61"/>
    </w:lvl>
    <w:lvl w:ilvl="1">
      <w:lvlJc w:val="left"/>
      <w:lvlText w:val="(%2)"/>
      <w:numFmt w:val="lowerLetter"/>
      <w:start w:val="3"/>
    </w:lvl>
  </w:abstractNum>
  <w:abstractNum w:abstractNumId="108">
    <w:nsid w:val="4F97E3E4"/>
    <w:multiLevelType w:val="hybridMultilevel"/>
    <w:lvl w:ilvl="0">
      <w:lvlJc w:val="left"/>
      <w:lvlText w:val="(%1)"/>
      <w:numFmt w:val="lowerLetter"/>
      <w:start w:val="4"/>
    </w:lvl>
  </w:abstractNum>
  <w:abstractNum w:abstractNumId="109">
    <w:nsid w:val="53B0A9E"/>
    <w:multiLevelType w:val="hybridMultilevel"/>
    <w:lvl w:ilvl="0">
      <w:lvlJc w:val="left"/>
      <w:lvlText w:val="%1"/>
      <w:numFmt w:val="lowerLetter"/>
      <w:start w:val="1"/>
    </w:lvl>
    <w:lvl w:ilvl="1">
      <w:lvlJc w:val="left"/>
      <w:lvlText w:val="(%2)"/>
      <w:numFmt w:val="lowerLetter"/>
      <w:start w:val="7"/>
    </w:lvl>
  </w:abstractNum>
  <w:abstractNum w:abstractNumId="110">
    <w:nsid w:val="34FD6B4F"/>
    <w:multiLevelType w:val="hybridMultilevel"/>
    <w:lvl w:ilvl="0">
      <w:lvlJc w:val="left"/>
      <w:lvlText w:val="(%1)"/>
      <w:numFmt w:val="lowerLetter"/>
      <w:start w:val="61"/>
    </w:lvl>
    <w:lvl w:ilvl="1">
      <w:lvlJc w:val="left"/>
      <w:lvlText w:val="(%2)"/>
      <w:numFmt w:val="lowerLetter"/>
      <w:start w:val="8"/>
    </w:lvl>
  </w:abstractNum>
  <w:abstractNum w:abstractNumId="111">
    <w:nsid w:val="5915FF32"/>
    <w:multiLevelType w:val="hybridMultilevel"/>
    <w:lvl w:ilvl="0">
      <w:lvlJc w:val="left"/>
      <w:lvlText w:val="(%1)"/>
      <w:numFmt w:val="lowerLetter"/>
      <w:start w:val="1"/>
    </w:lvl>
  </w:abstractNum>
  <w:abstractNum w:abstractNumId="112">
    <w:nsid w:val="56438D15"/>
    <w:multiLevelType w:val="hybridMultilevel"/>
    <w:lvl w:ilvl="0">
      <w:lvlJc w:val="left"/>
      <w:lvlText w:val="(%1)"/>
      <w:numFmt w:val="lowerLetter"/>
      <w:start w:val="4"/>
    </w:lvl>
  </w:abstractNum>
  <w:abstractNum w:abstractNumId="113">
    <w:nsid w:val="519E3149"/>
    <w:multiLevelType w:val="hybridMultilevel"/>
    <w:lvl w:ilvl="0">
      <w:lvlJc w:val="left"/>
      <w:lvlText w:val="(%1)"/>
      <w:numFmt w:val="lowerLetter"/>
      <w:start w:val="6"/>
    </w:lvl>
  </w:abstractNum>
  <w:abstractNum w:abstractNumId="114">
    <w:nsid w:val="2C6E4AFD"/>
    <w:multiLevelType w:val="hybridMultilevel"/>
    <w:lvl w:ilvl="0">
      <w:lvlJc w:val="left"/>
      <w:lvlText w:val="(%1)"/>
      <w:numFmt w:val="lowerLetter"/>
      <w:start w:val="12"/>
    </w:lvl>
    <w:lvl w:ilvl="1">
      <w:lvlJc w:val="left"/>
      <w:lvlText w:val="(%2)"/>
      <w:numFmt w:val="decimal"/>
      <w:start w:val="1"/>
    </w:lvl>
    <w:lvl w:ilvl="2">
      <w:lvlJc w:val="left"/>
      <w:lvlText w:val="(%3)"/>
      <w:numFmt w:val="lowerRoman"/>
      <w:start w:val="1"/>
    </w:lvl>
  </w:abstractNum>
  <w:abstractNum w:abstractNumId="115">
    <w:nsid w:val="17A1B582"/>
    <w:multiLevelType w:val="hybridMultilevel"/>
    <w:lvl w:ilvl="0">
      <w:lvlJc w:val="left"/>
      <w:lvlText w:val="%1"/>
      <w:numFmt w:val="decimal"/>
      <w:start w:val="1"/>
    </w:lvl>
    <w:lvl w:ilvl="1">
      <w:lvlJc w:val="left"/>
      <w:lvlText w:val="(%2)"/>
      <w:numFmt w:val="lowerRoman"/>
      <w:start w:val="2"/>
    </w:lvl>
  </w:abstractNum>
  <w:abstractNum w:abstractNumId="116">
    <w:nsid w:val="4DF72E4E"/>
    <w:multiLevelType w:val="hybridMultilevel"/>
    <w:lvl w:ilvl="0">
      <w:lvlJc w:val="left"/>
      <w:lvlText w:val="(%1)"/>
      <w:numFmt w:val="decimal"/>
      <w:start w:val="2"/>
    </w:lvl>
    <w:lvl w:ilvl="1">
      <w:lvlJc w:val="left"/>
      <w:lvlText w:val="%2"/>
      <w:numFmt w:val="lowerRoman"/>
      <w:start w:val="1"/>
    </w:lvl>
  </w:abstractNum>
  <w:abstractNum w:abstractNumId="117">
    <w:nsid w:val="5046B5A9"/>
    <w:multiLevelType w:val="hybridMultilevel"/>
    <w:lvl w:ilvl="0">
      <w:lvlJc w:val="left"/>
      <w:lvlText w:val="(%1)"/>
      <w:numFmt w:val="decimal"/>
      <w:start w:val="3"/>
    </w:lvl>
    <w:lvl w:ilvl="1">
      <w:lvlJc w:val="left"/>
      <w:lvlText w:val="(%2)"/>
      <w:numFmt w:val="lowerLetter"/>
      <w:start w:val="16"/>
    </w:lvl>
  </w:abstractNum>
  <w:abstractNum w:abstractNumId="118">
    <w:nsid w:val="5D888A08"/>
    <w:multiLevelType w:val="hybridMultilevel"/>
    <w:lvl w:ilvl="0">
      <w:lvlJc w:val="left"/>
      <w:lvlText w:val="(%1)"/>
      <w:numFmt w:val="lowerLetter"/>
      <w:start w:val="17"/>
    </w:lvl>
  </w:abstractNum>
  <w:abstractNum w:abstractNumId="119">
    <w:nsid w:val="2A082C70"/>
    <w:multiLevelType w:val="hybridMultilevel"/>
    <w:lvl w:ilvl="0">
      <w:lvlJc w:val="left"/>
      <w:lvlText w:val="(%1)"/>
      <w:numFmt w:val="lowerLetter"/>
      <w:start w:val="21"/>
    </w:lvl>
  </w:abstractNum>
  <w:abstractNum w:abstractNumId="120">
    <w:nsid w:val="5EC6AFD4"/>
    <w:multiLevelType w:val="hybridMultilevel"/>
    <w:lvl w:ilvl="0">
      <w:lvlJc w:val="left"/>
      <w:lvlText w:val="(%1)"/>
      <w:numFmt w:val="lowerLetter"/>
      <w:start w:val="27"/>
    </w:lvl>
  </w:abstractNum>
  <w:abstractNum w:abstractNumId="121">
    <w:nsid w:val="19E21BB2"/>
    <w:multiLevelType w:val="hybridMultilevel"/>
    <w:lvl w:ilvl="0">
      <w:lvlJc w:val="left"/>
      <w:lvlText w:val="(%1)"/>
      <w:numFmt w:val="lowerLetter"/>
      <w:start w:val="28"/>
    </w:lvl>
  </w:abstractNum>
  <w:abstractNum w:abstractNumId="122">
    <w:nsid w:val="75E0858A"/>
    <w:multiLevelType w:val="hybridMultilevel"/>
    <w:lvl w:ilvl="0">
      <w:lvlJc w:val="left"/>
      <w:lvlText w:val="%1"/>
      <w:numFmt w:val="lowerLetter"/>
      <w:start w:val="1"/>
    </w:lvl>
    <w:lvl w:ilvl="1">
      <w:lvlJc w:val="left"/>
      <w:lvlText w:val="(%2)"/>
      <w:numFmt w:val="lowerLetter"/>
      <w:start w:val="1"/>
    </w:lvl>
  </w:abstractNum>
  <w:abstractNum w:abstractNumId="123">
    <w:nsid w:val="57A61A29"/>
    <w:multiLevelType w:val="hybridMultilevel"/>
    <w:lvl w:ilvl="0">
      <w:lvlJc w:val="left"/>
      <w:lvlText w:val="(%1)"/>
      <w:numFmt w:val="lowerLetter"/>
      <w:start w:val="24"/>
    </w:lvl>
    <w:lvl w:ilvl="1">
      <w:lvlJc w:val="left"/>
      <w:lvlText w:val="(%2)"/>
      <w:numFmt w:val="lowerLetter"/>
      <w:start w:val="2"/>
    </w:lvl>
  </w:abstractNum>
  <w:abstractNum w:abstractNumId="124">
    <w:nsid w:val="5399C654"/>
    <w:multiLevelType w:val="hybridMultilevel"/>
    <w:lvl w:ilvl="0">
      <w:lvlJc w:val="left"/>
      <w:lvlText w:val="%1"/>
      <w:numFmt w:val="lowerLetter"/>
      <w:start w:val="1"/>
    </w:lvl>
    <w:lvl w:ilvl="1">
      <w:lvlJc w:val="left"/>
      <w:lvlText w:val="(%2)"/>
      <w:numFmt w:val="lowerLetter"/>
      <w:start w:val="1"/>
    </w:lvl>
  </w:abstractNum>
  <w:abstractNum w:abstractNumId="125">
    <w:nsid w:val="20EE1348"/>
    <w:multiLevelType w:val="hybridMultilevel"/>
    <w:lvl w:ilvl="0">
      <w:lvlJc w:val="left"/>
      <w:lvlText w:val="(%1)"/>
      <w:numFmt w:val="lowerLetter"/>
      <w:start w:val="9"/>
    </w:lvl>
    <w:lvl w:ilvl="1">
      <w:lvlJc w:val="left"/>
      <w:lvlText w:val="(%2)"/>
      <w:numFmt w:val="lowerLetter"/>
      <w:start w:val="2"/>
    </w:lvl>
  </w:abstractNum>
  <w:abstractNum w:abstractNumId="126">
    <w:nsid w:val="4427069A"/>
    <w:multiLevelType w:val="hybridMultilevel"/>
    <w:lvl w:ilvl="0">
      <w:lvlJc w:val="left"/>
      <w:lvlText w:val="(%1)"/>
      <w:numFmt w:val="lowerLetter"/>
      <w:start w:val="35"/>
    </w:lvl>
    <w:lvl w:ilvl="1">
      <w:lvlJc w:val="left"/>
      <w:lvlText w:val="%2"/>
      <w:numFmt w:val="lowerLetter"/>
      <w:start w:val="1"/>
    </w:lvl>
  </w:abstractNum>
  <w:abstractNum w:abstractNumId="127">
    <w:nsid w:val="B37E80A"/>
    <w:multiLevelType w:val="hybridMultilevel"/>
    <w:lvl w:ilvl="0">
      <w:lvlJc w:val="left"/>
      <w:lvlText w:val="%1"/>
      <w:numFmt w:val="lowerLetter"/>
      <w:start w:val="1"/>
    </w:lvl>
    <w:lvl w:ilvl="1">
      <w:lvlJc w:val="left"/>
      <w:lvlText w:val="(%2)"/>
      <w:numFmt w:val="lowerLetter"/>
      <w:start w:val="3"/>
    </w:lvl>
  </w:abstractNum>
  <w:abstractNum w:abstractNumId="128">
    <w:nsid w:val="2157F6BC"/>
    <w:multiLevelType w:val="hybridMultilevel"/>
    <w:lvl w:ilvl="0">
      <w:lvlJc w:val="left"/>
      <w:lvlText w:val="(%1)"/>
      <w:numFmt w:val="lowerLetter"/>
      <w:start w:val="35"/>
    </w:lvl>
    <w:lvl w:ilvl="1">
      <w:lvlJc w:val="left"/>
      <w:lvlText w:val="(%2)"/>
      <w:numFmt w:val="lowerLetter"/>
      <w:start w:val="9"/>
    </w:lvl>
  </w:abstractNum>
  <w:abstractNum w:abstractNumId="129">
    <w:nsid w:val="704E1DD5"/>
    <w:multiLevelType w:val="hybridMultilevel"/>
    <w:lvl w:ilvl="0">
      <w:lvlJc w:val="left"/>
      <w:lvlText w:val="(%1)"/>
      <w:numFmt w:val="lowerLetter"/>
      <w:start w:val="12"/>
    </w:lvl>
  </w:abstractNum>
  <w:abstractNum w:abstractNumId="130">
    <w:nsid w:val="57D2F10E"/>
    <w:multiLevelType w:val="hybridMultilevel"/>
    <w:lvl w:ilvl="0">
      <w:lvlJc w:val="left"/>
      <w:lvlText w:val="(%1)"/>
      <w:numFmt w:val="lowerLetter"/>
      <w:start w:val="1"/>
    </w:lvl>
  </w:abstractNum>
  <w:abstractNum w:abstractNumId="131">
    <w:nsid w:val="BFFAE18"/>
    <w:multiLevelType w:val="hybridMultilevel"/>
    <w:lvl w:ilvl="0">
      <w:lvlJc w:val="left"/>
      <w:lvlText w:val="(%1)"/>
      <w:numFmt w:val="lowerLetter"/>
      <w:start w:val="3"/>
    </w:lvl>
  </w:abstractNum>
  <w:abstractNum w:abstractNumId="132">
    <w:nsid w:val="E3E47A8"/>
    <w:multiLevelType w:val="hybridMultilevel"/>
    <w:lvl w:ilvl="0">
      <w:lvlJc w:val="left"/>
      <w:lvlText w:val="(%1)"/>
      <w:numFmt w:val="lowerLetter"/>
      <w:start w:val="1"/>
    </w:lvl>
  </w:abstractNum>
  <w:abstractNum w:abstractNumId="133">
    <w:nsid w:val="2E48F044"/>
    <w:multiLevelType w:val="hybridMultilevel"/>
    <w:lvl w:ilvl="0">
      <w:lvlJc w:val="left"/>
      <w:lvlText w:val="%1"/>
      <w:numFmt w:val="lowerLetter"/>
      <w:start w:val="1"/>
    </w:lvl>
    <w:lvl w:ilvl="1">
      <w:lvlJc w:val="left"/>
      <w:lvlText w:val="(%2)"/>
      <w:numFmt w:val="lowerLetter"/>
      <w:start w:val="2"/>
    </w:lvl>
  </w:abstractNum>
  <w:abstractNum w:abstractNumId="134">
    <w:nsid w:val="49D0FEAC"/>
    <w:multiLevelType w:val="hybridMultilevel"/>
    <w:lvl w:ilvl="0">
      <w:lvlJc w:val="left"/>
      <w:lvlText w:val="(%1)"/>
      <w:numFmt w:val="lowerLetter"/>
      <w:start w:val="4"/>
    </w:lvl>
    <w:lvl w:ilvl="1">
      <w:lvlJc w:val="left"/>
      <w:lvlText w:val="(%2)"/>
      <w:numFmt w:val="lowerLetter"/>
      <w:start w:val="6"/>
    </w:lvl>
  </w:abstractNum>
  <w:abstractNum w:abstractNumId="135">
    <w:nsid w:val="4BEE5A5B"/>
    <w:multiLevelType w:val="hybridMultilevel"/>
    <w:lvl w:ilvl="0">
      <w:lvlJc w:val="left"/>
      <w:lvlText w:val="(%1)"/>
      <w:numFmt w:val="lowerLetter"/>
      <w:start w:val="1"/>
    </w:lvl>
  </w:abstractNum>
  <w:abstractNum w:abstractNumId="136">
    <w:nsid w:val="5551B9F3"/>
    <w:multiLevelType w:val="hybridMultilevel"/>
    <w:lvl w:ilvl="0">
      <w:lvlJc w:val="left"/>
      <w:lvlText w:val="(%1)"/>
      <w:numFmt w:val="lowerRoman"/>
      <w:start w:val="1"/>
    </w:lvl>
  </w:abstractNum>
  <w:abstractNum w:abstractNumId="137">
    <w:nsid w:val="24F6AB8E"/>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2019-12-28T22:22:40Z</dcterms:created>
  <dcterms:modified xsi:type="dcterms:W3CDTF">2019-12-28T22:22:40Z</dcterms:modified>
</cp:coreProperties>
</file>