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6760" w:type="dxa"/>
            <w:vAlign w:val="bottom"/>
          </w:tcPr>
          <w:p>
            <w:pPr>
              <w:jc w:val="center"/>
              <w:ind w:right="3104"/>
              <w:spacing w:after="0"/>
              <w:rPr>
                <w:sz w:val="20"/>
                <w:szCs w:val="20"/>
                <w:color w:val="auto"/>
              </w:rPr>
            </w:pPr>
            <w:r>
              <w:rPr>
                <w:rFonts w:ascii="Arial" w:cs="Arial" w:eastAsia="Arial" w:hAnsi="Arial"/>
                <w:sz w:val="18"/>
                <w:szCs w:val="18"/>
                <w:b w:val="1"/>
                <w:bCs w:val="1"/>
                <w:color w:val="auto"/>
                <w:w w:val="93"/>
              </w:rPr>
              <w:t>Maryland</w:t>
            </w:r>
          </w:p>
        </w:tc>
        <w:tc>
          <w:tcPr>
            <w:tcW w:w="1540" w:type="dxa"/>
            <w:vAlign w:val="bottom"/>
          </w:tcPr>
          <w:p>
            <w:pPr>
              <w:jc w:val="center"/>
              <w:ind w:left="42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6760" w:type="dxa"/>
            <w:vAlign w:val="bottom"/>
          </w:tcPr>
          <w:p>
            <w:pPr>
              <w:jc w:val="center"/>
              <w:ind w:right="31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40" w:type="dxa"/>
            <w:vAlign w:val="bottom"/>
          </w:tcPr>
          <w:p>
            <w:pPr>
              <w:jc w:val="center"/>
              <w:ind w:left="4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760" w:type="dxa"/>
            <w:vAlign w:val="bottom"/>
          </w:tcPr>
          <w:p>
            <w:pPr>
              <w:jc w:val="center"/>
              <w:ind w:right="3104"/>
              <w:spacing w:after="0"/>
              <w:rPr>
                <w:sz w:val="20"/>
                <w:szCs w:val="20"/>
                <w:color w:val="auto"/>
              </w:rPr>
            </w:pPr>
            <w:r>
              <w:rPr>
                <w:rFonts w:ascii="Arial" w:cs="Arial" w:eastAsia="Arial" w:hAnsi="Arial"/>
                <w:sz w:val="14"/>
                <w:szCs w:val="14"/>
                <w:b w:val="1"/>
                <w:bCs w:val="1"/>
                <w:color w:val="auto"/>
                <w:w w:val="89"/>
              </w:rPr>
              <w:t>incorporation or organization)</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6760" w:type="dxa"/>
            <w:vAlign w:val="bottom"/>
          </w:tcPr>
          <w:p>
            <w:pPr>
              <w:jc w:val="center"/>
              <w:ind w:right="3104"/>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1540" w:type="dxa"/>
            <w:vAlign w:val="bottom"/>
          </w:tcPr>
          <w:p>
            <w:pPr>
              <w:jc w:val="center"/>
              <w:ind w:left="42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6760" w:type="dxa"/>
            <w:vAlign w:val="bottom"/>
          </w:tcPr>
          <w:p>
            <w:pPr>
              <w:jc w:val="center"/>
              <w:ind w:right="310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6760" w:type="dxa"/>
            <w:vAlign w:val="bottom"/>
          </w:tcPr>
          <w:p>
            <w:pPr>
              <w:jc w:val="right"/>
              <w:ind w:right="1384"/>
              <w:spacing w:after="0"/>
              <w:rPr>
                <w:sz w:val="20"/>
                <w:szCs w:val="20"/>
                <w:color w:val="auto"/>
              </w:rPr>
            </w:pPr>
            <w:r>
              <w:rPr>
                <w:rFonts w:ascii="Arial" w:cs="Arial" w:eastAsia="Arial" w:hAnsi="Arial"/>
                <w:sz w:val="18"/>
                <w:szCs w:val="18"/>
                <w:b w:val="1"/>
                <w:bCs w:val="1"/>
                <w:color w:val="auto"/>
              </w:rPr>
              <w:t>(301) 998-8100</w:t>
            </w:r>
          </w:p>
        </w:tc>
        <w:tc>
          <w:tcPr>
            <w:tcW w:w="1540" w:type="dxa"/>
            <w:vAlign w:val="bottom"/>
          </w:tcPr>
          <w:p>
            <w:pPr>
              <w:spacing w:after="0"/>
              <w:rPr>
                <w:sz w:val="24"/>
                <w:szCs w:val="24"/>
                <w:color w:val="auto"/>
              </w:rPr>
            </w:pPr>
          </w:p>
        </w:tc>
      </w:tr>
      <w:tr>
        <w:trPr>
          <w:trHeight w:val="174"/>
        </w:trPr>
        <w:tc>
          <w:tcPr>
            <w:tcW w:w="6760" w:type="dxa"/>
            <w:vAlign w:val="bottom"/>
          </w:tcPr>
          <w:p>
            <w:pPr>
              <w:jc w:val="center"/>
              <w:ind w:left="26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500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w w:val="80"/>
              </w:rPr>
              <w:t>Class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July 26, 2004</w:t>
            </w:r>
          </w:p>
        </w:tc>
        <w:tc>
          <w:tcPr>
            <w:tcW w:w="1600" w:type="dxa"/>
            <w:vAlign w:val="bottom"/>
          </w:tcPr>
          <w:p>
            <w:pPr>
              <w:spacing w:after="0"/>
              <w:rPr>
                <w:sz w:val="15"/>
                <w:szCs w:val="15"/>
                <w:color w:val="auto"/>
              </w:rPr>
            </w:pPr>
          </w:p>
        </w:tc>
      </w:tr>
      <w:tr>
        <w:trPr>
          <w:trHeight w:val="95"/>
        </w:trPr>
        <w:tc>
          <w:tcPr>
            <w:tcW w:w="26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r>
      <w:tr>
        <w:trPr>
          <w:trHeight w:val="316"/>
        </w:trPr>
        <w:tc>
          <w:tcPr>
            <w:tcW w:w="766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Common Shares of Beneficial Interest</w:t>
            </w:r>
          </w:p>
        </w:tc>
        <w:tc>
          <w:tcPr>
            <w:tcW w:w="2160" w:type="dxa"/>
            <w:vAlign w:val="bottom"/>
          </w:tcPr>
          <w:p>
            <w:pPr>
              <w:jc w:val="right"/>
              <w:ind w:right="602"/>
              <w:spacing w:after="0"/>
              <w:rPr>
                <w:sz w:val="20"/>
                <w:szCs w:val="20"/>
                <w:color w:val="auto"/>
              </w:rPr>
            </w:pPr>
            <w:r>
              <w:rPr>
                <w:rFonts w:ascii="Arial" w:cs="Arial" w:eastAsia="Arial" w:hAnsi="Arial"/>
                <w:sz w:val="18"/>
                <w:szCs w:val="18"/>
                <w:color w:val="auto"/>
              </w:rPr>
              <w:t>51,782,037</w:t>
            </w:r>
          </w:p>
        </w:tc>
        <w:tc>
          <w:tcPr>
            <w:tcW w:w="1600" w:type="dxa"/>
            <w:vAlign w:val="bottom"/>
          </w:tcPr>
          <w:p>
            <w:pPr>
              <w:spacing w:after="0"/>
              <w:rPr>
                <w:sz w:val="24"/>
                <w:szCs w:val="24"/>
                <w:color w:val="auto"/>
              </w:rPr>
            </w:pPr>
          </w:p>
        </w:tc>
      </w:tr>
      <w:tr>
        <w:trPr>
          <w:trHeight w:val="201"/>
        </w:trPr>
        <w:tc>
          <w:tcPr>
            <w:tcW w:w="2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95"/>
        </w:trPr>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2200" w:type="dxa"/>
            <w:vAlign w:val="bottom"/>
            <w:gridSpan w:val="3"/>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340" w:type="dxa"/>
            <w:vAlign w:val="bottom"/>
            <w:gridSpan w:val="16"/>
            <w:vMerge w:val="restart"/>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40" w:type="dxa"/>
            <w:vAlign w:val="bottom"/>
            <w:gridSpan w:val="2"/>
            <w:vMerge w:val="continue"/>
          </w:tcPr>
          <w:p>
            <w:pPr>
              <w:spacing w:after="0"/>
              <w:rPr>
                <w:sz w:val="24"/>
                <w:szCs w:val="24"/>
                <w:color w:val="auto"/>
              </w:rPr>
            </w:pPr>
          </w:p>
        </w:tc>
        <w:tc>
          <w:tcPr>
            <w:tcW w:w="2200" w:type="dxa"/>
            <w:vAlign w:val="bottom"/>
            <w:tcBorders>
              <w:bottom w:val="single" w:sz="8" w:color="0000EE"/>
            </w:tcBorders>
            <w:gridSpan w:val="3"/>
            <w:vMerge w:val="continue"/>
          </w:tcPr>
          <w:p>
            <w:pPr>
              <w:spacing w:after="0"/>
              <w:rPr>
                <w:sz w:val="24"/>
                <w:szCs w:val="24"/>
                <w:color w:val="auto"/>
              </w:rPr>
            </w:pPr>
          </w:p>
        </w:tc>
        <w:tc>
          <w:tcPr>
            <w:tcW w:w="7340" w:type="dxa"/>
            <w:vAlign w:val="bottom"/>
            <w:gridSpan w:val="16"/>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540" w:type="dxa"/>
            <w:vAlign w:val="bottom"/>
            <w:gridSpan w:val="18"/>
          </w:tcPr>
          <w:p>
            <w:pPr>
              <w:ind w:left="20"/>
              <w:spacing w:after="0"/>
              <w:rPr>
                <w:sz w:val="20"/>
                <w:szCs w:val="20"/>
                <w:color w:val="auto"/>
              </w:rPr>
            </w:pPr>
            <w:r>
              <w:rPr>
                <w:rFonts w:ascii="Arial" w:cs="Arial" w:eastAsia="Arial" w:hAnsi="Arial"/>
                <w:sz w:val="18"/>
                <w:szCs w:val="18"/>
                <w:color w:val="auto"/>
              </w:rPr>
              <w:t>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June 30, 2004 (unaudited) and December 31, 2003 (audited)</w:t>
              </w:r>
            </w:hyperlink>
          </w:p>
        </w:tc>
        <w:tc>
          <w:tcPr>
            <w:tcW w:w="3220" w:type="dxa"/>
            <w:vAlign w:val="bottom"/>
            <w:gridSpan w:val="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six months ended June 30, 2004 and 2003</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Operations (unaudited) three months ended June 30, 2004 and 2003</w:t>
              </w:r>
            </w:hyperlink>
          </w:p>
        </w:tc>
        <w:tc>
          <w:tcPr>
            <w:tcW w:w="2800" w:type="dxa"/>
            <w:vAlign w:val="bottom"/>
            <w:gridSpan w:val="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Common Shareholders’ Equity (unaudited) six months ended June 30, 2004 and 2003</w:t>
              </w:r>
            </w:hyperlink>
          </w:p>
        </w:tc>
        <w:tc>
          <w:tcPr>
            <w:tcW w:w="15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Consolidated Statements of Cash Flows (unaudited) six months ended June 30, 2004 and 2003</w:t>
              </w:r>
            </w:hyperlink>
          </w:p>
        </w:tc>
        <w:tc>
          <w:tcPr>
            <w:tcW w:w="290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540" w:type="dxa"/>
            <w:vAlign w:val="bottom"/>
            <w:gridSpan w:val="18"/>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6"/>
              </w:rPr>
              <w:t>18-38</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0"/>
          </w:tcPr>
          <w:p>
            <w:pPr>
              <w:ind w:left="2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6"/>
          </w:tcPr>
          <w:p>
            <w:pPr>
              <w:spacing w:after="0"/>
              <w:rPr>
                <w:sz w:val="24"/>
                <w:szCs w:val="24"/>
                <w:color w:val="auto"/>
              </w:rPr>
            </w:pPr>
          </w:p>
        </w:tc>
        <w:tc>
          <w:tcPr>
            <w:tcW w:w="224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39-40</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ind w:left="20"/>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Controls and Procedures</w:t>
              </w:r>
            </w:hyperlink>
          </w:p>
        </w:tc>
        <w:tc>
          <w:tcPr>
            <w:tcW w:w="680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OTHER INFORMATION</w:t>
              </w:r>
            </w:hyperlink>
          </w:p>
        </w:tc>
        <w:tc>
          <w:tcPr>
            <w:tcW w:w="7700" w:type="dxa"/>
            <w:vAlign w:val="bottom"/>
            <w:gridSpan w:val="1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EE"/>
            </w:tcBorders>
            <w:gridSpan w:val="4"/>
          </w:tcPr>
          <w:p>
            <w:pPr>
              <w:ind w:left="20"/>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Legal Proceedings</w:t>
              </w:r>
            </w:hyperlink>
          </w:p>
        </w:tc>
        <w:tc>
          <w:tcPr>
            <w:tcW w:w="722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540" w:type="dxa"/>
            <w:vAlign w:val="bottom"/>
            <w:gridSpan w:val="18"/>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Changes in Securities, Use of Proceeds and Issuer Purchases of Equity Securities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Defaults Upon Senior Securities</w:t>
              </w:r>
            </w:hyperlink>
          </w:p>
        </w:tc>
        <w:tc>
          <w:tcPr>
            <w:tcW w:w="3420" w:type="dxa"/>
            <w:vAlign w:val="bottom"/>
            <w:tcBorders>
              <w:top w:val="single" w:sz="8" w:color="0000EE"/>
            </w:tcBorders>
            <w:gridSpan w:val="7"/>
          </w:tcPr>
          <w:p>
            <w:pPr>
              <w:spacing w:after="0"/>
              <w:rPr>
                <w:sz w:val="17"/>
                <w:szCs w:val="17"/>
                <w:color w:val="auto"/>
              </w:rPr>
            </w:pPr>
          </w:p>
        </w:tc>
        <w:tc>
          <w:tcPr>
            <w:tcW w:w="2840" w:type="dxa"/>
            <w:vAlign w:val="bottom"/>
            <w:gridSpan w:val="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Submission of Matters to a Vote to Security Holders</w:t>
              </w:r>
            </w:hyperlink>
          </w:p>
        </w:tc>
        <w:tc>
          <w:tcPr>
            <w:tcW w:w="4860" w:type="dxa"/>
            <w:vAlign w:val="bottom"/>
            <w:gridSpan w:val="9"/>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Other Information</w:t>
              </w:r>
            </w:hyperlink>
          </w:p>
        </w:tc>
        <w:tc>
          <w:tcPr>
            <w:tcW w:w="724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540" w:type="dxa"/>
            <w:vAlign w:val="bottom"/>
            <w:gridSpan w:val="18"/>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Exhibits and Reports on Form 8-K</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100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80" w:type="dxa"/>
            <w:vAlign w:val="bottom"/>
            <w:gridSpan w:val="9"/>
          </w:tcPr>
          <w:p>
            <w:pPr>
              <w:ind w:left="3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six months ended June 30, 2004 are not necessarily indicative of the results that may be expected for the full year. These financial statements should be read in conjunction with our audited consolidated financial statements and footnotes thereto included in the Trust’s Annual Report on Form 10-K (as amended) for the fiscal year ended December 31, 2003.</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440" w:type="dxa"/>
            <w:vAlign w:val="bottom"/>
            <w:gridSpan w:val="5"/>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5"/>
              </w:rPr>
              <w:t>(in thousands, except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center"/>
              <w:ind w:left="493"/>
              <w:spacing w:after="0"/>
              <w:rPr>
                <w:sz w:val="20"/>
                <w:szCs w:val="20"/>
                <w:color w:val="auto"/>
              </w:rPr>
            </w:pPr>
            <w:r>
              <w:rPr>
                <w:rFonts w:ascii="Arial" w:cs="Arial" w:eastAsia="Arial" w:hAnsi="Arial"/>
                <w:sz w:val="18"/>
                <w:szCs w:val="18"/>
                <w:b w:val="1"/>
                <w:bCs w:val="1"/>
                <w:color w:val="auto"/>
                <w:w w:val="87"/>
              </w:rPr>
              <w:t>share data)</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Real estate, at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2,624,408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2,470,149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(552,138)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(514,177)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2,072,270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1,955,972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45,103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34,494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 principally lease commissions and property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Debt issuance costs, net of accumulated amortization of $4,378, and $3,111, respectively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2,275,213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Mortgages and construction loans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253,398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60,704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Security deposit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570,500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1,455,370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29,864</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8.5% Series B Cumulative Redeemable Preferred Shares, (stated at liquidation preference $25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5,400,000 shares issued in 2001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3"/>
              </w:rPr>
              <w:t>Common shares of beneficial interest, $.01 par, 100,000,000 shares authorized, 53,156,349 and 50,670,851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1,090,527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(398,386)</w:t>
            </w: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(386,738)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1,470,275 common shares in treasury, at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(28,445)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Deferred compensation on restricted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(8,558)</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employees stock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789,979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2,275,213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vMerge w:val="restart"/>
          </w:tcPr>
          <w:p>
            <w:pPr>
              <w:ind w:left="2960"/>
              <w:spacing w:after="0"/>
              <w:rPr>
                <w:sz w:val="20"/>
                <w:szCs w:val="20"/>
                <w:color w:val="auto"/>
              </w:rPr>
            </w:pPr>
            <w:r>
              <w:rPr>
                <w:rFonts w:ascii="Arial" w:cs="Arial" w:eastAsia="Arial" w:hAnsi="Arial"/>
                <w:sz w:val="18"/>
                <w:szCs w:val="18"/>
                <w:color w:val="auto"/>
                <w:w w:val="96"/>
              </w:rPr>
              <w:t>The accompanying notes are an integral part of these consolidated statements.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-5120005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-5120005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-5120005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-5120005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-5120005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-5120005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26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181,423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195,285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116,119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(42,710)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(35,831)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8,334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43,578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8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-2641600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-2641600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-2641600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-2641600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-2641600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-2641600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-1783715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-1783715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-1783715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-1783715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-1783715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-1783715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-1483995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-1483995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-1483995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-1483995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-1483995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-1483995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-626110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-626110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-626110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-626110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-626110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60325</wp:posOffset>
            </wp:positionV>
            <wp:extent cx="1260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rPr>
              <w:t>per share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92,145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99,880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22,509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23,235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59,858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40,022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6"/>
              </w:rPr>
              <w:t>(21,391)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8,276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26,332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20" w:type="dxa"/>
            <w:vAlign w:val="bottom"/>
          </w:tcPr>
          <w:p>
            <w:pPr>
              <w:spacing w:after="0"/>
              <w:rPr>
                <w:sz w:val="24"/>
                <w:szCs w:val="2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(2,869)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23,463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51,359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52,681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vMerge w:val="restart"/>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-2641600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-2641600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-2641600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-2641600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-2641600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-2641600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-1783715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-1783715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-1783715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-1783715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-1783715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-1783715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-1483995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-1483995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-1483995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-1483995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-1483995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-1483995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-626110</wp:posOffset>
            </wp:positionV>
            <wp:extent cx="45021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-626110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-626110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0"/>
              </w:rPr>
              <w:t>Six month ended 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tcPr>
          <w:p>
            <w:pPr>
              <w:ind w:left="500"/>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32"/>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Additional</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Paid-</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Paid-</w:t>
            </w:r>
          </w:p>
        </w:tc>
        <w:tc>
          <w:tcPr>
            <w:tcW w:w="0" w:type="dxa"/>
            <w:vAlign w:val="bottom"/>
          </w:tcPr>
          <w:p>
            <w:pPr>
              <w:spacing w:after="0"/>
              <w:rPr>
                <w:sz w:val="1"/>
                <w:szCs w:val="1"/>
                <w:color w:val="auto"/>
              </w:rPr>
            </w:pPr>
          </w:p>
        </w:tc>
      </w:t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12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in Capital</w:t>
            </w: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Shares</w:t>
            </w: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50,670,851</w:t>
            </w:r>
          </w:p>
        </w:tc>
        <w:tc>
          <w:tcPr>
            <w:tcW w:w="5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5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980,227</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44,996,382</w:t>
            </w: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540" w:type="dxa"/>
            <w:vAlign w:val="bottom"/>
          </w:tcPr>
          <w:p>
            <w:pPr>
              <w:spacing w:after="0"/>
              <w:rPr>
                <w:sz w:val="12"/>
                <w:szCs w:val="12"/>
                <w:color w:val="auto"/>
              </w:rPr>
            </w:pP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818,290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170,106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2,001,055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44,026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59,830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Performance and Restricted Shares granted, net of Restricted Shares</w:t>
            </w: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retired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84,617</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3,632</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134,568</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shares in public offering</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2,186,749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99,099</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3,236,245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98,435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to purchase OP units</w:t>
            </w: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ind w:left="420"/>
              <w:spacing w:after="0"/>
              <w:rPr>
                <w:sz w:val="20"/>
                <w:szCs w:val="20"/>
                <w:color w:val="auto"/>
              </w:rPr>
            </w:pPr>
            <w:r>
              <w:rPr>
                <w:rFonts w:ascii="Arial" w:cs="Arial" w:eastAsia="Arial" w:hAnsi="Arial"/>
                <w:sz w:val="14"/>
                <w:szCs w:val="14"/>
                <w:color w:val="auto"/>
              </w:rPr>
              <w:t>Stock compensation associated with variable accounting</w:t>
            </w:r>
          </w:p>
        </w:tc>
        <w:tc>
          <w:tcPr>
            <w:tcW w:w="12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1,698</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53,156,349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1,090,527</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50,493,032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5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972,178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Dividends in Excess of Trust Net Income</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6"/>
              </w:rPr>
              <w:t>(386,738)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6"/>
              </w:rPr>
              <w:t>(368,839)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43,578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34,502</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Dividends declared to common shareholders</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9"/>
              </w:rPr>
              <w:t>(49,488)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9"/>
              </w:rPr>
              <w:t>(45,690)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(5,738)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(9,346)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6"/>
              </w:rPr>
              <w:t>(398,386)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6"/>
              </w:rPr>
              <w:t>(389,373)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 in Treasury</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(1,470,275)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9"/>
              </w:rPr>
              <w:t>(28,445)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2"/>
              </w:rPr>
              <w:t>(1,461,147)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9"/>
              </w:rPr>
              <w:t>(28,193)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forfeited</w:t>
            </w: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7"/>
              </w:rPr>
              <w:t>(1,470,275)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9"/>
              </w:rPr>
              <w:t>(28,445)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2"/>
              </w:rPr>
              <w:t>(1,463,611)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9"/>
              </w:rPr>
              <w:t>(28,263)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Compensation on Restricted Shares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(220,666)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(5,474)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(129,448)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(2,657)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issued, net of forfeitures</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(75,522)</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(4,373)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(3,320)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ind w:left="420"/>
              <w:spacing w:after="0"/>
              <w:rPr>
                <w:sz w:val="20"/>
                <w:szCs w:val="20"/>
                <w:color w:val="auto"/>
              </w:rPr>
            </w:pPr>
            <w:r>
              <w:rPr>
                <w:rFonts w:ascii="Arial" w:cs="Arial" w:eastAsia="Arial" w:hAnsi="Arial"/>
                <w:sz w:val="14"/>
                <w:szCs w:val="14"/>
                <w:color w:val="auto"/>
              </w:rPr>
              <w:t>Vesting of Performance and Restricted Shares</w:t>
            </w:r>
          </w:p>
        </w:tc>
        <w:tc>
          <w:tcPr>
            <w:tcW w:w="680" w:type="dxa"/>
            <w:vAlign w:val="bottom"/>
          </w:tcPr>
          <w:p>
            <w:pPr>
              <w:jc w:val="right"/>
              <w:spacing w:after="0"/>
              <w:rPr>
                <w:sz w:val="20"/>
                <w:szCs w:val="20"/>
                <w:color w:val="auto"/>
              </w:rPr>
            </w:pPr>
            <w:r>
              <w:rPr>
                <w:rFonts w:ascii="Arial" w:cs="Arial" w:eastAsia="Arial" w:hAnsi="Arial"/>
                <w:sz w:val="14"/>
                <w:szCs w:val="14"/>
                <w:color w:val="auto"/>
              </w:rPr>
              <w:t>52,384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21,436</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440</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(243,804)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(8,558)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(226,012)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(5,537)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Subscriptions receivable from employee stock plans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(156,274)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(3,615)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(184,063)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(5,151)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Subscription loans issued</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(36,667)</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(895)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ind w:left="420"/>
              <w:spacing w:after="0"/>
              <w:rPr>
                <w:sz w:val="20"/>
                <w:szCs w:val="20"/>
                <w:color w:val="auto"/>
              </w:rPr>
            </w:pPr>
            <w:r>
              <w:rPr>
                <w:rFonts w:ascii="Arial" w:cs="Arial" w:eastAsia="Arial" w:hAnsi="Arial"/>
                <w:sz w:val="14"/>
                <w:szCs w:val="14"/>
                <w:color w:val="auto"/>
              </w:rPr>
              <w:t>Subscription loans paid</w:t>
            </w:r>
          </w:p>
        </w:tc>
        <w:tc>
          <w:tcPr>
            <w:tcW w:w="680" w:type="dxa"/>
            <w:vAlign w:val="bottom"/>
          </w:tcPr>
          <w:p>
            <w:pPr>
              <w:jc w:val="right"/>
              <w:spacing w:after="0"/>
              <w:rPr>
                <w:sz w:val="20"/>
                <w:szCs w:val="20"/>
                <w:color w:val="auto"/>
              </w:rPr>
            </w:pPr>
            <w:r>
              <w:rPr>
                <w:rFonts w:ascii="Arial" w:cs="Arial" w:eastAsia="Arial" w:hAnsi="Arial"/>
                <w:sz w:val="14"/>
                <w:szCs w:val="14"/>
                <w:color w:val="auto"/>
              </w:rPr>
              <w:t>14,854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55,000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2,302</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(148,420)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(3,453)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(165,730)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(3,744)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(4,613)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on securities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2,788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2,238</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43,578</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34,502</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on securities</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2,788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2,238</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46,427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36,756</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-5054600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-5054600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-5054600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-5054600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-5054600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-5054600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-5054600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-5054600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-5054600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-5054600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-5054600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-5054600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-5054600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-5054600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-5054600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-5054600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-4110990</wp:posOffset>
            </wp:positionV>
            <wp:extent cx="4070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-4110990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-4110990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-4110990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-3425190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-3425190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-3425190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-3425190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-3425190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-3425190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-3425190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-3425190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-3425190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-3425190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-2576195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-2576195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-2576195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-2576195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-2576195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-2576195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-2576195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-2576195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-2576195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-2576195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-1727200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-1727200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-1727200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-1727200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-1727200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-1727200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-1727200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-1727200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-878205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-878205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-878205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-878205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-878205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-878205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60325</wp:posOffset>
            </wp:positionV>
            <wp:extent cx="14147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r>
      <w:tr>
        <w:trPr>
          <w:trHeight w:val="95"/>
        </w:trPr>
        <w:tc>
          <w:tcPr>
            <w:tcW w:w="90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90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49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tcPr>
          <w:p>
            <w:pPr>
              <w:jc w:val="right"/>
              <w:spacing w:after="0"/>
              <w:rPr>
                <w:sz w:val="20"/>
                <w:szCs w:val="20"/>
                <w:color w:val="auto"/>
              </w:rPr>
            </w:pPr>
            <w:r>
              <w:rPr>
                <w:rFonts w:ascii="Arial" w:cs="Arial" w:eastAsia="Arial" w:hAnsi="Arial"/>
                <w:sz w:val="18"/>
                <w:szCs w:val="18"/>
                <w:color w:val="auto"/>
              </w:rPr>
              <w:t>43,578</w:t>
            </w: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34,502</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Items not requiring cash outlays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43,858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35,575</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real estate</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2,568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Increase in accounts and notes receivable</w:t>
            </w:r>
          </w:p>
        </w:tc>
        <w:tc>
          <w:tcPr>
            <w:tcW w:w="110" w:type="dxa"/>
            <w:vAlign w:val="bottom"/>
          </w:tcPr>
          <w:p>
            <w:pPr>
              <w:spacing w:after="0"/>
              <w:rPr>
                <w:sz w:val="18"/>
                <w:szCs w:val="18"/>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rPr>
              <w:t>(3,287)</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(4,136)</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(4,171)</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Increase in operating accounts payable, security deposits and other liabilities</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2,367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accrued expenses</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(6,655)</w:t>
            </w:r>
          </w:p>
        </w:tc>
      </w:tr>
      <w:tr>
        <w:trPr>
          <w:trHeight w:val="108"/>
        </w:trPr>
        <w:tc>
          <w:tcPr>
            <w:tcW w:w="9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58,483</w:t>
            </w:r>
          </w:p>
        </w:tc>
      </w:tr>
      <w:tr>
        <w:trPr>
          <w:trHeight w:val="323"/>
        </w:trPr>
        <w:tc>
          <w:tcPr>
            <w:tcW w:w="9080" w:type="dxa"/>
            <w:vAlign w:val="bottom"/>
          </w:tcPr>
          <w:p>
            <w:pPr>
              <w:spacing w:after="0"/>
              <w:rPr>
                <w:sz w:val="20"/>
                <w:szCs w:val="20"/>
                <w:color w:val="auto"/>
              </w:rPr>
            </w:pPr>
            <w:r>
              <w:rPr>
                <w:rFonts w:ascii="Arial" w:cs="Arial" w:eastAsia="Arial" w:hAnsi="Arial"/>
                <w:sz w:val="18"/>
                <w:szCs w:val="18"/>
                <w:color w:val="auto"/>
              </w:rPr>
              <w:t>INVESTING ACTIVITIES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(97,134)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(15,559)</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10" w:type="dxa"/>
            <w:vAlign w:val="bottom"/>
          </w:tcPr>
          <w:p>
            <w:pPr>
              <w:spacing w:after="0"/>
              <w:rPr>
                <w:sz w:val="18"/>
                <w:szCs w:val="18"/>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(27,938)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(87,474)</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Santana Row insurance proceeds</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51,351</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110" w:type="dxa"/>
            <w:vAlign w:val="bottom"/>
          </w:tcPr>
          <w:p>
            <w:pPr>
              <w:spacing w:after="0"/>
              <w:rPr>
                <w:sz w:val="18"/>
                <w:szCs w:val="18"/>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(23,476)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(23,808)</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real estate</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Issuance of mortgage notes receivable, net</w:t>
            </w:r>
          </w:p>
        </w:tc>
        <w:tc>
          <w:tcPr>
            <w:tcW w:w="110" w:type="dxa"/>
            <w:vAlign w:val="bottom"/>
          </w:tcPr>
          <w:p>
            <w:pPr>
              <w:spacing w:after="0"/>
              <w:rPr>
                <w:sz w:val="19"/>
                <w:szCs w:val="19"/>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(2,417)</w:t>
            </w:r>
          </w:p>
        </w:tc>
      </w:tr>
      <w:tr>
        <w:trPr>
          <w:trHeight w:val="102"/>
        </w:trPr>
        <w:tc>
          <w:tcPr>
            <w:tcW w:w="90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0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(132,676)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(76,466)</w:t>
            </w:r>
          </w:p>
        </w:tc>
      </w:tr>
      <w:tr>
        <w:trPr>
          <w:trHeight w:val="323"/>
        </w:trPr>
        <w:tc>
          <w:tcPr>
            <w:tcW w:w="9080" w:type="dxa"/>
            <w:vAlign w:val="bottom"/>
          </w:tcPr>
          <w:p>
            <w:pPr>
              <w:spacing w:after="0"/>
              <w:rPr>
                <w:sz w:val="20"/>
                <w:szCs w:val="20"/>
                <w:color w:val="auto"/>
              </w:rPr>
            </w:pPr>
            <w:r>
              <w:rPr>
                <w:rFonts w:ascii="Arial" w:cs="Arial" w:eastAsia="Arial" w:hAnsi="Arial"/>
                <w:sz w:val="18"/>
                <w:szCs w:val="18"/>
                <w:color w:val="auto"/>
              </w:rPr>
              <w:t>FINANCING ACTIVITIES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borrowings on notes and senior debentures, net</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136,000</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w w:val="92"/>
              </w:rPr>
              <w:t>105,670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148,317</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Series A Preferred Shares</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(100,000)</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Net payments on mortgages, capital leases and notes payable</w:t>
            </w:r>
          </w:p>
        </w:tc>
        <w:tc>
          <w:tcPr>
            <w:tcW w:w="110" w:type="dxa"/>
            <w:vAlign w:val="bottom"/>
          </w:tcPr>
          <w:p>
            <w:pPr>
              <w:spacing w:after="0"/>
              <w:rPr>
                <w:sz w:val="18"/>
                <w:szCs w:val="18"/>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(24,496)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(41,973)</w:t>
            </w:r>
          </w:p>
        </w:tc>
      </w:tr>
      <w:tr>
        <w:trPr>
          <w:trHeight w:val="216"/>
        </w:trPr>
        <w:tc>
          <w:tcPr>
            <w:tcW w:w="90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Repayment of 5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debentures</w:t>
            </w:r>
          </w:p>
        </w:tc>
        <w:tc>
          <w:tcPr>
            <w:tcW w:w="110" w:type="dxa"/>
            <w:vAlign w:val="bottom"/>
            <w:shd w:val="clear" w:color="auto" w:fill="CCEEFF"/>
          </w:tcPr>
          <w:p>
            <w:pPr>
              <w:spacing w:after="0"/>
              <w:rPr>
                <w:sz w:val="18"/>
                <w:szCs w:val="18"/>
                <w:color w:val="auto"/>
              </w:rPr>
            </w:pPr>
          </w:p>
        </w:tc>
        <w:tc>
          <w:tcPr>
            <w:tcW w:w="137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10" w:type="dxa"/>
            <w:vAlign w:val="bottom"/>
          </w:tcPr>
          <w:p>
            <w:pPr>
              <w:spacing w:after="0"/>
              <w:rPr>
                <w:sz w:val="18"/>
                <w:szCs w:val="18"/>
                <w:color w:val="auto"/>
              </w:rPr>
            </w:pPr>
          </w:p>
        </w:tc>
        <w:tc>
          <w:tcPr>
            <w:tcW w:w="137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(52,738)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(52,452)</w:t>
            </w: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minority interest, net</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w:t>
            </w:r>
          </w:p>
        </w:tc>
      </w:tr>
      <w:tr>
        <w:trPr>
          <w:trHeight w:val="108"/>
        </w:trPr>
        <w:tc>
          <w:tcPr>
            <w:tcW w:w="9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13,469</w:t>
            </w:r>
          </w:p>
        </w:tc>
      </w:tr>
      <w:tr>
        <w:trPr>
          <w:trHeight w:val="108"/>
        </w:trPr>
        <w:tc>
          <w:tcPr>
            <w:tcW w:w="9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Increase/(Decrease) in cash</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(4,514)</w:t>
            </w:r>
          </w:p>
        </w:tc>
      </w:tr>
      <w:tr>
        <w:trPr>
          <w:trHeight w:val="322"/>
        </w:trPr>
        <w:tc>
          <w:tcPr>
            <w:tcW w:w="9080" w:type="dxa"/>
            <w:vAlign w:val="bottom"/>
          </w:tcPr>
          <w:p>
            <w:pPr>
              <w:ind w:left="440"/>
              <w:spacing w:after="0"/>
              <w:rPr>
                <w:sz w:val="20"/>
                <w:szCs w:val="20"/>
                <w:color w:val="auto"/>
              </w:rPr>
            </w:pPr>
            <w:r>
              <w:rPr>
                <w:rFonts w:ascii="Arial" w:cs="Arial" w:eastAsia="Arial" w:hAnsi="Arial"/>
                <w:sz w:val="18"/>
                <w:szCs w:val="18"/>
                <w:color w:val="auto"/>
              </w:rPr>
              <w:t>Cash at beginning of period</w:t>
            </w:r>
          </w:p>
        </w:tc>
        <w:tc>
          <w:tcPr>
            <w:tcW w:w="110" w:type="dxa"/>
            <w:vAlign w:val="bottom"/>
          </w:tcPr>
          <w:p>
            <w:pPr>
              <w:spacing w:after="0"/>
              <w:rPr>
                <w:sz w:val="24"/>
                <w:szCs w:val="24"/>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34,968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23,123</w:t>
            </w:r>
          </w:p>
        </w:tc>
      </w:tr>
      <w:tr>
        <w:trPr>
          <w:trHeight w:val="110"/>
        </w:trPr>
        <w:tc>
          <w:tcPr>
            <w:tcW w:w="9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18,609</w:t>
            </w:r>
          </w:p>
        </w:tc>
      </w:tr>
      <w:tr>
        <w:trPr>
          <w:trHeight w:val="132"/>
        </w:trPr>
        <w:tc>
          <w:tcPr>
            <w:tcW w:w="90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9080" w:type="dxa"/>
            <w:vAlign w:val="bottom"/>
          </w:tcPr>
          <w:p>
            <w:pPr>
              <w:ind w:left="2980"/>
              <w:spacing w:after="0"/>
              <w:rPr>
                <w:sz w:val="20"/>
                <w:szCs w:val="20"/>
                <w:color w:val="auto"/>
              </w:rPr>
            </w:pPr>
            <w:r>
              <w:rPr>
                <w:rFonts w:ascii="Arial" w:cs="Arial" w:eastAsia="Arial" w:hAnsi="Arial"/>
                <w:sz w:val="18"/>
                <w:szCs w:val="18"/>
                <w:color w:val="auto"/>
                <w:w w:val="96"/>
              </w:rPr>
              <w:t>The accompanying notes are an integral part of these consolidated statements.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9080" w:type="dxa"/>
            <w:vAlign w:val="bottom"/>
          </w:tcPr>
          <w:p>
            <w:pPr>
              <w:ind w:left="5680"/>
              <w:spacing w:after="0"/>
              <w:rPr>
                <w:sz w:val="20"/>
                <w:szCs w:val="20"/>
                <w:color w:val="auto"/>
              </w:rPr>
            </w:pPr>
            <w:r>
              <w:rPr>
                <w:rFonts w:ascii="Arial" w:cs="Arial" w:eastAsia="Arial" w:hAnsi="Arial"/>
                <w:sz w:val="18"/>
                <w:szCs w:val="18"/>
                <w:color w:val="auto"/>
              </w:rPr>
              <w:t>8</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-557530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-557530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-557530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50165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A—ACCOUNTING POLICIES AND OTHER DATA</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2004, we owned or had an interest in 62 community and neighborhood shopping centers comprising approximately 14.1 million square feet, located primarily in densely populated and affluent communities throughout the Northeast and Mid-Atlantic United States as well as California. In addition, we own 49 urban and retail mixed-use properties comprising almost 2.8 million square feet and one apartment complex, primarily located in strategic metropolitan markets in the Northeast and Mid-Atlantic regions and California. In total, our properties were 94.2% leased at June 30, 2004. We have paid quarterly dividends to our shareholders continuously since our founding in 1962, and have increased our dividend rate for 36 consecutive years.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2004, we formed a joint venture with Clarion Lion Properties Fund, a discretionary fund created and advised by ING Clarion Partners in which we own 30% of the equity. The joint venture plans to acquire up to $350 million of stabilized, supermarket-anchored, shopping centers in the Trust’s Northeast, Mid-Atlantic and California markets. Federal Realty and Clarion Lion Properties Fund have committed to contribute to the joint venture up to $42 million and $98 million, respectively, of equity capital to acquire properties over the next 24 months. We seeded the joint venture by contributing Plaza del Mercado, a shopping center in Montgomery County, Maryland which we acquired in 2003, at a contribution value of approximately $20.6 million. Concurrently with the contribution of Plaza del Mercado, the venture obtained a $13.3 million, 10-year loan secured by the property. We will be the manager of the venture and its properties, including Plaza del Mercado, earning fees for acquisitions, management, leasing, and financing and will have the opportunity to receive performance-based earnings. We will account for our interest in the joint venture using the equity method.</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generally accepted accounting principles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the Company’s Form 10-K (as amended) for the year ended December 31, 2003.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15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4"/>
        </w:trPr>
        <w:tc>
          <w:tcPr>
            <w:tcW w:w="73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9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9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9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1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basic 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34,877</w:t>
            </w:r>
          </w:p>
        </w:tc>
        <w:tc>
          <w:tcPr>
            <w:tcW w:w="5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color w:val="auto"/>
                <w:w w:val="87"/>
              </w:rPr>
              <w:t>32,408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17,828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90" w:type="dxa"/>
            <w:vAlign w:val="bottom"/>
            <w:shd w:val="clear" w:color="auto" w:fill="CCEEFF"/>
          </w:tcPr>
          <w:p>
            <w:pPr>
              <w:spacing w:after="0"/>
              <w:rPr>
                <w:sz w:val="18"/>
                <w:szCs w:val="18"/>
                <w:color w:val="auto"/>
              </w:rPr>
            </w:pPr>
          </w:p>
        </w:tc>
        <w:tc>
          <w:tcPr>
            <w:tcW w:w="103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91"/>
              </w:rPr>
              <w:t>(5,738)</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(9,346)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1"/>
              </w:rPr>
              <w:t>(2,869)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Less: Preferred stock redemption costs</w:t>
            </w:r>
          </w:p>
        </w:tc>
        <w:tc>
          <w:tcPr>
            <w:tcW w:w="90" w:type="dxa"/>
            <w:vAlign w:val="bottom"/>
          </w:tcPr>
          <w:p>
            <w:pPr>
              <w:spacing w:after="0"/>
              <w:rPr>
                <w:sz w:val="19"/>
                <w:szCs w:val="19"/>
                <w:color w:val="auto"/>
              </w:rPr>
            </w:pPr>
          </w:p>
        </w:tc>
        <w:tc>
          <w:tcPr>
            <w:tcW w:w="103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103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(3,423)</w:t>
            </w:r>
          </w:p>
        </w:tc>
        <w:tc>
          <w:tcPr>
            <w:tcW w:w="100" w:type="dxa"/>
            <w:vAlign w:val="bottom"/>
          </w:tcPr>
          <w:p>
            <w:pPr>
              <w:spacing w:after="0"/>
              <w:rPr>
                <w:sz w:val="19"/>
                <w:szCs w:val="19"/>
                <w:color w:val="auto"/>
              </w:rPr>
            </w:pPr>
          </w:p>
        </w:tc>
        <w:tc>
          <w:tcPr>
            <w:tcW w:w="102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29,139</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90" w:type="dxa"/>
            <w:vAlign w:val="bottom"/>
          </w:tcPr>
          <w:p>
            <w:pPr>
              <w:spacing w:after="0"/>
              <w:rPr>
                <w:sz w:val="24"/>
                <w:szCs w:val="24"/>
                <w:color w:val="auto"/>
              </w:rPr>
            </w:pP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8,701</w:t>
            </w:r>
          </w:p>
        </w:tc>
        <w:tc>
          <w:tcPr>
            <w:tcW w:w="5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2,094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37,840</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50,207</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0.58</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90" w:type="dxa"/>
            <w:vAlign w:val="bottom"/>
          </w:tcPr>
          <w:p>
            <w:pPr>
              <w:spacing w:after="0"/>
              <w:rPr>
                <w:sz w:val="19"/>
                <w:szCs w:val="19"/>
                <w:color w:val="auto"/>
              </w:rPr>
            </w:pP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5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0.05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diluted 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29,139</w:t>
            </w:r>
          </w:p>
        </w:tc>
        <w:tc>
          <w:tcPr>
            <w:tcW w:w="5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color w:val="auto"/>
                <w:w w:val="87"/>
              </w:rPr>
              <w:t>19,639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14,959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for diluted earnings per share</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29,777</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90" w:type="dxa"/>
            <w:vAlign w:val="bottom"/>
          </w:tcPr>
          <w:p>
            <w:pPr>
              <w:spacing w:after="0"/>
              <w:rPr>
                <w:sz w:val="19"/>
                <w:szCs w:val="19"/>
                <w:color w:val="auto"/>
              </w:rPr>
            </w:pP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8,701</w:t>
            </w:r>
          </w:p>
        </w:tc>
        <w:tc>
          <w:tcPr>
            <w:tcW w:w="5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2,094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shareholders—diluted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38,478</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50,207</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36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9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 awards</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Operating partnership units</w:t>
            </w:r>
          </w:p>
        </w:tc>
        <w:tc>
          <w:tcPr>
            <w:tcW w:w="90" w:type="dxa"/>
            <w:vAlign w:val="bottom"/>
          </w:tcPr>
          <w:p>
            <w:pPr>
              <w:spacing w:after="0"/>
              <w:rPr>
                <w:sz w:val="19"/>
                <w:szCs w:val="19"/>
                <w:color w:val="auto"/>
              </w:rPr>
            </w:pP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5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817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51,593</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46,876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52,681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5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8"/>
                <w:szCs w:val="18"/>
                <w:color w:val="auto"/>
              </w:rPr>
              <w:t>0.43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90" w:type="dxa"/>
            <w:vAlign w:val="bottom"/>
            <w:shd w:val="clear" w:color="auto" w:fill="CCEEFF"/>
          </w:tcPr>
          <w:p>
            <w:pPr>
              <w:spacing w:after="0"/>
              <w:rPr>
                <w:sz w:val="18"/>
                <w:szCs w:val="18"/>
                <w:color w:val="auto"/>
              </w:rPr>
            </w:pP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1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 diluted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-4291330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-4291330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-4291330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-4291330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-4291330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-4291330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-4291330</wp:posOffset>
            </wp:positionV>
            <wp:extent cx="4070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-4291330</wp:posOffset>
            </wp:positionV>
            <wp:extent cx="4070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-3296920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-3296920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-3296920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-3296920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-3296920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-3296920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-3296920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-3296920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-3296920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-3296920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-3296920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-3296920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-2018665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-2018665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-2018665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-2018665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-2018665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-2018665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-2018665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-2018665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-2018665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-2018665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-2018665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-2018665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-955675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-955675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-955675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-955675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-955675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-955675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-955675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-955675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-955675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-955675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-955675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-955675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070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components of rental income, other property income, rental expense, real estate tax expense, and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on the June 30, 2003 Consolidated Statements of Operations have been reclassified to Income From Discontinued Operations to assure comparability of all periods presented. In addition, certain December 31, 2003 Balance Sheet accounts and components of the June 30, 2003 Consolidated Statement of Cash Flows have been reclassified to assure comparability of all periods presented.</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Redemption of preferred stock. </w:t>
      </w:r>
      <w:r>
        <w:rPr>
          <w:rFonts w:ascii="Arial" w:cs="Arial" w:eastAsia="Arial" w:hAnsi="Arial"/>
          <w:sz w:val="16"/>
          <w:szCs w:val="16"/>
          <w:color w:val="auto"/>
        </w:rPr>
        <w:t>Our Consolidated Statement of Operations for the quarter ended June 30, 2003 reflects a charge of $3.4 million in the line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redemption – excess of redemption cost over carrying value” as a reduction of net income in computing net income available for common shareholders. On July 31, 2003, the Emerging Issues Task Force provided clarification on the treatment of the difference between the redemption value and the carrying value, adjusted for issuance costs, for GAAP financial reporting. In accordance with this clarification, we were required to make a change in accounting to retroactively reflect this difference as a reduction of net income to arrive at net income available to common shareholders.</w:t>
      </w:r>
    </w:p>
    <w:p>
      <w:pPr>
        <w:spacing w:after="0" w:line="10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December 2002, the FASB issued SFAS No. 148, “Accounting for Stock Based Compensation-Transition and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amending FASB Statement No. 123, “Accounting for Stock-Based Compensation.” SFAS No. 148 amends the disclosure provisions to require prominent disclosure about the effects on reported net income of an entity’s accounting policy decisions with respect to stock-based compensation. We account for stock options using the intrinsic method in accordance with APB No. 25, “Accounting for Stock Issued to Employees,” as interpreted, whereby if options are priced at fair market value or above at the date of grant, no compensation expense is recognized.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15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40" w:type="dxa"/>
            <w:vAlign w:val="bottom"/>
            <w:gridSpan w:val="2"/>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3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for earnings per share)</w:t>
            </w:r>
          </w:p>
        </w:tc>
        <w:tc>
          <w:tcPr>
            <w:tcW w:w="90" w:type="dxa"/>
            <w:vAlign w:val="bottom"/>
          </w:tcPr>
          <w:p>
            <w:pPr>
              <w:spacing w:after="0"/>
              <w:rPr>
                <w:sz w:val="22"/>
                <w:szCs w:val="22"/>
                <w:color w:val="auto"/>
              </w:rPr>
            </w:pPr>
          </w:p>
        </w:tc>
        <w:tc>
          <w:tcPr>
            <w:tcW w:w="49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43,578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90" w:type="dxa"/>
            <w:vAlign w:val="bottom"/>
          </w:tcPr>
          <w:p>
            <w:pPr>
              <w:spacing w:after="0"/>
              <w:rPr>
                <w:sz w:val="18"/>
                <w:szCs w:val="18"/>
                <w:color w:val="auto"/>
              </w:rPr>
            </w:pPr>
          </w:p>
        </w:tc>
        <w:tc>
          <w:tcPr>
            <w:tcW w:w="1030" w:type="dxa"/>
            <w:vAlign w:val="bottom"/>
            <w:gridSpan w:val="3"/>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Stock-based employee compensation cost under the fair value method of SFAS No. 123, net of tax</w:t>
            </w:r>
          </w:p>
        </w:tc>
        <w:tc>
          <w:tcPr>
            <w:tcW w:w="90" w:type="dxa"/>
            <w:vAlign w:val="bottom"/>
            <w:shd w:val="clear" w:color="auto" w:fill="CCEEFF"/>
          </w:tcPr>
          <w:p>
            <w:pPr>
              <w:spacing w:after="0"/>
              <w:rPr>
                <w:sz w:val="18"/>
                <w:szCs w:val="18"/>
                <w:color w:val="auto"/>
              </w:rPr>
            </w:pPr>
          </w:p>
        </w:tc>
        <w:tc>
          <w:tcPr>
            <w:tcW w:w="103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43,448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Basic, as reported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38,478</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22,174</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23,886</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90" w:type="dxa"/>
            <w:vAlign w:val="bottom"/>
            <w:shd w:val="clear" w:color="auto" w:fill="CCEEFF"/>
          </w:tcPr>
          <w:p>
            <w:pPr>
              <w:spacing w:after="0"/>
              <w:rPr>
                <w:sz w:val="18"/>
                <w:szCs w:val="18"/>
                <w:color w:val="auto"/>
              </w:rPr>
            </w:pPr>
          </w:p>
        </w:tc>
        <w:tc>
          <w:tcPr>
            <w:tcW w:w="103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w w:val="93"/>
              </w:rPr>
              <w:t>Stock-based employee compensation cost under the fair value method of SFAS No. 123, net of tax</w:t>
            </w:r>
          </w:p>
        </w:tc>
        <w:tc>
          <w:tcPr>
            <w:tcW w:w="90" w:type="dxa"/>
            <w:vAlign w:val="bottom"/>
          </w:tcPr>
          <w:p>
            <w:pPr>
              <w:spacing w:after="0"/>
              <w:rPr>
                <w:sz w:val="19"/>
                <w:szCs w:val="19"/>
                <w:color w:val="auto"/>
              </w:rPr>
            </w:pPr>
          </w:p>
        </w:tc>
        <w:tc>
          <w:tcPr>
            <w:tcW w:w="1030" w:type="dxa"/>
            <w:vAlign w:val="bottom"/>
            <w:gridSpan w:val="3"/>
          </w:tcPr>
          <w:p>
            <w:pPr>
              <w:jc w:val="right"/>
              <w:ind w:right="4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020" w:type="dxa"/>
            <w:vAlign w:val="bottom"/>
            <w:gridSpan w:val="2"/>
          </w:tcPr>
          <w:p>
            <w:pPr>
              <w:jc w:val="right"/>
              <w:ind w:right="4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Income—Diluted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38,348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Diluted, as reported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-1845310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-1845310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-1845310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-1845310</wp:posOffset>
            </wp:positionV>
            <wp:extent cx="4070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-1845310</wp:posOffset>
            </wp:positionV>
            <wp:extent cx="4070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-1845310</wp:posOffset>
            </wp:positionV>
            <wp:extent cx="4070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-507365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-507365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-507365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-507365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-507365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-507365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-507365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-507365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-507365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-507365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-507365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Statement of Financial Accounting Standards No. 149. </w:t>
      </w:r>
      <w:r>
        <w:rPr>
          <w:rFonts w:ascii="Arial" w:cs="Arial" w:eastAsia="Arial" w:hAnsi="Arial"/>
          <w:sz w:val="16"/>
          <w:szCs w:val="16"/>
          <w:color w:val="auto"/>
        </w:rPr>
        <w:t>In April 2003, the FASB issued SFAS No. 149, “Amendment of Statement 133 on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Hedging Activities,” which clarifies the accounting and reporting for derivative instruments. The statement is effective for contracts entered into or modified after June 30, 2003. The adoption of SFAS No. 149 has not had a material effect on the Trust’s financial statements.</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addresses the classification and measurement of freestanding financial instruments, including mandatory redeemable preferred and common stock, and requires an issuer to classify certain instruments as liabilities. The adoption of SFAS No. 150 has not had a material effect on the Trust’s financial Statements.</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w:t>
      </w:r>
      <w:r>
        <w:rPr>
          <w:rFonts w:ascii="Arial" w:cs="Arial" w:eastAsia="Arial" w:hAnsi="Arial"/>
          <w:sz w:val="16"/>
          <w:szCs w:val="16"/>
          <w:i w:val="1"/>
          <w:iCs w:val="1"/>
          <w:color w:val="auto"/>
        </w:rPr>
        <w:t xml:space="preserve"> </w:t>
      </w:r>
      <w:r>
        <w:rPr>
          <w:rFonts w:ascii="Arial" w:cs="Arial" w:eastAsia="Arial" w:hAnsi="Arial"/>
          <w:sz w:val="16"/>
          <w:szCs w:val="16"/>
          <w:color w:val="auto"/>
        </w:rPr>
        <w:t>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will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determined that these joint ventures do not meet the requirement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The adoption of FIN 46-R did not have a material impact on our financial position or results of operations and accordingly will continue to be accounted for as notes receivable.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 ASSETS AND ENCUMBRANCES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June 14, 2004, the Magruder’s Center in Rockville, Maryland, which was owned by one of our partnerships, was condemned by the City of Rockville in order to facilitate the redevelopment of the Rockville town center. We received a payment of $14.3 million from the City of Rockville resulting in a gain of $5.6 million.</w:t>
      </w:r>
    </w:p>
    <w:p>
      <w:pPr>
        <w:spacing w:after="0" w:line="127"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proceeds of our April 2004 common equity offering. Approximately $1.7 million of the net assets acquired were allocated to prepaids and other assets for “above-market leases”, while $18.0 million was allocated to other liabilities and deferred credits for “below-market leases”, to account for the fair value assigned to the assumed leases at the property. Above and below market leases are amortized over the lease terms. Amortization is included in rental income on the consolidated statement of operations.</w:t>
      </w:r>
    </w:p>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June 3, 2004, we sold a parcel of land at the Village at Shirlington in Arlington, Virginia, for $4.9 million. This transaction was related to a previous land sale to Arlington County for $0.3 million, which closed on March 12, 2004, and resulted in an insignificant loss. The combined transactions resulted in a net gain of $2.8 million.</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July 2004, we contributed Plaza del Mercado for a contribution value of approximately $20.6 million to a newly formed joint venture in which we own 30% of the equity and received $18.6 million of net proceeds.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C—MORTGAGES AND CONSTRUCTION LOANS PAYABLE, NOTES PAYABLE AND OTHER LONG TERM DEBT</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 $550 million unsecured credit facility consisting of a $150 million five-year term loan, a $100 million three-year term loan, and a $300 million three-year revolving credit facility, with a one-year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11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January 2004, to hedge 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w:t>
      </w:r>
    </w:p>
    <w:p>
      <w:pPr>
        <w:spacing w:after="0" w:line="7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At June 30, 2004, there was $77 million borrowed under our $300 million revolving credit facility. The maximum amount drawn during the first six months of 2004 was $165 million. The weighted average interest rate on borrowings under the revolving credit facility for the six months ended June 30, 2004, was 2.0%. The facility requires us to comply with various financial and other covenants, including the maintenance of a minimum shareholders’ equity and a maximum ratio of debt to net worth. At June 30, 2004, we were in compliance with all loan covenants.</w:t>
      </w:r>
    </w:p>
    <w:p>
      <w:pPr>
        <w:spacing w:after="0" w:line="13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January 26, 2004, we issued $75 million of fixed rate notes, which mature in February 2011 and bear interest at 4.50%. The proceeds of this note offering were used to pay down our revolving credit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w:t>
      </w:r>
    </w:p>
    <w:p>
      <w:pPr>
        <w:spacing w:after="0" w:line="15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To adjust the hedged derivatives to their fair value, we recorded an unrealized gain to other comprehensive income of $2.8 million and an unrealized gain to other comprehensive income of $2.2 million during the six months ended June 30, 2004 and 2003, respectively. The estimated amount, included in accumulated other comprehensive income as of June 30, 2004, expected to be reclassified into earnings within the next twelve months to offset the variability of cash flows during this period is not material.</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accounts payable and accrued expenses on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D—SHAREHOLDERS’ EQUITY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April 7, 2004, we issued 2,186,749 common shares at a net price of $45.33 per share (after taking into account underwriters discount and commissions) netting approximately $99 million in cash proceeds. The proceeds were used to repay borrowings outstanding under our revolving credit facility that we used to acquire Westgate Mall and for general corporate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E—INTEREST EXPENSE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incurred total interest costs of $45.2 million during the first six months of 2004 and $45.1 million during the first six months of 2003, of which $2.5 million and $9.3 million, respectively, were capitalized in connection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development projects. Interest paid was $36.8 million in the first six months of 2004 and $44.1 million in the first six months of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F—COMMITMENTS AND CONTINGENCIES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are committed to invest approximately $8.0 million in restaurant joint ventures at Santana Row, of which $7.8 million has been invested as of June 30, 2004. These restaurant joint ventures are accounted for using the equity method as described in Note A, “ Accounting Policies and Other Data—Variable Interest Entities.”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June 30, 2004, our estimated liability upon exercise of the put option would be approximately $27.5 million. In conjunction with the construction of the apartments at the property that were completed in 2003, 8.03% of the third party’s interest in Congressional Plaza was re-allocated to us, effective January 1, 2004, thereby lowering the third party’s ownership percentage from 37.5% to its current level of 29.47%, as a result of our having funded approximately $7 million of the third party’s share of the redevelopment cost.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terms of various other partnerships,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On January 5, 2004, we paid $199,000 to redeem 5,100 of these operating units and on March 3, 2004, we paid $200,000 to redeem 4,667 of these operating units. As of June 30, 2004, a total of 842,455 operating units remain outstanding. In July 2004, we issued 80,000 common shares to redeem 80,000 of these operating units.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for two of the partnerships will be paid in cash. The purchase price for the other two partnerships will paid using a limited number of our common shares or, subject to certain conditions, cash. In those partnerships, if the other partners do not redeem their interests, we may choose to purchase the limited partnership interests upon the same terms. In July 2004, we received notice from the other partners of their intent to put their interest in two of the four partnerships. We estimate the total cost of completing the buyout will be $4.0 million with a portion to be paid in cash and a portion to be paid with our common shares.</w:t>
      </w:r>
    </w:p>
    <w:p>
      <w:pPr>
        <w:spacing w:after="0" w:line="10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debt service. We posted a letter of credit with the City on September 25, 2002 for $795,000. Our obligation under the Agreement is estimated to range from $1.6 million to $3.0 million, approximately $360,000 of which we funded in 2003. In anticipation of a shortfall of incremental tax revenues to the City, we have accrued $1.2 million as of June 30, 2004 to cover additional payments we may be obligated to make as part of the project costs. Prior to the expiration of the Agreement on September 30, 2014, we could be required to provide funding beyond the $1.2 million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rental income for the periods ended June 30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ending</w:t>
            </w: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Three months ending</w:t>
            </w:r>
          </w:p>
        </w:tc>
        <w:tc>
          <w:tcPr>
            <w:tcW w:w="0" w:type="dxa"/>
            <w:vAlign w:val="bottom"/>
          </w:tcPr>
          <w:p>
            <w:pPr>
              <w:spacing w:after="0"/>
              <w:rPr>
                <w:sz w:val="1"/>
                <w:szCs w:val="1"/>
                <w:color w:val="auto"/>
              </w:rPr>
            </w:pPr>
          </w:p>
        </w:tc>
      </w:tr>
      <w:tr>
        <w:trPr>
          <w:trHeight w:val="174"/>
        </w:trPr>
        <w:tc>
          <w:tcPr>
            <w:tcW w:w="73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139,404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123,241</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$ 70,698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$ 62,162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3,463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28,175</w:t>
            </w:r>
          </w:p>
        </w:tc>
        <w:tc>
          <w:tcPr>
            <w:tcW w:w="600" w:type="dxa"/>
            <w:vAlign w:val="bottom"/>
          </w:tcPr>
          <w:p>
            <w:pPr>
              <w:jc w:val="right"/>
              <w:spacing w:after="0"/>
              <w:rPr>
                <w:sz w:val="20"/>
                <w:szCs w:val="20"/>
                <w:color w:val="auto"/>
              </w:rPr>
            </w:pPr>
            <w:r>
              <w:rPr>
                <w:rFonts w:ascii="Arial" w:cs="Arial" w:eastAsia="Arial" w:hAnsi="Arial"/>
                <w:sz w:val="18"/>
                <w:szCs w:val="18"/>
                <w:color w:val="auto"/>
              </w:rPr>
              <w:t>16,639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181,423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158,137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$ 92,145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$ 79,304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50165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3816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Minimum rents include $1.9 million and $0.8 million for the six months ended June 30, 2004 and June 30, 2003, respectively, to recognize rent on a straight-line basis. Residential minimum rents comprise the rents at Rollingwood Apartments, The Crest at Congressional Plaza Apartments and the residential rents at Santana Row.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H—SEGMENT INFORMATION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operate our portfolio of properties in three geographic operating regions: Northeast, Mid-Atlantic and West, which constitute our segments under Statement of Financial Accounting Standard No. 131, “Disclosures about Segments of an Enterprise and Related Information.”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13"/>
          </w:tcPr>
          <w:p>
            <w:pPr>
              <w:jc w:val="right"/>
              <w:ind w:right="40"/>
              <w:spacing w:after="0"/>
              <w:rPr>
                <w:sz w:val="20"/>
                <w:szCs w:val="20"/>
                <w:color w:val="auto"/>
              </w:rPr>
            </w:pPr>
            <w:r>
              <w:rPr>
                <w:rFonts w:ascii="Arial" w:cs="Arial" w:eastAsia="Arial" w:hAnsi="Arial"/>
                <w:sz w:val="14"/>
                <w:szCs w:val="14"/>
                <w:b w:val="1"/>
                <w:bCs w:val="1"/>
                <w:color w:val="auto"/>
                <w:w w:val="84"/>
              </w:rPr>
              <w:t>Six months ended June 30, 2004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Mid-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rPr>
              <w:t>Northeast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West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77,693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36,579</w:t>
            </w:r>
          </w:p>
        </w:tc>
        <w:tc>
          <w:tcPr>
            <w:tcW w:w="5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3,621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5,556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(13,956)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(17,183)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right"/>
              <w:ind w:right="440"/>
              <w:spacing w:after="0"/>
              <w:rPr>
                <w:sz w:val="20"/>
                <w:szCs w:val="20"/>
                <w:color w:val="auto"/>
              </w:rPr>
            </w:pPr>
            <w:r>
              <w:rPr>
                <w:rFonts w:ascii="Arial" w:cs="Arial" w:eastAsia="Arial" w:hAnsi="Arial"/>
                <w:sz w:val="18"/>
                <w:szCs w:val="18"/>
                <w:color w:val="auto"/>
                <w:w w:val="95"/>
              </w:rPr>
              <w:t>(13,650)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(3,038)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46,741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57,363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25,447</w:t>
            </w:r>
          </w:p>
        </w:tc>
        <w:tc>
          <w:tcPr>
            <w:tcW w:w="500" w:type="dxa"/>
            <w:vAlign w:val="bottom"/>
            <w:shd w:val="clear" w:color="auto" w:fill="CCEEFF"/>
          </w:tcPr>
          <w:p>
            <w:pPr>
              <w:spacing w:after="0"/>
              <w:rPr>
                <w:sz w:val="18"/>
                <w:szCs w:val="18"/>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2,243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40" w:type="dxa"/>
            <w:vAlign w:val="bottom"/>
            <w:gridSpan w:val="3"/>
          </w:tcPr>
          <w:p>
            <w:pPr>
              <w:spacing w:after="0"/>
              <w:rPr>
                <w:sz w:val="20"/>
                <w:szCs w:val="20"/>
                <w:color w:val="auto"/>
              </w:rPr>
            </w:pPr>
            <w:r>
              <w:rPr>
                <w:rFonts w:ascii="Arial" w:cs="Arial" w:eastAsia="Arial" w:hAnsi="Arial"/>
                <w:sz w:val="18"/>
                <w:szCs w:val="18"/>
                <w:color w:val="auto"/>
              </w:rPr>
              <w:t>Interest and other income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541</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(42,710)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8"/>
                <w:szCs w:val="18"/>
                <w:color w:val="auto"/>
              </w:rPr>
              <w:t>(8,770)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(14,902)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(16,319)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w w:val="95"/>
              </w:rPr>
              <w:t>(11,872)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before minority interests and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discontinued operations</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41,075</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14,116</w:t>
            </w:r>
          </w:p>
        </w:tc>
        <w:tc>
          <w:tcPr>
            <w:tcW w:w="500" w:type="dxa"/>
            <w:vAlign w:val="bottom"/>
            <w:shd w:val="clear" w:color="auto" w:fill="CCEEFF"/>
          </w:tcPr>
          <w:p>
            <w:pPr>
              <w:spacing w:after="0"/>
              <w:rPr>
                <w:sz w:val="20"/>
                <w:szCs w:val="20"/>
                <w:color w:val="auto"/>
              </w:rPr>
            </w:pPr>
          </w:p>
        </w:tc>
        <w:tc>
          <w:tcPr>
            <w:tcW w:w="1100" w:type="dxa"/>
            <w:vAlign w:val="bottom"/>
            <w:gridSpan w:val="8"/>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 (50,002)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37,258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gridSpan w:val="2"/>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608,537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662,403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0"/>
              </w:rPr>
              <w:t>$863,859</w:t>
            </w:r>
          </w:p>
        </w:tc>
        <w:tc>
          <w:tcPr>
            <w:tcW w:w="500" w:type="dxa"/>
            <w:vAlign w:val="bottom"/>
            <w:shd w:val="clear" w:color="auto" w:fill="CCEEFF"/>
          </w:tcPr>
          <w:p>
            <w:pPr>
              <w:spacing w:after="0"/>
              <w:rPr>
                <w:sz w:val="18"/>
                <w:szCs w:val="18"/>
                <w:color w:val="auto"/>
              </w:rPr>
            </w:pPr>
          </w:p>
        </w:tc>
        <w:tc>
          <w:tcPr>
            <w:tcW w:w="7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8"/>
              </w:rPr>
              <w:t>$140,414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2,275,213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11"/>
          </w:tcPr>
          <w:p>
            <w:pPr>
              <w:jc w:val="right"/>
              <w:ind w:right="40"/>
              <w:spacing w:after="0"/>
              <w:rPr>
                <w:sz w:val="20"/>
                <w:szCs w:val="20"/>
                <w:color w:val="auto"/>
              </w:rPr>
            </w:pPr>
            <w:r>
              <w:rPr>
                <w:rFonts w:ascii="Arial" w:cs="Arial" w:eastAsia="Arial" w:hAnsi="Arial"/>
                <w:sz w:val="14"/>
                <w:szCs w:val="14"/>
                <w:b w:val="1"/>
                <w:bCs w:val="1"/>
                <w:color w:val="auto"/>
                <w:w w:val="89"/>
              </w:rPr>
              <w:t>Six months ended June 30, 2003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gridSpan w:val="4"/>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4"/>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1"/>
              </w:rPr>
              <w:t>Northeast</w:t>
            </w:r>
          </w:p>
        </w:tc>
        <w:tc>
          <w:tcPr>
            <w:tcW w:w="1260" w:type="dxa"/>
            <w:vAlign w:val="bottom"/>
            <w:gridSpan w:val="7"/>
          </w:tcPr>
          <w:p>
            <w:pPr>
              <w:ind w:left="220"/>
              <w:spacing w:after="0"/>
              <w:rPr>
                <w:sz w:val="20"/>
                <w:szCs w:val="20"/>
                <w:color w:val="auto"/>
              </w:rPr>
            </w:pPr>
            <w:r>
              <w:rPr>
                <w:rFonts w:ascii="Arial" w:cs="Arial" w:eastAsia="Arial" w:hAnsi="Arial"/>
                <w:sz w:val="14"/>
                <w:szCs w:val="14"/>
                <w:b w:val="1"/>
                <w:bCs w:val="1"/>
                <w:color w:val="auto"/>
              </w:rPr>
              <w:t>Mid-Atlantic</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5"/>
              </w:rPr>
              <w:t>West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60,151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73,339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24,647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2,288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3,601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212"/>
              <w:spacing w:after="0"/>
              <w:rPr>
                <w:sz w:val="20"/>
                <w:szCs w:val="20"/>
                <w:color w:val="auto"/>
              </w:rPr>
            </w:pPr>
            <w:r>
              <w:rPr>
                <w:rFonts w:ascii="Arial" w:cs="Arial" w:eastAsia="Arial" w:hAnsi="Arial"/>
                <w:sz w:val="18"/>
                <w:szCs w:val="18"/>
                <w:color w:val="auto"/>
                <w:w w:val="92"/>
              </w:rPr>
              <w:t>(12,682)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ind w:right="92"/>
              <w:spacing w:after="0"/>
              <w:rPr>
                <w:sz w:val="20"/>
                <w:szCs w:val="20"/>
                <w:color w:val="auto"/>
              </w:rPr>
            </w:pPr>
            <w:r>
              <w:rPr>
                <w:rFonts w:ascii="Arial" w:cs="Arial" w:eastAsia="Arial" w:hAnsi="Arial"/>
                <w:sz w:val="18"/>
                <w:szCs w:val="18"/>
                <w:color w:val="auto"/>
                <w:w w:val="95"/>
              </w:rPr>
              <w:t>(15,926)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8"/>
                <w:szCs w:val="18"/>
                <w:color w:val="auto"/>
                <w:w w:val="89"/>
              </w:rPr>
              <w:t>(11,807)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(40,415)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(6,136)</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(2,045)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41,523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54,878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340" w:type="dxa"/>
            <w:vAlign w:val="bottom"/>
            <w:gridSpan w:val="3"/>
          </w:tcPr>
          <w:p>
            <w:pPr>
              <w:spacing w:after="0"/>
              <w:rPr>
                <w:sz w:val="20"/>
                <w:szCs w:val="20"/>
                <w:color w:val="auto"/>
              </w:rPr>
            </w:pPr>
            <w:r>
              <w:rPr>
                <w:rFonts w:ascii="Arial" w:cs="Arial" w:eastAsia="Arial" w:hAnsi="Arial"/>
                <w:sz w:val="18"/>
                <w:szCs w:val="18"/>
                <w:color w:val="auto"/>
              </w:rPr>
              <w:t>Interest and other income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(35,831)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(6,421)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w w:val="92"/>
              </w:rPr>
              <w:t>(13,664)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95"/>
              </w:rPr>
              <w:t>(14,141)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(7,100)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before minority interests and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discontinued operations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28,091</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40,773</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6,809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$(41,061)</w:t>
            </w:r>
          </w:p>
        </w:tc>
        <w:tc>
          <w:tcPr>
            <w:tcW w:w="3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4"/>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4"/>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5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$542,710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$ 663,359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$750,681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4"/>
              </w:rPr>
              <w:t>$ 93,718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2,050,468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-3344545</wp:posOffset>
            </wp:positionV>
            <wp:extent cx="4584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-3344545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-3344545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-3344545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-3344545</wp:posOffset>
            </wp:positionV>
            <wp:extent cx="4584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-3344545</wp:posOffset>
            </wp:positionV>
            <wp:extent cx="4584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-3344545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-3344545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-3344545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-463550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-463550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-463550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-463550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-463550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-463550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-463550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-463550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-463550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-463550</wp:posOffset>
            </wp:positionV>
            <wp:extent cx="44132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-463550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-463550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-463550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920"/>
          </w:cols>
          <w:pgMar w:left="240" w:top="459" w:right="7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Three months ended June 30, 2004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Northeast</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Mid-Atlantic</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22"/>
                <w:szCs w:val="22"/>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38,922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property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Rental expenses</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(8,428)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28,802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(21,391)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Administrative expense</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(7,491)</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19,818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(25,119)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$ 608,537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662,403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863,859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140,414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Three months ended June 30, 2003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Mid-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Northeast</w:t>
            </w:r>
          </w:p>
        </w:tc>
        <w:tc>
          <w:tcPr>
            <w:tcW w:w="120" w:type="dxa"/>
            <w:vAlign w:val="bottom"/>
          </w:tcPr>
          <w:p>
            <w:pPr>
              <w:spacing w:after="0"/>
              <w:rPr>
                <w:sz w:val="15"/>
                <w:szCs w:val="15"/>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Atlantic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West</w:t>
            </w:r>
          </w:p>
        </w:tc>
        <w:tc>
          <w:tcPr>
            <w:tcW w:w="12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37,103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property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Rental expenses</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(7,555)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21,272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27,925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(18,252)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Administrative expense</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20,753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(20,710)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$ 542,710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663,359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750,681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2,050,468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040" w:type="dxa"/>
            <w:vAlign w:val="bottom"/>
            <w:gridSpan w:val="8"/>
          </w:tcPr>
          <w:p>
            <w:pPr>
              <w:jc w:val="right"/>
              <w:ind w:right="520"/>
              <w:spacing w:after="0"/>
              <w:rPr>
                <w:sz w:val="20"/>
                <w:szCs w:val="20"/>
                <w:color w:val="auto"/>
              </w:rPr>
            </w:pPr>
            <w:r>
              <w:rPr>
                <w:rFonts w:ascii="Arial" w:cs="Arial" w:eastAsia="Arial" w:hAnsi="Arial"/>
                <w:sz w:val="18"/>
                <w:szCs w:val="18"/>
                <w:color w:val="auto"/>
              </w:rPr>
              <w:t>There are no transactions between geographic areas.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-3576320</wp:posOffset>
            </wp:positionV>
            <wp:extent cx="366585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6585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-694690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-694690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-694690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-694690</wp:posOffset>
            </wp:positionV>
            <wp:extent cx="50165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-694690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-694690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-694690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-694690</wp:posOffset>
            </wp:positionV>
            <wp:extent cx="46736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-694690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-694690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-694690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You should read this section in conjunction with the consolidated interim financial statements and the accompanying notes in Item 1, “Financial Statements,” of this document and the more detailed information contained in the Company’s Form 10-K for the year ended December 31, 2003. Capitalized terms used but not otherwise defined in this section have the meanings given to them in the notes to the consolidated financial statements in Item 1, “Financial Statements.”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Many events can occur that would cause actual results to be different from those contemplated in our forward-looking statements. These factors include, but are not limited to, the risk factors described in our Current Report on Form 8-K filed on March 11, 2004, and include the following:</w:t>
      </w:r>
    </w:p>
    <w:p>
      <w:pPr>
        <w:spacing w:after="0" w:line="21"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76" w:lineRule="exact"/>
        <w:rPr>
          <w:rFonts w:ascii="Arial" w:cs="Arial" w:eastAsia="Arial" w:hAnsi="Arial"/>
          <w:sz w:val="18"/>
          <w:szCs w:val="18"/>
          <w:color w:val="auto"/>
        </w:rPr>
      </w:pPr>
    </w:p>
    <w:p>
      <w:pPr>
        <w:ind w:left="800" w:right="60" w:hanging="346"/>
        <w:spacing w:after="0" w:line="298"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and our development, construction and renovation projects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18" w:lineRule="exact"/>
        <w:rPr>
          <w:rFonts w:ascii="Arial" w:cs="Arial" w:eastAsia="Arial" w:hAnsi="Arial"/>
          <w:sz w:val="16"/>
          <w:szCs w:val="16"/>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76"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review the risks contained in our Current Report on Form 8K filed with the Securities and Exchange Commission on March 11,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2004, we owned or had an interest in 62 community and neighborhood shopping centers comprising approximately 14.1 million square feet, located primarily in densely populated and affluent communities throughout the Northeast and Mid-Atlantic United States as well as California. In addition, we owned 49 urban and retail mixed-use properties comprising almost 2.8 million square feet and one apartment complex, primarily located in strategic metropolitan markets in the Northeast and Mid-Atlantic regions and California. In total, our properties were 94.2% leased at June 30, 2004, 93.1% leased at December 31, 2003 and 93.1% leased at June 30, 2003.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Property Acquisitions and Dispositions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proceeds of our April 2004 common equity offering.</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3, 2004, we sold a parcel of land at the Village at Shirlington in Arlington, Virginia for $4.9 million. This transaction was related to a previous land sale to Arlington County for $0.3 million, which closed in March 2004 and resulted in an insignificant loss. The combined transactions resulted in a net gain of $2.8 million.</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June 14, 2004, the Magruder’s Center in Rockville, Maryland, which is owned by one of our partnerships, was condemned by the City of Rockville in order to facilitate the redevelopment of the Rockville Town Center. We received a payment of $14.3 million from the City of Rockville resulting in a gain of $5.6 million.</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July 2004, we contributed Plaza del Mercado for a contribution value of approximately $20.6 million to a newly formed joint venture in which we own 30% of the equity and received $18.6 million of net proceeds.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Financing Developments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January 26, 2004, we issued $75 million of fixed rate notes which mature in February 2011 and bear interest at 4.50%. The proceeds of this note offering were used to pay down our revolving credit facility.</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Also in January 2004, to hedge our exposure to interest rates on our $150 million term loan obtained in October 2003,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April 7, 2004, we issued 2,186,749 common shares at a net price of $45.33 per share (after taking into account underwriters’ discount and commissions) netting approximately $99 million in cash proceeds. The proceeds were used to repay borrowings outstanding under our revolving credit facility that we used to acquire Westgate Mall and for general corporate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optimistic that, during the remainder of 2004, we will experience growth in earnings from operations when compared to 2003. We expect this growth in earnings will be the result of increased earnings in our same center portfolio, from property acquisitions, and from the addition of retail and residential space at Santana Row, our development in San Jose, California. In addition, our earnings have been positively impacted by the reimbursement to us of lost rents of $8 million in 2003 and an expected $3 million in 2004 from an insurance settlement related to a fire at Santana Row in 2002.</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Earnings in our same center portfolio are anticipated to grow as a recovering economy in each of our regions should result in improved occupancy rates and increasing rents on lease rollovers. The economic environment in the Northern California retail market, while improving, continues to be weak and has resulted in lower occupancy rates and has limited our ability to increase rents. We believe the economies of our other markets are generally improving. Our same center growth has also been impacted by the recent increase in our redevelopment activity at certain centers, which will keep leasable space out of service until the redevelopments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are complete. The competitive retail environment has resulted in the loss of some of our anchor retailers, such as K-Mart (which closed three locations), but we have been successful in replacing K-Mart and a number of our other weaker tenants with stronger tenants. In other cases, we have taken advantage of the opportunity to redevelop the space that became vacant when the anchor tenant left. While this redevelopment and retenanting activity has resulted in increased capital investment in those centers, it has also increased the rental income from new leases, added to the economic life of the centers and increased the appeal to retail customers. The result is an extension of the number of years during which we can reasonably expect growth in earnings from those properties beyond the period we would have expected if we had not made the additional capital investment.</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anticipate further growth in earnings from continuing investments in our primary markets in the Northeast and Mid-Atlantic regions and in California, partly offset by selective dispositions. We expect to continue growth through acquisition of neighborhood shopping centers in 2004. This growth is contingent, however, on our ability to find properties that meet our financial and qualitative hurdles. Changes in interest rates also may affect our success in achieving growth through acquisitions by affecting both the price which must be paid to acquire a property, as well as our ability to finance the property acquisitions.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one method of enhancing our growth and strengthening our market share in the regions in which we operate, in July 2004, we entered into a joint venture in which we own 30% of the equity. The venture intends to acquire up to $350 million of stabilized, supermarket-anchored shopping centers in our East Coast and California markets which will be financed through secured borrowings and equity contributions. We will be the manager of the venture and its properties, earning fees for acquisitions, management, leasing and financing, and we will have the opportunity to earn performance-based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Phases I and II of Santana Row, our 42 acre multi-phase, mixed-use property in San Jose, California, were placed in service in 2002 and 2003. Seven of the eight buildings of Phase I, that include retail, residential and a 213-room hotel, opened in 2002. The retail portion of the remaining building, “Building 7,” opened in early 2003. The delay in opening Building 7 was the result of a fire in August 2002 that destroyed all but 11 of the planned 246 residential units located on that building. The rebuilding of the residential units on Building 7 has commenced. We anticipate delivery of the units starting in 2005 and, when completed in 2006, Building 7 will add 96 townhomes and 160 flats. Phase II of the project, which includes approximately 84,000 square feet of retail space, was completed in late 2003 and Phase III, which consists of an arts cinema and 4,000 square feet of retail space, will be completed later this year. The total cost of Phase I is estimated to be $443 million (excluding the Building 7 reconstruction) and the cost of Phase II is estimated to be approximately $27 million. We expect that the total cost of phase III will be approximately $4 million, and we estimate the cost of the Building 7 reconstruction, Phase IV, to be approximately $58 million.</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 the demand for retail and residential space at rates that will provide us with an adequate return, the ongoing cost of operations and maintenance, and the general economy, particularly around Silicon Valley.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is only for those properties owned and operated for the entirety of both periods being compared and includes properties which were redeveloped or expanded during the periods being compared. Santana Row (which has not yet stabilized), properties purchased, sold, or under development and properties not owned and operated for the entirety of the periods being compared are excluded from our same-center analysis.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2004 to 2003—Six months ended June 30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88"/>
              </w:rPr>
              <w:t>Six months ended 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0" w:type="dxa"/>
            <w:vAlign w:val="bottom"/>
            <w:gridSpan w:val="2"/>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181,423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158,137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23,286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11,619</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3,339</w:t>
            </w:r>
          </w:p>
        </w:tc>
        <w:tc>
          <w:tcPr>
            <w:tcW w:w="6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195,285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168,278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27,007</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22"/>
        </w:trPr>
        <w:tc>
          <w:tcPr>
            <w:tcW w:w="6700" w:type="dxa"/>
            <w:vAlign w:val="bottom"/>
            <w:gridSpan w:val="3"/>
          </w:tcPr>
          <w:p>
            <w:pPr>
              <w:spacing w:after="0"/>
              <w:rPr>
                <w:sz w:val="20"/>
                <w:szCs w:val="20"/>
                <w:color w:val="auto"/>
              </w:rPr>
            </w:pPr>
            <w:r>
              <w:rPr>
                <w:rFonts w:ascii="Arial" w:cs="Arial" w:eastAsia="Arial" w:hAnsi="Arial"/>
                <w:sz w:val="18"/>
                <w:szCs w:val="18"/>
                <w:color w:val="auto"/>
              </w:rPr>
              <w:t>Rental expenses</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44,789</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40,415</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4,374</w:t>
            </w:r>
          </w:p>
        </w:tc>
        <w:tc>
          <w:tcPr>
            <w:tcW w:w="6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131,794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111,448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20,346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22"/>
        </w:trPr>
        <w:tc>
          <w:tcPr>
            <w:tcW w:w="67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(42,710)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(35,831)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(6,879)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(6,421)</w:t>
            </w: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(2,349)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(43,858)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(35,575)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(8,283)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(94,536)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(76,836)</w:t>
            </w: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(17,700)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37,258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2"/>
        </w:trPr>
        <w:tc>
          <w:tcPr>
            <w:tcW w:w="670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(1,176)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7,783</w:t>
            </w:r>
          </w:p>
        </w:tc>
        <w:tc>
          <w:tcPr>
            <w:tcW w:w="6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43,578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Total operating revenues in the six-month period ended June 30, 2004, were $195.3 million compared to $168.3 million for the first six months of 2003. This increase of $27.0 million is due largely to the impact of properties acquired but also to increased revenues on a same center basis and the recognition of $2.1 million of rental income resulting from the portion of the settlement of our insurance claim for the August 2002 fire at Santana Row that related to lost rent. On a same center basis, total revenues increased $8.1 million, or 5.1% in the first six months of 2004 when compared with the first six months of 2003. The primary components of this increase in total revenues are discussed below.</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from tenants of common area maintenance, insurance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increase in rental income of $23.3 million, or 14.7%, for the six months ended June 30, 2004, as compared to the six months ended June 30, 2003, is mainly attributable to:</w:t>
      </w:r>
    </w:p>
    <w:p>
      <w:pPr>
        <w:spacing w:after="0" w:line="46" w:lineRule="exact"/>
        <w:rPr>
          <w:sz w:val="20"/>
          <w:szCs w:val="20"/>
          <w:color w:val="auto"/>
        </w:rPr>
      </w:pPr>
    </w:p>
    <w:p>
      <w:pPr>
        <w:ind w:left="800" w:right="160" w:hanging="346"/>
        <w:spacing w:after="0" w:line="325"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increase of $16.5 million from properties acquired since January 1, 2003, consisting of South Valley Shopping Center, Mount Vernon Plaza, Plaza del Mercado, Mercer Mall and Westgate Mall, and from Santana Row as more of the property became operational,</w:t>
      </w:r>
    </w:p>
    <w:p>
      <w:pPr>
        <w:spacing w:after="0" w:line="1" w:lineRule="exact"/>
        <w:rPr>
          <w:rFonts w:ascii="Arial" w:cs="Arial" w:eastAsia="Arial" w:hAnsi="Arial"/>
          <w:sz w:val="16"/>
          <w:szCs w:val="16"/>
          <w:color w:val="auto"/>
        </w:rPr>
      </w:pPr>
    </w:p>
    <w:p>
      <w:pPr>
        <w:ind w:left="800" w:right="120" w:hanging="346"/>
        <w:spacing w:after="0" w:line="256"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$4.6 million, or 3.4%, on a same center basis, due primarily to increased minimum rents which reflect increased rental rates associated with tenant rollovers and with new leases at redeveloped centers, increased cost recovery of common area maintenance resulting from higher final billings of 2003 recoveries than we accrued, higher straight-line rent income, and increased cost recovery of real estate taxes due to higher occupancy rates, and</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 million of income associated with lost rents recovered through insurance related to the Santana Row fire insurance settlement.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lease termination fees and temporary tenant income. Other property income was $11.6 million for the six months ended June 30, 2004 compared to $8.3 million for the six months ended June 30, 2003. This $3.3 million or 40.3% increase is due primarily to increased lease termination fees, increased utility and other reimbursements from tenants, increased parking revenues, and a non-recurring gain from disposition of cable television lines at Santana Row of $0.3 million.</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Mortgage interest income increased $0.4 million to $2.2 million from the first six months of 2003 to the first six months of 2004</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an increase in the balance of mortgage notes receivable.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property operating expenses increased $6.7 million to $63.5 million for the six months ended June 30, 2004, as compared to $56.8 million for the six months ended June 30, 2003. The 11.7% increase in total property operating expenses is related primarily to $5.0 million of additional costs at properties which were acquired in the past year as discussed below. On a same center basis, property operating expenses increased $1.6 million or 3.2% in the first two quarters of 2004 when compared with the same period of 2003.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Rental Expense</w:t>
      </w:r>
      <w:r>
        <w:rPr>
          <w:rFonts w:ascii="Arial" w:cs="Arial" w:eastAsia="Arial" w:hAnsi="Arial"/>
          <w:sz w:val="16"/>
          <w:szCs w:val="16"/>
          <w:color w:val="auto"/>
        </w:rPr>
        <w:t>. The increase in rental expense of $4.4 million, or 10.8%, for the six months ended June 30, 2004, as compared to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2003, is mainly attributable to:</w:t>
      </w:r>
    </w:p>
    <w:p>
      <w:pPr>
        <w:spacing w:after="0" w:line="70" w:lineRule="exact"/>
        <w:rPr>
          <w:sz w:val="20"/>
          <w:szCs w:val="20"/>
          <w:color w:val="auto"/>
        </w:rPr>
      </w:pPr>
    </w:p>
    <w:p>
      <w:pPr>
        <w:ind w:left="800" w:right="76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$3.4 million associated with properties acquired since January 1, 2003 and with Santana Row as more of the property became operational, partly offset by</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$0.9 million, or 2.8%, on a same center basis as higher reserves for bad debt related to increased billings of cost recoveries, higher real estate taxes and insurance expenses, and other operating cost that were partly offset by lower snow removal costs and lower property administration costs.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Rental expense as a percentage of rental income plus other property income decreased to 23.2% for the first six months of 2004 compared to 24.3% for the first six months of 2003. This improved expense ratio is due partly to lower snow removal costs but also to the improvement at Santana Row which had higher revenues in the first six months of 2004 compared to the first six months of 2003 due to higher occupancy levels.</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Real Estate Taxes</w:t>
      </w:r>
      <w:r>
        <w:rPr>
          <w:rFonts w:ascii="Arial" w:cs="Arial" w:eastAsia="Arial" w:hAnsi="Arial"/>
          <w:sz w:val="18"/>
          <w:szCs w:val="18"/>
          <w:color w:val="auto"/>
        </w:rPr>
        <w:t>. Real estate taxes have increased $2.3 million, or 13.9%, for the six months ended June 30, 2004, as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2003. Of this increase, $1.7 million is attributable to taxes at properties acquired since January 1, 2003 and at Santana Row and the remainder, $0.6 million, is primarily attributable to overall increases in tax assessments at same center properties.</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the six months ended June 30, 2004 and June 30, 2003, property operating income was $131.8 million and $111.4 million, respectively. Same center property operating income increased $4.6 million or 4.2% for the first two quarters of 2004 versus the same period in 2003. If results from properties being redeveloped or expanded were excluded, same center property operating income would have increased 4.0% over the same period.</w:t>
      </w:r>
    </w:p>
    <w:p>
      <w:pPr>
        <w:spacing w:after="0" w:line="93"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We incurred total interest costs of $45.2 million in the first six months of 2004 of which $2.5 million was capitalized, yielding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$42.7 million for the period, as compared to total interest costs incurred of $45.1 million in the first six months of 2003, of which $9.3 million was capitalized yielding interest expense of $35.8 million for the period. The decrease in capitalized interest of $6.8 million is attributable primarily to the phasing into service of Santana Row and the resulting decrease in capitalized interest attributable to the project.</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ratio of earnings to combined fixed charges (consisting of interest on borrowed funds, including capitalized interest, amortization of debt discount and expenses and the portion of rent expense representing an interest factor) and preferred dividends was 1.52 and 1.28 for the first six months of 2004 and 2003,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Administrative Expense. </w:t>
      </w:r>
      <w:r>
        <w:rPr>
          <w:rFonts w:ascii="Arial" w:cs="Arial" w:eastAsia="Arial" w:hAnsi="Arial"/>
          <w:sz w:val="15"/>
          <w:szCs w:val="15"/>
          <w:color w:val="auto"/>
        </w:rPr>
        <w:t>The increase in administrative expense of $2.3 million for the six months ended June 30, 2004, as compared to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2003, is due largely to increased expense associated with performance and other share grants issued under our long-term incentive plan. The increase in compensation expense is attributable primarily to the increase in our share price during 2004, which increases the expense on shares vesting based on 2004 performance. In addition to compensation expense, expenses have increased because of reduced capitalization of development costs at Santana Row.</w:t>
      </w:r>
    </w:p>
    <w:p>
      <w:pPr>
        <w:spacing w:after="0" w:line="8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Depreciation and amortization expense increased $8.3 million, or 23.3%, to $43.9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2004, as compared to the six months ended June 30, 2003. This increase primarily reflects:</w:t>
      </w:r>
    </w:p>
    <w:p>
      <w:pPr>
        <w:spacing w:after="0" w:line="3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depreciation and amortization at Santana Row of $3.5 million which was being phased into service in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properties which were acquired since January 1, 2003, which added $2.5 million of depreciation and amortization,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from capital invested on redevelopments and expansions during the past year.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Minority Interests. </w:t>
      </w:r>
      <w:r>
        <w:rPr>
          <w:rFonts w:ascii="Arial" w:cs="Arial" w:eastAsia="Arial" w:hAnsi="Arial"/>
          <w:sz w:val="18"/>
          <w:szCs w:val="18"/>
          <w:color w:val="auto"/>
        </w:rPr>
        <w:t>Minority interests represents the minority partners’ financial interest in the results of certain properties. Minority interest in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increased slightly as an increase in net income realized in the first two quarters of 2004 resulted in an increase in the amount allocated to operating unit holders partly offset by the Trust’s acquiring a larger interest in Congressional Plaza.</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properties sold is required to be reported separately from the results of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One operating property, Magruders Center was conveyed in lieu of condemnation in the second quarter of 2004. The reported operating income of $0.4 million for the first six months of 2004 and $1.5 million for the first six months of 2003 represents the operating results of Magruders Center as well as properties sold in 2003.</w:t>
      </w:r>
    </w:p>
    <w:p>
      <w:pPr>
        <w:spacing w:after="0" w:line="13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of $8.3 million reported for the first six months of 2004 results from the disposition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Magruders Center, sale of land to a third party tenant pursuant to a purchase option in a ground lease at the Village at Shirlington and the sale of land to a government authority to be used as a bus stop.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who is responsible for day to day operating decisions. Incentive compensation, throughout the regional teams, is tied to the results of the respective portfolios.</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selected key segment data presented is for the six months ended June 30, 2004 and June 30, 2003, except total assets and gross leasable area which are presented as of June 30. The results of operations of properties which have been sold are excluded from property operating income in the following table, in accordance with SFAS No. 144.</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Key Segment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0" w:type="dxa"/>
            <w:vAlign w:val="bottom"/>
            <w:gridSpan w:val="2"/>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Mid–Atlantic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77,693</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81,314</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57,363</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662,403</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663,359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323"/>
        </w:trPr>
        <w:tc>
          <w:tcPr>
            <w:tcW w:w="9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Northeast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67,151</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69,593</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46,741</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240" w:type="dxa"/>
            <w:vAlign w:val="bottom"/>
            <w:gridSpan w:val="2"/>
          </w:tcPr>
          <w:p>
            <w:pPr>
              <w:jc w:val="right"/>
              <w:ind w:right="432"/>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608,537</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542,710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West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36,579</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42,135</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25,447</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863,859</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750,681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MID-ATLANTIC</w:t>
      </w:r>
    </w:p>
    <w:p>
      <w:pPr>
        <w:spacing w:after="0" w:line="16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Mid-Atlantic region extends roughly from Baltimore south through metropolitan Washington, D.C. and further south through Virginia and North Carolina. Two properties in Florida are also included in this region. As of June 30, 2004, the Mid-Atlantic segment consisted of 34 properties.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Total revenue grew $4.4 million to $81.3 million in the first six months of 2004 compared to the first six months of 2003. The increase in total revenue of 5.7% is largely attributable to:</w:t>
      </w:r>
    </w:p>
    <w:p>
      <w:pPr>
        <w:spacing w:after="0" w:line="3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increase of $2.2 million from South Valley Shopping Center, Mount Vernon Plaza and Plaza del Mercado which were acquired in 2003, and</w:t>
      </w:r>
    </w:p>
    <w:p>
      <w:pPr>
        <w:spacing w:after="0" w:line="99" w:lineRule="exact"/>
        <w:rPr>
          <w:rFonts w:ascii="Arial" w:cs="Arial" w:eastAsia="Arial" w:hAnsi="Arial"/>
          <w:sz w:val="16"/>
          <w:szCs w:val="16"/>
          <w:color w:val="auto"/>
        </w:rPr>
      </w:pPr>
    </w:p>
    <w:p>
      <w:pPr>
        <w:jc w:val="both"/>
        <w:ind w:left="800" w:right="600" w:hanging="346"/>
        <w:spacing w:after="0" w:line="259"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center revenue growth of approximately $2.2 million due to $1.5 million higher minimum and percentage rents, $0.5 million higher cost recovery, while higher straight-line rent income offset a decrease in other income. The increased minimum rents relate to increased rental rates associated with lease rollovers.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percentage leased was 93.5% at June 30, 2004 compared to 93.2% at June 30, 2003 as the impact of several anchor closings were more than offset by leases signed for other anchor and small tenant space.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ratio of operating income to total revenue in the first six months of 2004 decreased slightly from 2003 as lower snow removal cost were more than offset by increased real estate taxes and reserves for bad debt related to an increase in billings of cost recoveries.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NORTHEAST</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Northeast region extends from suburban Philadelphia north through New York and its suburbs into New England. This region also includes several properties located in Illinois and one located in Michigan. As of June 30, 2004, the Northeast region had 42 properties.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Northeast, total revenue has increased $7.2 million or 11.6% to $69.6 million. This increase is primarily attributable to:</w:t>
      </w:r>
    </w:p>
    <w:p>
      <w:pPr>
        <w:spacing w:after="0" w:line="77"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$3.6 million from Mercer Mall which was acquired in 2003, and</w:t>
      </w:r>
    </w:p>
    <w:p>
      <w:pPr>
        <w:spacing w:after="0" w:line="76" w:lineRule="exact"/>
        <w:rPr>
          <w:rFonts w:ascii="Arial" w:cs="Arial" w:eastAsia="Arial" w:hAnsi="Arial"/>
          <w:sz w:val="18"/>
          <w:szCs w:val="18"/>
          <w:color w:val="auto"/>
        </w:rPr>
      </w:pPr>
    </w:p>
    <w:p>
      <w:pPr>
        <w:jc w:val="both"/>
        <w:ind w:left="800" w:right="240" w:hanging="346"/>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increase in same center total revenue of $3.6 million due to increased billings of common area maintenance recoveries of $1.6 million, a $1.0 million increase in rental income from higher rental rates on lease rollovers, a $0.6 million increase in real estate tax recovery related to higher real estate tax assessments and a $0.4 million increase in straight-line rent income.</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percentage leased was 95.7% and 95.5% at June 30, 2004 and June 30, 2003, respectively. The increase reflects the releasing of formerly vacant anchor tenants more than offsetting the acquisition of Mercer Mall, the leased rate of which is currently below that of the rest of the region, and an increase in redevelopment activity which has taken leaseable space out of service.</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Property operating income as a percent of total revenue was 67.2% and 66.5% in the first six months of 2004 and 2003, respectively. Property expenses increased at a slower rate than revenue as higher property taxes and reserves for bad debt related to cost recovery billings were partly offset by lower snow removal costs.</w:t>
      </w:r>
    </w:p>
    <w:p>
      <w:pPr>
        <w:spacing w:after="0" w:line="12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2004, 35 of our properties were located in the West region. The West region extends from Texas to the West Coast.</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Total revenue increased $15.1 million to $42.1 million in the first six months of 2004 from $27.0 million in the first six months of 2003. Excluding $2.1 million of rental income from the lost rents recovered through fire insurance proceeds, total revenue increased $13.0 million. This increase is due to increases at Santana Row of minimum rents, cost recoveries and other income as well as from the acquisition of Westgate Mall. On a same center basis, total rental revenue for the region was largely unchanged as higher lease termination fees and increased rental income in San Antonio offset lower minimum rent at a property in Hollywood, California and lower rental revenue at 150 Post which is being renovated.</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West region, the percentage leased was 87.7% and 80.2% at June 30, 2004 and June 30, 2003, respectively. The improved leased rate is due primarily to increases at Santana Row and Houston Street in San Antonio, Texas and the impact of Westgate Mall which has higher leased rates than the rest of the region.</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West region’s property operating income as a percent of total revenue improved to 60.4% in the first six months of 2004 from 48.8% in the first six months of 2003. This improvement is due to Santana Row where operating and start-up costs were high in 2003 but rental and other revenues were still continuing to grow as well as the acquisition of Westgate Mall which has a higher ratio of property operating income to total revenue than the regional average.</w:t>
      </w:r>
    </w:p>
    <w:p>
      <w:pPr>
        <w:spacing w:after="0" w:line="9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success of Santana Row and Houston Street in San Antonio, Texas, will depend on many factors which are not entirely within our control. We monitor current and long-term economic forecasts for these markets in order to evaluate the long-term financial returns of these projects. Our overall return on investment in the West segment is significantly lower than that of the Northeast or Mid-Atlantic segments because both Santana Row and Houston Street were being phased into service. We expect that the returns on investment in the West will continue to rise as these projects come into service but not necessarily to the same level of overall returns as generated in the other segments.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2004 to 2003—Three months ended June 30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88"/>
              </w:rPr>
              <w:t>Three months ended 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0" w:type="dxa"/>
            <w:vAlign w:val="bottom"/>
            <w:gridSpan w:val="2"/>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0" w:type="dxa"/>
            <w:vAlign w:val="bottom"/>
          </w:tcPr>
          <w:p>
            <w:pPr>
              <w:spacing w:after="0"/>
              <w:rPr>
                <w:sz w:val="22"/>
                <w:szCs w:val="22"/>
                <w:color w:val="auto"/>
              </w:rPr>
            </w:pPr>
          </w:p>
        </w:tc>
        <w:tc>
          <w:tcPr>
            <w:tcW w:w="57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92,145</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79,304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12,841</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6,519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4,186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2,333</w:t>
            </w:r>
          </w:p>
        </w:tc>
        <w:tc>
          <w:tcPr>
            <w:tcW w:w="6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99,880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84,514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15,366</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322"/>
        </w:trPr>
        <w:tc>
          <w:tcPr>
            <w:tcW w:w="6860" w:type="dxa"/>
            <w:vAlign w:val="bottom"/>
            <w:gridSpan w:val="3"/>
          </w:tcPr>
          <w:p>
            <w:pPr>
              <w:spacing w:after="0"/>
              <w:rPr>
                <w:sz w:val="20"/>
                <w:szCs w:val="20"/>
                <w:color w:val="auto"/>
              </w:rPr>
            </w:pPr>
            <w:r>
              <w:rPr>
                <w:rFonts w:ascii="Arial" w:cs="Arial" w:eastAsia="Arial" w:hAnsi="Arial"/>
                <w:sz w:val="18"/>
                <w:szCs w:val="18"/>
                <w:color w:val="auto"/>
              </w:rPr>
              <w:t>Rental expenses</w:t>
            </w:r>
          </w:p>
        </w:tc>
        <w:tc>
          <w:tcPr>
            <w:tcW w:w="110" w:type="dxa"/>
            <w:vAlign w:val="bottom"/>
          </w:tcPr>
          <w:p>
            <w:pPr>
              <w:spacing w:after="0"/>
              <w:rPr>
                <w:sz w:val="24"/>
                <w:szCs w:val="24"/>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22,509</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3,490</w:t>
            </w:r>
          </w:p>
        </w:tc>
        <w:tc>
          <w:tcPr>
            <w:tcW w:w="6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32,035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67,845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56,772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11,073</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22"/>
        </w:trPr>
        <w:tc>
          <w:tcPr>
            <w:tcW w:w="68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spacing w:after="0"/>
              <w:rPr>
                <w:sz w:val="24"/>
                <w:szCs w:val="24"/>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389</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(21,391)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(18,252)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1"/>
              </w:rPr>
              <w:t>(3,139)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 w:type="dxa"/>
            <w:vAlign w:val="bottom"/>
          </w:tcPr>
          <w:p>
            <w:pPr>
              <w:spacing w:after="0"/>
              <w:rPr>
                <w:sz w:val="18"/>
                <w:szCs w:val="18"/>
                <w:color w:val="auto"/>
              </w:rPr>
            </w:pPr>
          </w:p>
        </w:tc>
        <w:tc>
          <w:tcPr>
            <w:tcW w:w="1170" w:type="dxa"/>
            <w:vAlign w:val="bottom"/>
            <w:gridSpan w:val="2"/>
          </w:tcPr>
          <w:p>
            <w:pPr>
              <w:jc w:val="right"/>
              <w:ind w:right="560"/>
              <w:spacing w:after="0"/>
              <w:rPr>
                <w:sz w:val="20"/>
                <w:szCs w:val="20"/>
                <w:color w:val="auto"/>
              </w:rPr>
            </w:pPr>
            <w:r>
              <w:rPr>
                <w:rFonts w:ascii="Arial" w:cs="Arial" w:eastAsia="Arial" w:hAnsi="Arial"/>
                <w:sz w:val="18"/>
                <w:szCs w:val="18"/>
                <w:color w:val="auto"/>
              </w:rPr>
              <w:t>(4,588)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w w:val="91"/>
              </w:rPr>
              <w:t>(1,441)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(23,235)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(18,126)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1"/>
              </w:rPr>
              <w:t>(5,109)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expenses</w:t>
            </w:r>
          </w:p>
        </w:tc>
        <w:tc>
          <w:tcPr>
            <w:tcW w:w="110" w:type="dxa"/>
            <w:vAlign w:val="bottom"/>
            <w:shd w:val="clear" w:color="auto" w:fill="CCEEFF"/>
          </w:tcPr>
          <w:p>
            <w:pPr>
              <w:spacing w:after="0"/>
              <w:rPr>
                <w:sz w:val="18"/>
                <w:szCs w:val="18"/>
                <w:color w:val="auto"/>
              </w:rPr>
            </w:pPr>
          </w:p>
        </w:tc>
        <w:tc>
          <w:tcPr>
            <w:tcW w:w="117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(48,825)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(38,896)</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1"/>
              </w:rPr>
              <w:t>(9,929)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19,020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17,876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1,144</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10" w:type="dxa"/>
            <w:vAlign w:val="bottom"/>
          </w:tcPr>
          <w:p>
            <w:pPr>
              <w:spacing w:after="0"/>
              <w:rPr>
                <w:sz w:val="18"/>
                <w:szCs w:val="18"/>
                <w:color w:val="auto"/>
              </w:rPr>
            </w:pPr>
          </w:p>
        </w:tc>
        <w:tc>
          <w:tcPr>
            <w:tcW w:w="1170" w:type="dxa"/>
            <w:vAlign w:val="bottom"/>
            <w:gridSpan w:val="2"/>
          </w:tcPr>
          <w:p>
            <w:pPr>
              <w:jc w:val="right"/>
              <w:ind w:right="560"/>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8,276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7,725</w:t>
            </w:r>
          </w:p>
        </w:tc>
        <w:tc>
          <w:tcPr>
            <w:tcW w:w="6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26,332</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18,126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8,206</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operating revenue in the second quarter of 2004 was $99.9 million compared to $84.5 million for the second quarter of 2003. This increase of $15.4 million is due largely to the impact of properties acquired and growth at Santana Row and also to increased revenues on a same center basis and the recognition of $1.0 million of rental income resulting from the portion of the settlement of our insurance claim for the August 2002 fire at Santana Row that related to lost rent. On a same center basis, total revenues increased $4.3 million, or 5.4% in the second quarter of 2004 when compared with the second quarter of 2003. The primary components of this increase in total revenues are discussed below.</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from tenants of common area maintenance, insurance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increase in rental income of $12.8 million, or 16.2%, for the second quarter of 2004, as compared to the second quarter of 2003, is mainly attributable to:</w:t>
      </w:r>
    </w:p>
    <w:p>
      <w:pPr>
        <w:spacing w:after="0" w:line="46" w:lineRule="exact"/>
        <w:rPr>
          <w:sz w:val="20"/>
          <w:szCs w:val="20"/>
          <w:color w:val="auto"/>
        </w:rPr>
      </w:pPr>
    </w:p>
    <w:p>
      <w:pPr>
        <w:ind w:left="800" w:right="2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$9.0 million from properties acquired since March 31, 2003, consisting of Plaza del Mercado, Mercer Mall and Westgate Mall, and from Santana Row as more of the property became operational,</w:t>
      </w:r>
    </w:p>
    <w:p>
      <w:pPr>
        <w:spacing w:after="0" w:line="37" w:lineRule="exact"/>
        <w:rPr>
          <w:rFonts w:ascii="Arial" w:cs="Arial" w:eastAsia="Arial" w:hAnsi="Arial"/>
          <w:sz w:val="18"/>
          <w:szCs w:val="18"/>
          <w:color w:val="auto"/>
        </w:rPr>
      </w:pPr>
    </w:p>
    <w:p>
      <w:pPr>
        <w:ind w:left="800" w:right="100" w:hanging="346"/>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$2.8 million, or 3.8%, on a same center basis, due primarily to higher cost recoveries as billings for 2003 exceeded initial estimates and accruals of income, increased minimum rents which reflect increased rental rates associated with tenant rollovers and with new leases at redeveloped centers partly offset by lower real estate tax recoveries,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 million of income associated with lost rents recovered through insurance at Santana Row related to the fire which occurred in August 2002.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lease termination fees and temporary tenant income. Other property income was $6.5 million for the quarter ended June 30, 2004 compared to $4.2 million for the quarter ended June 30, 2003. This $2.3 million or 55.7% increase is due primarily to increased utility and other reimbursements from tenants, increased lease termination fees, increased parking revenues, and a non-recurring gain from disposition of cable television lines at Santana Row of $0.3 million.</w:t>
      </w:r>
    </w:p>
    <w:p>
      <w:pPr>
        <w:spacing w:after="0" w:line="12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Mortgage Interest Income. </w:t>
      </w:r>
      <w:r>
        <w:rPr>
          <w:rFonts w:ascii="Arial" w:cs="Arial" w:eastAsia="Arial" w:hAnsi="Arial"/>
          <w:sz w:val="16"/>
          <w:szCs w:val="16"/>
          <w:color w:val="auto"/>
        </w:rPr>
        <w:t>Mortgage interest income includes interest earned on mortgage notes receivable. Mortgage interest income increased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the second quarter 2003 to the second quarter 2004 to $1.2 million due to an increase in the balance of mortgage notes receivable.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Total property operating expenses increased $4.3 million to $32.0 million for the three months ended June 30, 2004, as compared to $27.7 million for the three months ended June 30, 2003. The 15.5% increase in total property operating expenses is related primarily to the additional costs at properties which were acquired in the past year and at Santana Row as discussed below. On a same center basis, property operating expenses increased $1.6 million or 6.8% in the second quarter of 2004 when compared with the second quarter of 2003 as explained below.</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Rental Expense</w:t>
      </w:r>
      <w:r>
        <w:rPr>
          <w:rFonts w:ascii="Arial" w:cs="Arial" w:eastAsia="Arial" w:hAnsi="Arial"/>
          <w:sz w:val="15"/>
          <w:szCs w:val="15"/>
          <w:color w:val="auto"/>
        </w:rPr>
        <w:t>. The increase in rental expense of $3.5 million, or 18.4%, for the three months ended June 30, 2004, as compared to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2003, is mainly attributable to:</w:t>
      </w:r>
    </w:p>
    <w:p>
      <w:pPr>
        <w:spacing w:after="0" w:line="70" w:lineRule="exact"/>
        <w:rPr>
          <w:sz w:val="20"/>
          <w:szCs w:val="20"/>
          <w:color w:val="auto"/>
        </w:rPr>
      </w:pPr>
    </w:p>
    <w:p>
      <w:pPr>
        <w:ind w:left="800" w:right="2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$1.9 million due mainly to properties acquired since March 31, 2003 and to Santana Row as more of the property became operational and</w:t>
      </w:r>
    </w:p>
    <w:p>
      <w:pPr>
        <w:spacing w:after="0" w:line="37" w:lineRule="exact"/>
        <w:rPr>
          <w:rFonts w:ascii="Arial" w:cs="Arial" w:eastAsia="Arial" w:hAnsi="Arial"/>
          <w:sz w:val="18"/>
          <w:szCs w:val="18"/>
          <w:color w:val="auto"/>
        </w:rPr>
      </w:pPr>
    </w:p>
    <w:p>
      <w:pPr>
        <w:ind w:left="800" w:right="8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$1.6 million, or 10.7%, on a same center basis due primarily to increased reserves for bad debt related to increased billings of reimbursements from tenants related to 2003.</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Rental expense as a percentage of rental income plus other property income was unchanged for the second quarter of 2004 compared to the second quarter of 2003.</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Real Estate Taxes</w:t>
      </w:r>
      <w:r>
        <w:rPr>
          <w:rFonts w:ascii="Arial" w:cs="Arial" w:eastAsia="Arial" w:hAnsi="Arial"/>
          <w:sz w:val="16"/>
          <w:szCs w:val="16"/>
          <w:color w:val="auto"/>
        </w:rPr>
        <w:t>. Real estate taxes have increased $0.8 million, or 9.2%, for the three months ended June 30, 2004,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2003. This increase is attributable to taxes at properties acquired since March 31, 2003 and increases in real estate taxes at Santana Row.</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was $67.8 million for the quarter ended June 30, 2004, compared to $56.8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2003. Same center property operating income increased $2.7 million or 4.5% for the three months ended June 30, 2004 compared to the same period in the prior year. Excluding contributions from properties being redeveloped or expanded, same center property operating income increased 4.4% over the same period.</w:t>
      </w:r>
    </w:p>
    <w:p>
      <w:pPr>
        <w:spacing w:after="0" w:line="13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We incurred total interest costs of $22.6 million in the second quarter of 2004 of which $1.2 million was capitalized, yielding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$21.4 million for the period, as compared to total interest costs incurred of $22.4 million in the second quarter of 2003, of which $4.1 million was capitalized, yielding interest expense of $18.3 million for the period. The decrease in capitalized interest of $2.9 million is attributable primarily to the phasing into service of Santana Row and the resulting decrease in capitalized interest attributable to the project.</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The increase in administrative expense of $1.4 million for the three months ended June 30, 2004,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2003, is due to increased expense associated with performance and other share grants issued under our long-term incentive plan which are accounted for using variable accounting as well as higher administrative payroll and other costs and lower capitalization of costs related to development activity. The increase in compensation expense is attributable primarily to the increase in our share price during 2004 which increased the expense on shares vesting based on 2004 performance.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Depreciation and amortization expense increased $5.1 million, or 28.2%, to $23.2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2004, as compared to the three months ended June 30, 2003. This increase primarily reflects:</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depreciation and amortization at Santana Row of $1.7 million which was being phased into service in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properties which were acquired in 2003, which added $1.5 million of depreciation and amortization,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from capital invested on redevelopments and expansions during the past year.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i w:val="1"/>
          <w:iCs w:val="1"/>
          <w:color w:val="auto"/>
        </w:rPr>
        <w:t xml:space="preserve">Minority Interests. </w:t>
      </w:r>
      <w:r>
        <w:rPr>
          <w:rFonts w:ascii="Arial" w:cs="Arial" w:eastAsia="Arial" w:hAnsi="Arial"/>
          <w:sz w:val="15"/>
          <w:szCs w:val="15"/>
          <w:color w:val="auto"/>
        </w:rPr>
        <w:t>Minority interests represents the minority partners’ financial interest in the results of certain properties. Minority interest in results of</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increased slightly as an increase in net income realized in the second quarter resulted in an increase in the amount allocated to operating unit holders.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properties sold is required to be reported separately from the results of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second quarter of 2004, we conveyed Magruder’s Center in lieu of condemnation and no other operating properties have been sold in 2004. The reported income of $0.2 million and $0.8 million for the second quarter of 2004 and 2003, respectively represents the operating results of Magruder’s Center and properties sold since March 31, 2003.</w:t>
      </w:r>
    </w:p>
    <w:p>
      <w:pPr>
        <w:spacing w:after="0" w:line="13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of $8.3 million reported for the second quarter of 2004 is primarily the result of conveying</w:t>
      </w:r>
      <w:r>
        <w:rPr>
          <w:rFonts w:ascii="Arial" w:cs="Arial" w:eastAsia="Arial" w:hAnsi="Arial"/>
          <w:sz w:val="18"/>
          <w:szCs w:val="18"/>
          <w:i w:val="1"/>
          <w:iCs w:val="1"/>
          <w:color w:val="auto"/>
        </w:rPr>
        <w:t xml:space="preserve"> </w:t>
      </w:r>
      <w:r>
        <w:rPr>
          <w:rFonts w:ascii="Arial" w:cs="Arial" w:eastAsia="Arial" w:hAnsi="Arial"/>
          <w:sz w:val="18"/>
          <w:szCs w:val="18"/>
          <w:color w:val="auto"/>
        </w:rPr>
        <w:t>Magruder’s Center in lieu of condemnation and a vacant parcel of land located adjacent to the Village at Shirlington. In the second quarter of 2003, we sold a street retail property located in Bethesda, Maryland resulting in a gain of $0.6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selected key segment data presented is for the three months ended June 30, 2004 and June 30, 2003, except real estate assets and gross leasable area which are presented as of June 30. The results of operations of properties which have been sold are excluded from property operating income in the following table, in accordance with SFAS No. 144.</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Key Segment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0" w:type="dxa"/>
            <w:vAlign w:val="bottom"/>
            <w:gridSpan w:val="2"/>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Mid–Atlantic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38,922</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40,656</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28,802</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662,403</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663,359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322"/>
        </w:trPr>
        <w:tc>
          <w:tcPr>
            <w:tcW w:w="9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Northeast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33,657</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35,322</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tcPr>
          <w:p>
            <w:pPr>
              <w:spacing w:after="0"/>
              <w:rPr>
                <w:sz w:val="18"/>
                <w:szCs w:val="18"/>
                <w:color w:val="auto"/>
              </w:rPr>
            </w:pPr>
          </w:p>
        </w:tc>
        <w:tc>
          <w:tcPr>
            <w:tcW w:w="1240" w:type="dxa"/>
            <w:vAlign w:val="bottom"/>
            <w:gridSpan w:val="2"/>
          </w:tcPr>
          <w:p>
            <w:pPr>
              <w:jc w:val="right"/>
              <w:ind w:right="432"/>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608,537</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542,710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Gross leasable area (square feet)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West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19,566</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13,112</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863,859</w:t>
            </w:r>
          </w:p>
        </w:tc>
        <w:tc>
          <w:tcPr>
            <w:tcW w:w="6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750,681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leasable area (square feet)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MID-ATLANTIC</w:t>
      </w:r>
    </w:p>
    <w:p>
      <w:pPr>
        <w:spacing w:after="0" w:line="16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Mid-Atlantic region extends roughly from Baltimore south through metropolitan Washington, D.C. and further south through Virginia and North Carolina. Two properties in Florida are also included in this region. As of June 30, 2004, the Mid-Atlantic consisted of 34 properties.</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revenue grew $1.8 million to $40.7 million in the second quarter of 2004 compared to the same period of 2003. The increase in total revenue of 4.6% is largely attributable to:</w:t>
      </w:r>
    </w:p>
    <w:p>
      <w:pPr>
        <w:spacing w:after="0" w:line="3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$0.5 million from Plaza del Mercado which was acquired in 2003, and</w:t>
      </w:r>
    </w:p>
    <w:p>
      <w:pPr>
        <w:spacing w:after="0" w:line="76" w:lineRule="exact"/>
        <w:rPr>
          <w:rFonts w:ascii="Arial" w:cs="Arial" w:eastAsia="Arial" w:hAnsi="Arial"/>
          <w:sz w:val="18"/>
          <w:szCs w:val="18"/>
          <w:color w:val="auto"/>
        </w:rPr>
      </w:pPr>
    </w:p>
    <w:p>
      <w:pPr>
        <w:ind w:left="800" w:right="460" w:hanging="346"/>
        <w:spacing w:after="0" w:line="33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same center revenue growth of $1.3 million as recovery of costs and real estate taxes improved $0.6 million and the remainder of the growth due mostly to higher minimum rents. The increased minimum rents relate to increased rental rates associated with lease rollovers.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ratio of property operating income to total revenue in the second quarter of 2004 decreased to 70.8% due to higher reserves for bad debt on increased billings of cost recoveries and higher other costs.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w:t>
      </w:r>
    </w:p>
    <w:p>
      <w:pPr>
        <w:spacing w:after="0" w:line="16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Northeast region extends from suburban Philadelphia north through New York and its suburbs into New England. This region also includes several properties located in Illinois and one located in Michigan. As of June 30, 2004, the Northeast region had 42 properties.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Northeast, total revenue has increased $4.7 million or 15.4%. This increase is primarily attributable to:</w:t>
      </w:r>
    </w:p>
    <w:p>
      <w:pPr>
        <w:spacing w:after="0" w:line="77"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$2.0 million from Mercer Mall which was acquired in October 2003,</w:t>
      </w:r>
    </w:p>
    <w:p>
      <w:pPr>
        <w:spacing w:after="0" w:line="76" w:lineRule="exact"/>
        <w:rPr>
          <w:rFonts w:ascii="Arial" w:cs="Arial" w:eastAsia="Arial" w:hAnsi="Arial"/>
          <w:sz w:val="18"/>
          <w:szCs w:val="18"/>
          <w:color w:val="auto"/>
        </w:rPr>
      </w:pPr>
    </w:p>
    <w:p>
      <w:pPr>
        <w:ind w:left="800" w:right="60" w:hanging="346"/>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increase in same center total revenue of $2.7 million due to a $1.4 million increase in cost recovery related to billings for final 2003 costs, a $0.6 million increase in rental income from higher rental rates on lease rollovers, a $0.5 million increase in other income and higher straight-line rent income.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operating income as a percent of total revenue increased slightly to 70.0% in the second quarter of 2004 from 69.5% in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4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2004, 35 of our properties were located in the West region. The West region extends from Texas to the West Coast.</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Total revenue increased $8.7 million to $22.7 million in the second quarter of 2004 from $14.0 million in the second quarter of 2003. Excluding $1.0 million of rental income from the lost rents recovered through fire insurance proceeds, total revenue increased $7.7 million. This increase is due to increases at Santana Row of minimum rents, cost recoveries and other income and the impact of acquiring Westgate Mall. On a same center basis, total rental revenue for the region increased $0.4 million as higher lease termination fees and increased rental income in San Antonio offset lower minimum rent at a property in Hollywood, California and lower rental revenue at 150 Post which is being renovated.</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West region’s property operating income as a percent of total revenue improved to 57.8% in the second quarter of 2004 from 46.7% in the second quarter of 2003. This improvement is due to Santana Row where operating and start-up costs were high in 2003 but rental and other revenues were still continuing to grow as well as the acquisition of Westgate Mall which has a higher ratio of property operating income to total revenue than the regional average.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Due to the nature of our business and our strategy, we are generally in a position to generate significant amounts of cash from operations. The cash generated from operations is primarily paid to shareholders in the form of dividends. Our status as a REIT requires that we distribute at least 90% of our REIT taxable income each year, as defined in the Internal revenue Code. Therefore, cash needs for executing our strategy and investing in new properties, as well as for payment of debt maturities must come from cash not distributed to shareholders, from proceeds of property dispositions, or from the proceeds derived from the issuance of new debt or equity securities.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through additional equity offerings, unsecured debt financing and/or mortgage financings and other debt and equity alternatives, including formation of joint ventures, in a manner consistent with our intention to operate with a conservative debt structure.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were $45.1 million and $35.0 million at June 30, 2004 and December 31, 2003,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304" w:lineRule="exact"/>
        <w:rPr>
          <w:sz w:val="20"/>
          <w:szCs w:val="20"/>
          <w:color w:val="auto"/>
        </w:rPr>
      </w:pPr>
    </w:p>
    <w:p>
      <w:pPr>
        <w:ind w:left="11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67310</wp:posOffset>
            </wp:positionV>
            <wp:extent cx="5403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3"/>
        <w:spacing w:after="0"/>
        <w:rPr>
          <w:sz w:val="20"/>
          <w:szCs w:val="20"/>
          <w:color w:val="auto"/>
        </w:rPr>
      </w:pPr>
      <w:r>
        <w:rPr>
          <w:rFonts w:ascii="Arial" w:cs="Arial" w:eastAsia="Arial" w:hAnsi="Arial"/>
          <w:sz w:val="11"/>
          <w:szCs w:val="11"/>
          <w:b w:val="1"/>
          <w:bCs w:val="1"/>
          <w:color w:val="auto"/>
        </w:rPr>
        <w:t>For the six months ended</w:t>
      </w:r>
    </w:p>
    <w:p>
      <w:pPr>
        <w:spacing w:after="0" w:line="35" w:lineRule="exact"/>
        <w:rPr>
          <w:sz w:val="20"/>
          <w:szCs w:val="20"/>
          <w:color w:val="auto"/>
        </w:rPr>
      </w:pPr>
    </w:p>
    <w:p>
      <w:pPr>
        <w:jc w:val="center"/>
        <w:ind w:right="1193"/>
        <w:spacing w:after="0"/>
        <w:rPr>
          <w:sz w:val="20"/>
          <w:szCs w:val="20"/>
          <w:color w:val="auto"/>
        </w:rPr>
      </w:pPr>
      <w:r>
        <w:rPr>
          <w:rFonts w:ascii="Arial" w:cs="Arial" w:eastAsia="Arial" w:hAnsi="Arial"/>
          <w:sz w:val="14"/>
          <w:szCs w:val="14"/>
          <w:b w:val="1"/>
          <w:bCs w:val="1"/>
          <w:color w:val="auto"/>
        </w:rPr>
        <w:t>June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9175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8" w:lineRule="exact"/>
        <w:rPr>
          <w:sz w:val="20"/>
          <w:szCs w:val="20"/>
          <w:color w:val="auto"/>
        </w:rPr>
      </w:pPr>
    </w:p>
    <w:p>
      <w:pPr>
        <w:ind w:left="967" w:hanging="967"/>
        <w:spacing w:after="0"/>
        <w:tabs>
          <w:tab w:leader="none" w:pos="9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78,593</w:t>
      </w:r>
    </w:p>
    <w:p>
      <w:pPr>
        <w:spacing w:after="0" w:line="38" w:lineRule="exact"/>
        <w:rPr>
          <w:rFonts w:ascii="Arial" w:cs="Arial" w:eastAsia="Arial" w:hAnsi="Arial"/>
          <w:sz w:val="16"/>
          <w:szCs w:val="16"/>
          <w:color w:val="auto"/>
        </w:rPr>
      </w:pPr>
    </w:p>
    <w:p>
      <w:pPr>
        <w:ind w:left="807"/>
        <w:spacing w:after="0"/>
        <w:rPr>
          <w:rFonts w:ascii="Arial" w:cs="Arial" w:eastAsia="Arial" w:hAnsi="Arial"/>
          <w:sz w:val="16"/>
          <w:szCs w:val="16"/>
          <w:color w:val="auto"/>
        </w:rPr>
      </w:pPr>
      <w:r>
        <w:rPr>
          <w:rFonts w:ascii="Arial" w:cs="Arial" w:eastAsia="Arial" w:hAnsi="Arial"/>
          <w:sz w:val="16"/>
          <w:szCs w:val="16"/>
          <w:color w:val="auto"/>
        </w:rPr>
        <w:t>(132,676)</w:t>
      </w:r>
    </w:p>
    <w:p>
      <w:pPr>
        <w:spacing w:after="0" w:line="32" w:lineRule="exact"/>
        <w:rPr>
          <w:rFonts w:ascii="Arial" w:cs="Arial" w:eastAsia="Arial" w:hAnsi="Arial"/>
          <w:sz w:val="16"/>
          <w:szCs w:val="16"/>
          <w:color w:val="auto"/>
        </w:rPr>
      </w:pPr>
    </w:p>
    <w:p>
      <w:pPr>
        <w:ind w:left="967"/>
        <w:spacing w:after="0"/>
        <w:rPr>
          <w:rFonts w:ascii="Arial" w:cs="Arial" w:eastAsia="Arial" w:hAnsi="Arial"/>
          <w:sz w:val="16"/>
          <w:szCs w:val="16"/>
          <w:color w:val="auto"/>
        </w:rPr>
      </w:pPr>
      <w:r>
        <w:rPr>
          <w:rFonts w:ascii="Arial" w:cs="Arial" w:eastAsia="Arial" w:hAnsi="Arial"/>
          <w:sz w:val="16"/>
          <w:szCs w:val="16"/>
          <w:color w:val="auto"/>
        </w:rPr>
        <w:t>64,218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9175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5" w:lineRule="exact"/>
        <w:rPr>
          <w:sz w:val="20"/>
          <w:szCs w:val="20"/>
          <w:color w:val="auto"/>
        </w:rPr>
      </w:pPr>
    </w:p>
    <w:p>
      <w:pPr>
        <w:ind w:left="967"/>
        <w:spacing w:after="0"/>
        <w:rPr>
          <w:sz w:val="20"/>
          <w:szCs w:val="20"/>
          <w:color w:val="auto"/>
        </w:rPr>
      </w:pPr>
      <w:r>
        <w:rPr>
          <w:rFonts w:ascii="Arial" w:cs="Arial" w:eastAsia="Arial" w:hAnsi="Arial"/>
          <w:sz w:val="16"/>
          <w:szCs w:val="16"/>
          <w:color w:val="auto"/>
        </w:rPr>
        <w:t>10,135</w:t>
      </w:r>
    </w:p>
    <w:p>
      <w:pPr>
        <w:spacing w:after="0" w:line="38" w:lineRule="exact"/>
        <w:rPr>
          <w:sz w:val="20"/>
          <w:szCs w:val="20"/>
          <w:color w:val="auto"/>
        </w:rPr>
      </w:pPr>
    </w:p>
    <w:p>
      <w:pPr>
        <w:ind w:left="967"/>
        <w:spacing w:after="0"/>
        <w:rPr>
          <w:sz w:val="20"/>
          <w:szCs w:val="20"/>
          <w:color w:val="auto"/>
        </w:rPr>
      </w:pPr>
      <w:r>
        <w:rPr>
          <w:rFonts w:ascii="Arial" w:cs="Arial" w:eastAsia="Arial" w:hAnsi="Arial"/>
          <w:sz w:val="16"/>
          <w:szCs w:val="16"/>
          <w:color w:val="auto"/>
        </w:rPr>
        <w:t>34,968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9175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5" w:lineRule="exact"/>
        <w:rPr>
          <w:sz w:val="20"/>
          <w:szCs w:val="20"/>
          <w:color w:val="auto"/>
        </w:rPr>
      </w:pPr>
    </w:p>
    <w:p>
      <w:pPr>
        <w:ind w:left="967" w:hanging="967"/>
        <w:spacing w:after="0"/>
        <w:tabs>
          <w:tab w:leader="none" w:pos="9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45,103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94742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47420"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33" w:space="720"/>
            <w:col w:w="2647"/>
          </w:cols>
          <w:pgMar w:left="240" w:top="459" w:right="259" w:bottom="1440" w:gutter="0" w:footer="0" w:header="0"/>
        </w:sectPr>
      </w:pPr>
    </w:p>
    <w:p>
      <w:pPr>
        <w:spacing w:after="0" w:line="21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$132.7 million during the six months ended June 30, 2004 in investing activities including the following:</w:t>
      </w:r>
    </w:p>
    <w:p>
      <w:pPr>
        <w:spacing w:after="0" w:line="7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$97.1 million for our acquisition of Westgate Mall on March 31,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capital expenditures of $28.0 million on Santana Row and redevelopment at properties other than Santana Row and on maintenance capital,</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capital expenditures of approximately $23.5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additional $3.4 million advance under an existing mortgage note receivable;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800" w:right="80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$19.3 million in net sale proceeds from the sale of a parcel of land at the Village at Shirlington and from the sale in lieu of condemnation of Magruder’s Center.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financing activities provided $64.2 million of cash, which was composed of:</w:t>
      </w:r>
    </w:p>
    <w:p>
      <w:pPr>
        <w:spacing w:after="0" w:line="7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$105.7 million of proceeds from the issuance of common shares on April 7, 2004 and upon the exercise of options,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$75.0 million of proceeds from the issuance of notes payable,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$0.3 million representing the change in minority interests,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offset</w:t>
      </w:r>
    </w:p>
    <w:p>
      <w:pPr>
        <w:spacing w:after="0" w:line="77"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$52.7 million used to pay dividends,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$39.5 million used to pay off Medium Term Notes,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$24.6 million of net payments on borrowings primarily to finance the acquisition of Westgate Mall.</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Other than as disclosed in the Contractual Obligations Table below, we have no off-balance sheet arrangements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2004 that are reasonably likely to have a current or future material effect on our financial condition, revenues or expenses, results of operations, liquidity, capital expenditures or capital resources.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2004, we formed a joint venture with Clarion Lion Properties Fund, a discretionary fund created and advised by ING Clarion Partners in which we own 30% of the equity. The joint venture plans to acquire up to $350 million of stabilized, supermarket-anchored, shopping centers in the Trust’s Northeast, Mid-Atlantic and California markets. Federal Realty and Clarion Lion Properties Fund have committed to contribute to the joint venture up to $42 million and $98 million, respectively, of equity capital to acquire properties over the next 24 months. We seeded the joint venture by contributing Plaza del Mercado, a shopping center in Montgomery County, Maryland which we acquired in 2003, at a contribution value of approximately $20.6 million. Concurrently with the contribution of Plaza del Mercado, the venture obtained a $13.3 million, 10-year loan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secured by the property, and we received proceeds of $18.6 million. We will be the manager of the venture and its properties, including Plaza del Mercado, earning fees for acquisitions, management, leasing, and financing, and we will have the opportunity to receive performance-based earnings. We will account for our interest in the joint venture using the equity method.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June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8"/>
              </w:rPr>
              <w:t>Commitments Due by Period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88"/>
              </w:rPr>
              <w:t>Remainder</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91"/>
              </w:rPr>
              <w:t>From 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From 4-5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56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0" w:type="dxa"/>
            <w:vAlign w:val="bottom"/>
          </w:tcPr>
          <w:p>
            <w:pPr>
              <w:spacing w:after="0"/>
              <w:rPr>
                <w:sz w:val="15"/>
                <w:szCs w:val="15"/>
                <w:color w:val="auto"/>
              </w:rPr>
            </w:pPr>
          </w:p>
        </w:tc>
        <w:tc>
          <w:tcPr>
            <w:tcW w:w="81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of 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1,162,398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264,663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317,922</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Capital lease obligations, principal only</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159,286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Development and redevelopment obligations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107,736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35,775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1,727,959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43,074</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293,413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329,889</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1,061,583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282575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2575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table above, the following potential commitments exist:</w:t>
      </w:r>
    </w:p>
    <w:p>
      <w:pPr>
        <w:spacing w:after="0" w:line="77" w:lineRule="exact"/>
        <w:rPr>
          <w:sz w:val="20"/>
          <w:szCs w:val="20"/>
          <w:color w:val="auto"/>
        </w:rPr>
      </w:pPr>
    </w:p>
    <w:p>
      <w:pPr>
        <w:ind w:left="460" w:right="4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June 30, 2004, our estimated liability upon exercise of the put option would be approximately $27.5 million.</w:t>
      </w:r>
    </w:p>
    <w:p>
      <w:pPr>
        <w:spacing w:after="0" w:line="48"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for two of the partnerships will be paid in cash. The purchase price for the other two partnerships will be paid using a limited number of our common shares or, subject to certain conditions, cash. In those partnerships, if the other partners do not redeem their interests, we may choose to purchase the limited partnership interests upon the same terms. In July 2004, we received notice from the other partner of their intent to put their interest in two of the four partnerships at a value which we estimate to be $4.0 million with a portion to be in cash and a portion to be paid with our common shares.</w:t>
      </w:r>
    </w:p>
    <w:p>
      <w:pPr>
        <w:spacing w:after="0" w:line="23" w:lineRule="exact"/>
        <w:rPr>
          <w:rFonts w:ascii="Arial" w:cs="Arial" w:eastAsia="Arial" w:hAnsi="Arial"/>
          <w:sz w:val="16"/>
          <w:szCs w:val="16"/>
          <w:color w:val="auto"/>
        </w:rPr>
      </w:pPr>
    </w:p>
    <w:p>
      <w:pPr>
        <w:ind w:left="460" w:right="120" w:hanging="452"/>
        <w:spacing w:after="0" w:line="28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$795,000. Our obligation under the Agreement is estimated to range from $1.6 million to $3.0 million approximately $360,000 of which we funded in 2003. In anticipation of a shortfall of incremental tax revenues to the City, we have accrued $1.2 million as of June 30, 2004 to cover additional payments we may be obligated to make as part of the project costs. Prior to the expiration of the Agreement on September 30, 2014, we could be required to provide funding beyond the $1.2 million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On January 5, 2004 we paid $199,000 to redeem 5,100 of these operating units and on March 3, 2004 we paid $200,000 to redeem 4,667 of these operating units. As of June 30, 2004, a total of 842,455 operating units remain outstanding. In July 2004, we issued 80,000 common shares to redeem 80,000 of these operating units.</w:t>
      </w:r>
    </w:p>
    <w:p>
      <w:pPr>
        <w:spacing w:after="0" w:line="21"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Santana Row.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2004, we had total debt outstanding of $1.3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June 30,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 Balance</w:t>
            </w:r>
          </w:p>
        </w:tc>
        <w:tc>
          <w:tcPr>
            <w:tcW w:w="190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89"/>
              </w:rPr>
              <w:t>Interest Rate</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Pr>
          <w:p>
            <w:pPr>
              <w:spacing w:after="0"/>
              <w:rPr>
                <w:sz w:val="3"/>
                <w:szCs w:val="3"/>
                <w:color w:val="auto"/>
              </w:rPr>
            </w:pPr>
          </w:p>
        </w:tc>
        <w:tc>
          <w:tcPr>
            <w:tcW w:w="104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Original Debt</w:t>
            </w: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restart"/>
          </w:tcPr>
          <w:p>
            <w:pPr>
              <w:jc w:val="center"/>
              <w:ind w:right="720"/>
              <w:spacing w:after="0" w:line="149" w:lineRule="exact"/>
              <w:rPr>
                <w:sz w:val="20"/>
                <w:szCs w:val="20"/>
                <w:color w:val="auto"/>
              </w:rPr>
            </w:pPr>
            <w:r>
              <w:rPr>
                <w:rFonts w:ascii="Arial" w:cs="Arial" w:eastAsia="Arial" w:hAnsi="Arial"/>
                <w:sz w:val="14"/>
                <w:szCs w:val="14"/>
                <w:b w:val="1"/>
                <w:bCs w:val="1"/>
                <w:color w:val="auto"/>
                <w:w w:val="79"/>
              </w:rPr>
              <w:t>as of</w:t>
            </w:r>
          </w:p>
        </w:tc>
        <w:tc>
          <w:tcPr>
            <w:tcW w:w="1900" w:type="dxa"/>
            <w:vAlign w:val="bottom"/>
            <w:gridSpan w:val="2"/>
            <w:vMerge w:val="restart"/>
          </w:tcPr>
          <w:p>
            <w:pPr>
              <w:jc w:val="center"/>
              <w:ind w:right="760"/>
              <w:spacing w:after="0" w:line="149" w:lineRule="exact"/>
              <w:rPr>
                <w:sz w:val="20"/>
                <w:szCs w:val="20"/>
                <w:color w:val="auto"/>
              </w:rPr>
            </w:pPr>
            <w:r>
              <w:rPr>
                <w:rFonts w:ascii="Arial" w:cs="Arial" w:eastAsia="Arial" w:hAnsi="Arial"/>
                <w:sz w:val="14"/>
                <w:szCs w:val="14"/>
                <w:b w:val="1"/>
                <w:bCs w:val="1"/>
                <w:color w:val="auto"/>
                <w:w w:val="79"/>
              </w:rPr>
              <w:t>as of</w:t>
            </w: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4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Description of Debt</w:t>
            </w:r>
          </w:p>
        </w:tc>
        <w:tc>
          <w:tcPr>
            <w:tcW w:w="1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Issued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June 30, 2004</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June 30, 2004</w:t>
            </w:r>
          </w:p>
        </w:tc>
        <w:tc>
          <w:tcPr>
            <w:tcW w:w="2000" w:type="dxa"/>
            <w:vAlign w:val="bottom"/>
          </w:tcPr>
          <w:p>
            <w:pPr>
              <w:jc w:val="right"/>
              <w:ind w:right="49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Mortgage Loans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6.510%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164 E. Houston Street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7.500%</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Acquired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8.375%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Federal Plaza</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35,331</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6.750%</w:t>
            </w:r>
          </w:p>
        </w:tc>
        <w:tc>
          <w:tcPr>
            <w:tcW w:w="200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Barracks Road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43,979</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7.950%</w:t>
            </w:r>
          </w:p>
        </w:tc>
        <w:tc>
          <w:tcPr>
            <w:tcW w:w="20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7.950%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Lawrence Park</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31,173</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7.950%</w:t>
            </w:r>
          </w:p>
        </w:tc>
        <w:tc>
          <w:tcPr>
            <w:tcW w:w="20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7.950%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Wynnewood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31,768</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7.950%</w:t>
            </w:r>
          </w:p>
        </w:tc>
        <w:tc>
          <w:tcPr>
            <w:tcW w:w="200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32,738</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Mount Vernon (1)</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13,250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12,959</w:t>
            </w:r>
          </w:p>
        </w:tc>
        <w:tc>
          <w:tcPr>
            <w:tcW w:w="620" w:type="dxa"/>
            <w:vAlign w:val="bottom"/>
          </w:tcPr>
          <w:p>
            <w:pPr>
              <w:spacing w:after="0"/>
              <w:rPr>
                <w:sz w:val="19"/>
                <w:szCs w:val="19"/>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5.660%</w:t>
            </w:r>
          </w:p>
        </w:tc>
        <w:tc>
          <w:tcPr>
            <w:tcW w:w="200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Total Mortgage Loans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253,398</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Various</w:t>
            </w:r>
          </w:p>
        </w:tc>
        <w:tc>
          <w:tcPr>
            <w:tcW w:w="200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Revolving credit facilities (2)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77,000</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LIBOR + 0.75 %</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6"/>
              </w:rPr>
              <w:t>LIBOR + 0.95 %</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Term note with banks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LIBOR + 0.95 %</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Escondido (Municipal Bonds) (4)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3.060%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Total Notes Payable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338,500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6.625% Notes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6.99% Medium Term Notes (5)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40,500</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6.894%</w:t>
            </w:r>
          </w:p>
        </w:tc>
        <w:tc>
          <w:tcPr>
            <w:tcW w:w="2000" w:type="dxa"/>
            <w:vAlign w:val="bottom"/>
          </w:tcPr>
          <w:p>
            <w:pPr>
              <w:jc w:val="right"/>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6.125% Notes (6)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8.75% Notes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8.750%</w:t>
            </w:r>
          </w:p>
        </w:tc>
        <w:tc>
          <w:tcPr>
            <w:tcW w:w="200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7.48% Debentures (7)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8"/>
                <w:szCs w:val="18"/>
                <w:color w:val="auto"/>
              </w:rPr>
              <w:t>7.480%</w:t>
            </w:r>
          </w:p>
        </w:tc>
        <w:tc>
          <w:tcPr>
            <w:tcW w:w="200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6.82% Medium Term Notes (8)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6.820%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Total Senior Notes and Debentures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gridSpan w:val="3"/>
          </w:tcPr>
          <w:p>
            <w:pPr>
              <w:ind w:left="860"/>
              <w:spacing w:after="0"/>
              <w:rPr>
                <w:sz w:val="20"/>
                <w:szCs w:val="20"/>
                <w:color w:val="auto"/>
              </w:rPr>
            </w:pPr>
            <w:r>
              <w:rPr>
                <w:rFonts w:ascii="Arial" w:cs="Arial" w:eastAsia="Arial" w:hAnsi="Arial"/>
                <w:sz w:val="18"/>
                <w:szCs w:val="18"/>
                <w:color w:val="auto"/>
              </w:rPr>
              <w:t>Various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159,286</w:t>
            </w:r>
          </w:p>
        </w:tc>
        <w:tc>
          <w:tcPr>
            <w:tcW w:w="62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Various</w:t>
            </w:r>
          </w:p>
        </w:tc>
        <w:tc>
          <w:tcPr>
            <w:tcW w:w="2000" w:type="dxa"/>
            <w:vAlign w:val="bottom"/>
          </w:tcPr>
          <w:p>
            <w:pPr>
              <w:jc w:val="right"/>
              <w:spacing w:after="0"/>
              <w:rPr>
                <w:sz w:val="20"/>
                <w:szCs w:val="20"/>
                <w:color w:val="auto"/>
              </w:rPr>
            </w:pPr>
            <w:r>
              <w:rPr>
                <w:rFonts w:ascii="Arial" w:cs="Arial" w:eastAsia="Arial" w:hAnsi="Arial"/>
                <w:sz w:val="18"/>
                <w:szCs w:val="18"/>
                <w:color w:val="auto"/>
              </w:rPr>
              <w:t>Various through 2077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1,321,684</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-325755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interest rate is fixed at 5.66% for the first ten years and then will be reset to a market rate. The lender has the option to call the loan after year ten.</w:t>
      </w:r>
    </w:p>
    <w:p>
      <w:pPr>
        <w:spacing w:after="0" w:line="38"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the facility during the first six months of 2004 was $165 million. The weighted average interest rate on borrowings under the facility for the six months ended June 30, 2004 was 2.0%.</w:t>
      </w:r>
    </w:p>
    <w:p>
      <w:pPr>
        <w:ind w:left="460" w:right="1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six months ended June 30, 2004 was 3.060%. The property is not encumbered by a lien.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a planned note offering. A hedge loss of $1.5 million associated with this hedge is being amortized into the note offering, thereby increasing the effective interest rate on these notes to 6.325%.</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Beginning on August 15, 2008, the debentures are redeemable by the holders thereof at the original purchase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800" w:right="26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2.22 to 1 as of June 30,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0.47 to 1 as of June 30, 2004);</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0.30 to 1 (we maintained a ratio of 0.15 to 1 as of June 30, 2004);</w:t>
      </w:r>
    </w:p>
    <w:p>
      <w:pPr>
        <w:spacing w:after="0" w:line="99" w:lineRule="exact"/>
        <w:rPr>
          <w:rFonts w:ascii="Arial" w:cs="Arial" w:eastAsia="Arial" w:hAnsi="Arial"/>
          <w:sz w:val="16"/>
          <w:szCs w:val="16"/>
          <w:color w:val="auto"/>
        </w:rPr>
      </w:pPr>
    </w:p>
    <w:p>
      <w:pPr>
        <w:ind w:left="8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2.72 to 1 as of June 30, 2004); and</w:t>
      </w:r>
    </w:p>
    <w:p>
      <w:pPr>
        <w:spacing w:after="0" w:line="37"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June 30, 2004 represented 3.6% of gross asset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2004, we were in compliance with all of the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Below are the aggregate principal payments required as of June 30, 2004 under our debt financing arrangements by year. Scheduled principal installments and amounts due at maturity are included. Our 6.82% Senior Notes and our 7.48% Debentures are included at their maturity date.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86"/>
              </w:rPr>
              <w:t>Secured</w:t>
            </w:r>
          </w:p>
        </w:tc>
        <w:tc>
          <w:tcPr>
            <w:tcW w:w="5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Capital Lease</w:t>
            </w:r>
          </w:p>
        </w:tc>
        <w:tc>
          <w:tcPr>
            <w:tcW w:w="260" w:type="dxa"/>
            <w:vAlign w:val="bottom"/>
          </w:tcPr>
          <w:p>
            <w:pPr>
              <w:spacing w:after="0"/>
              <w:rPr>
                <w:sz w:val="15"/>
                <w:szCs w:val="15"/>
                <w:color w:val="auto"/>
              </w:rPr>
            </w:pPr>
          </w:p>
        </w:tc>
        <w:tc>
          <w:tcPr>
            <w:tcW w:w="14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8"/>
              </w:rPr>
              <w:t>Unsecured</w:t>
            </w:r>
          </w:p>
        </w:tc>
        <w:tc>
          <w:tcPr>
            <w:tcW w:w="10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40,167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217,685(1)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150,204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155,436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150,226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2009 and thereafter</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227,767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153,700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w w:val="86"/>
              </w:rPr>
              <w:t>350,640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732,107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253,398</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159,286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909,000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1,321,684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-172720</wp:posOffset>
            </wp:positionV>
            <wp:extent cx="311721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1721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$77 million of our revolving credit facility.</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Our organizational documents do not limit the level or amount of debt that we may incur.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June 30, 2004, the Company had three cash flow hedge agreements which are accounted for in conformity with SFAS No. 133, “Accounting for Derivative Instruments and Hedging Activities,” as amended by SFAS No. 138, “Accounting for Certain Derivative Instruments and Certain Hedging Activities—an Amendment of FASB Statement No. 133.”</w:t>
      </w:r>
    </w:p>
    <w:p>
      <w:pPr>
        <w:spacing w:after="0" w:line="10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assuming no change to our debt rating, at 3.351% on notional amounts totaling $150 million trough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(“S&amp;P”) and “A1” by Moody’s Investors Service (“Moody’s”) as of June 30, 2004. Although our swap is not exchange traded, there are a number of financial institutions which enter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6.125%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2004 will depend upon acquisition opportunities, the level of improvements and redevelopments on existing properties and the timing and cost of future phases of Santana Row. To the extent that we require additional funds to meet our capital requirements, and normal recurring operating costs, we expect to fund these amounts from one or more of the following sources: cash provided by operating activities, borrowings under our credit facility, other funding sources, additional and replacement borrowings, both secured and unsecured, additional equity, joint venture relationships and property dispositions.</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800" w:right="2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should be noted that FFO:</w:t>
      </w:r>
    </w:p>
    <w:p>
      <w:pPr>
        <w:spacing w:after="0" w:line="77" w:lineRule="exact"/>
        <w:rPr>
          <w:sz w:val="20"/>
          <w:szCs w:val="20"/>
          <w:color w:val="auto"/>
        </w:rPr>
      </w:pPr>
    </w:p>
    <w:p>
      <w:pPr>
        <w:ind w:left="800" w:right="2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5"/>
              </w:rPr>
              <w:t>For the three months</w:t>
            </w:r>
          </w:p>
        </w:tc>
        <w:tc>
          <w:tcPr>
            <w:tcW w:w="12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5"/>
                <w:szCs w:val="15"/>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4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26,332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18,126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43,578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(8,276)</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(8,334)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21,261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39,987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1,787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41,507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79,154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color w:val="auto"/>
              </w:rPr>
              <w:t>Dividends on preferred stock</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(2,869)</w:t>
            </w:r>
          </w:p>
        </w:tc>
        <w:tc>
          <w:tcPr>
            <w:tcW w:w="12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(4,490)</w:t>
            </w:r>
          </w:p>
        </w:tc>
        <w:tc>
          <w:tcPr>
            <w:tcW w:w="12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(5,738)</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(9,346)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redemption fee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(3,423)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 available to common shareholders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38,638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73,416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52,681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48,376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51,593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820" w:type="dxa"/>
            <w:vAlign w:val="bottom"/>
            <w:vMerge w:val="restart"/>
          </w:tcPr>
          <w:p>
            <w:pPr>
              <w:jc w:val="right"/>
              <w:ind w:right="14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-926465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-926465</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-926465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-926465</wp:posOffset>
            </wp:positionV>
            <wp:extent cx="4070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-926465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-926465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-926465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-926465</wp:posOffset>
            </wp:positionV>
            <wp:extent cx="4070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-626110</wp:posOffset>
            </wp:positionV>
            <wp:extent cx="4070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-626110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-626110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-626110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-626110</wp:posOffset>
            </wp:positionV>
            <wp:extent cx="40703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-626110</wp:posOffset>
            </wp:positionV>
            <wp:extent cx="4070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4070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4070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variable rate debt and on the fair value of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2027) have fixed interest rates which limit the risk of fluctuating interest rates. Interest rate fluctuations may affect the fair value of our fixed rate debt instruments, however. At June 30, 2004 we had $1.1 billion of fixed-rate debt outstanding. If interest rates on our fixed-rate debt instruments at June 30, 2004 had been 1% higher, the fair value of those debt instruments on that date would have decreased by approximately $47.8 million. If interest rates on our fixed rate debt instruments at June 30, 2004 had been 1% lower, the fair value of those debt instruments on that date would have increased by approximately $51.9 million.</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our primary interest rate risk is due to fluctuations in interest rates on our variable rate debt. At June 30, 2004, we had $186.4 million of variable rate debt outstanding. Based upon this balance of variable rate debt, if interest rates increased 1%, our interest expense would increase by approximately $1.8 million, and our net income and cash flows for the year would decrease by approximately $1.8 million. If interest rates decreased 1%, our interest expense would decrease by approximately $1.8 million, and our and cash flows for the year would increase by approximately $1.8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 To accomplish this objective, the Company primarily uses interest rate swaps as part of its cash flow hedging strategy. Interest rate swaps designated as cash flow hedges involve the payment of fixed rate amounts in exchange for variable rate payments over the life of the agreements without exchange of the underlying principal amount. During the six months ended June 30, 2004, these derivatives were used to hedge the variable cash flows associated with existing variable rate debt. As of June 30, 2004, the Company had entered into three cash flow hedge agreements, which are accounted for in conformity with SFAS No. 133, “Accounting for Derivative Instruments and Hedging Activities,” as amended by SFAS No. 138, “Accounting for Certain Derivative Instruments and Hedging Activities—an Amendment of FASB Statement No. 133.”</w:t>
      </w:r>
    </w:p>
    <w:p>
      <w:pPr>
        <w:spacing w:after="0" w:line="10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 more detailed description of these derivative financial instruments is contained in “Item 2. Management’s Discussion and Analysis of Financial Condition and Results of Operations—Liquidity and Capital Resources—Interest Rate Hedging.”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several interest rate swaps or interest rate locks that hedged certain unsecured notes. In January 2004, to hedge 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w:t>
      </w:r>
    </w:p>
    <w:p>
      <w:pPr>
        <w:spacing w:after="0" w:line="9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were not able to proceed with the note offering at that time. However, we consummated a $150 million Senior Unsecured Note offering on November 15, 2002, and thus, the hedge loss is being amortized into interest expense over the life of the related Notes.</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also purchased an interest rate swap upon issuance of our 6.99% Medium Term Notes having a face amount of $40.5 million which reduced the effective interest rate from 6.99% to 6.894%.</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These controls and procedures are based closely on the definition of “disclosure controls and procedures” in Rule 13a-15(e)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report that materially affected, or is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Use of Proceeds and Issuer 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to Security Holders</w:t>
      </w:r>
    </w:p>
    <w:p>
      <w:pPr>
        <w:spacing w:after="0" w:line="83"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During the fiscal quarter ended June 30, 2004, we submitted certain matters to a vote of our shareholders through the notice of annual meeting of shareholders and the solicitation of proxies related thereto. The proxy materials related to our annual meeting of shareholders were distributed beginning on or about March 31, 2004, and the annual meeting of shareholders was held on May 5, 2004, in Rockville, Maryland. As of the record date prior to such meeting, 49,320,403 of our common shares were outstanding. At the annual shareholders meeting on May 5, 2004, 36,917,890 shares of the Registrant’s common stock were presented in person or by proxy, representing 74.8% of our outstanding common shares. The following sets forth the matters presented for a vote by the shareholders and the votes cast for, withheld, abstained, and broker non-votes:</w:t>
      </w:r>
    </w:p>
    <w:p>
      <w:pPr>
        <w:sectPr>
          <w:pgSz w:w="11900" w:h="16838" w:orient="portrait"/>
          <w:cols w:equalWidth="0" w:num="1">
            <w:col w:w="11420"/>
          </w:cols>
          <w:pgMar w:left="240" w:top="459"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086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90805</wp:posOffset>
            </wp:positionV>
            <wp:extent cx="6604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Votes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74295</wp:posOffset>
            </wp:positionV>
            <wp:extent cx="5746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90805</wp:posOffset>
            </wp:positionV>
            <wp:extent cx="4375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Broker</w:t>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11"/>
          <w:szCs w:val="11"/>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81915</wp:posOffset>
            </wp:positionV>
            <wp:extent cx="5746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5">
            <w:col w:w="6420" w:space="720"/>
            <w:col w:w="580" w:space="720"/>
            <w:col w:w="520" w:space="540"/>
            <w:col w:w="680" w:space="500"/>
            <w:col w:w="740"/>
          </w:cols>
          <w:pgMar w:left="240" w:top="459" w:right="239" w:bottom="1440" w:gutter="0" w:footer="0" w:header="0"/>
          <w:type w:val="continuous"/>
        </w:sectPr>
      </w:pPr>
    </w:p>
    <w:p>
      <w:pPr>
        <w:spacing w:after="0" w:line="22"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Election of Mr. David Faeder as a Class II director with a term serving until the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Annual Meeting</w:t>
            </w:r>
          </w:p>
        </w:tc>
        <w:tc>
          <w:tcPr>
            <w:tcW w:w="3880" w:type="dxa"/>
            <w:vAlign w:val="bottom"/>
          </w:tcPr>
          <w:p>
            <w:pPr>
              <w:jc w:val="right"/>
              <w:ind w:right="252"/>
              <w:spacing w:after="0"/>
              <w:rPr>
                <w:sz w:val="20"/>
                <w:szCs w:val="20"/>
                <w:color w:val="auto"/>
              </w:rPr>
            </w:pPr>
            <w:r>
              <w:rPr>
                <w:rFonts w:ascii="Arial" w:cs="Arial" w:eastAsia="Arial" w:hAnsi="Arial"/>
                <w:sz w:val="18"/>
                <w:szCs w:val="18"/>
                <w:color w:val="auto"/>
              </w:rPr>
              <w:t>36,445,228</w:t>
            </w: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472,656</w:t>
            </w:r>
          </w:p>
        </w:tc>
        <w:tc>
          <w:tcPr>
            <w:tcW w:w="1140" w:type="dxa"/>
            <w:vAlign w:val="bottom"/>
          </w:tcPr>
          <w:p>
            <w:pPr>
              <w:jc w:val="right"/>
              <w:ind w:right="492"/>
              <w:spacing w:after="0"/>
              <w:rPr>
                <w:sz w:val="20"/>
                <w:szCs w:val="20"/>
                <w:color w:val="auto"/>
              </w:rPr>
            </w:pPr>
            <w:r>
              <w:rPr>
                <w:rFonts w:ascii="Arial" w:cs="Arial" w:eastAsia="Arial" w:hAnsi="Arial"/>
                <w:sz w:val="18"/>
                <w:szCs w:val="18"/>
                <w:color w:val="auto"/>
              </w:rPr>
              <w:t>0</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9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Election Of Ms. Kristin Gamble as a Class II director with a term serving until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2007 Annual Meeting</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36,444,977</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472,907</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0</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(3)</w:t>
            </w:r>
          </w:p>
        </w:tc>
        <w:tc>
          <w:tcPr>
            <w:tcW w:w="6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Amendment of the Declaration of Trust to change the permissible size of the Board</w:t>
            </w: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 a range of 3 to 15 Trustees to a range of 5 to 10 Trustees</w:t>
            </w:r>
          </w:p>
        </w:tc>
        <w:tc>
          <w:tcPr>
            <w:tcW w:w="1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28,582,486</w:t>
            </w: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235,203</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77,057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8,023,144</w:t>
            </w:r>
          </w:p>
        </w:tc>
        <w:tc>
          <w:tcPr>
            <w:tcW w:w="0" w:type="dxa"/>
            <w:vAlign w:val="bottom"/>
          </w:tcPr>
          <w:p>
            <w:pPr>
              <w:spacing w:after="0"/>
              <w:rPr>
                <w:sz w:val="1"/>
                <w:szCs w:val="1"/>
                <w:color w:val="auto"/>
              </w:rPr>
            </w:pPr>
          </w:p>
        </w:tc>
      </w:tr>
      <w:tr>
        <w:trPr>
          <w:trHeight w:val="316"/>
        </w:trPr>
        <w:tc>
          <w:tcPr>
            <w:tcW w:w="300" w:type="dxa"/>
            <w:vAlign w:val="bottom"/>
            <w:gridSpan w:val="2"/>
          </w:tcPr>
          <w:p>
            <w:pPr>
              <w:jc w:val="right"/>
              <w:spacing w:after="0"/>
              <w:rPr>
                <w:sz w:val="20"/>
                <w:szCs w:val="20"/>
                <w:color w:val="auto"/>
              </w:rPr>
            </w:pPr>
            <w:r>
              <w:rPr>
                <w:rFonts w:ascii="Arial" w:cs="Arial" w:eastAsia="Arial" w:hAnsi="Arial"/>
                <w:sz w:val="18"/>
                <w:szCs w:val="18"/>
                <w:color w:val="auto"/>
                <w:w w:val="90"/>
              </w:rPr>
              <w:t>(4)</w:t>
            </w:r>
          </w:p>
        </w:tc>
        <w:tc>
          <w:tcPr>
            <w:tcW w:w="6440" w:type="dxa"/>
            <w:vAlign w:val="bottom"/>
          </w:tcPr>
          <w:p>
            <w:pPr>
              <w:ind w:left="80"/>
              <w:spacing w:after="0"/>
              <w:rPr>
                <w:sz w:val="20"/>
                <w:szCs w:val="20"/>
                <w:color w:val="auto"/>
              </w:rPr>
            </w:pPr>
            <w:r>
              <w:rPr>
                <w:rFonts w:ascii="Arial" w:cs="Arial" w:eastAsia="Arial" w:hAnsi="Arial"/>
                <w:sz w:val="18"/>
                <w:szCs w:val="18"/>
                <w:color w:val="auto"/>
                <w:w w:val="93"/>
              </w:rPr>
              <w:t>Amendment of the Declaration of Trust to decrease the vote required by shareholders</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to remove a Trustee with or without cause from 80% to 67%</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28,545,824</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265,694</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83,219</w:t>
            </w:r>
          </w:p>
        </w:tc>
        <w:tc>
          <w:tcPr>
            <w:tcW w:w="980" w:type="dxa"/>
            <w:vAlign w:val="bottom"/>
          </w:tcPr>
          <w:p>
            <w:pPr>
              <w:jc w:val="right"/>
              <w:spacing w:after="0"/>
              <w:rPr>
                <w:sz w:val="20"/>
                <w:szCs w:val="20"/>
                <w:color w:val="auto"/>
              </w:rPr>
            </w:pPr>
            <w:r>
              <w:rPr>
                <w:rFonts w:ascii="Arial" w:cs="Arial" w:eastAsia="Arial" w:hAnsi="Arial"/>
                <w:sz w:val="18"/>
                <w:szCs w:val="18"/>
                <w:color w:val="auto"/>
              </w:rPr>
              <w:t>8,023,153</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Ratification of the appointment of Grant Thornton LLP as our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for the fiscal year ending December 31, 2004</w:t>
            </w:r>
          </w:p>
        </w:tc>
        <w:tc>
          <w:tcPr>
            <w:tcW w:w="2820" w:type="dxa"/>
            <w:vAlign w:val="bottom"/>
          </w:tcPr>
          <w:p>
            <w:pPr>
              <w:jc w:val="right"/>
              <w:ind w:right="192"/>
              <w:spacing w:after="0"/>
              <w:rPr>
                <w:sz w:val="20"/>
                <w:szCs w:val="20"/>
                <w:color w:val="auto"/>
              </w:rPr>
            </w:pPr>
            <w:r>
              <w:rPr>
                <w:rFonts w:ascii="Arial" w:cs="Arial" w:eastAsia="Arial" w:hAnsi="Arial"/>
                <w:sz w:val="18"/>
                <w:szCs w:val="18"/>
                <w:color w:val="auto"/>
              </w:rPr>
              <w:t>35,822,535</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1,001,287</w:t>
            </w:r>
          </w:p>
        </w:tc>
        <w:tc>
          <w:tcPr>
            <w:tcW w:w="1340" w:type="dxa"/>
            <w:vAlign w:val="bottom"/>
          </w:tcPr>
          <w:p>
            <w:pPr>
              <w:jc w:val="right"/>
              <w:ind w:right="492"/>
              <w:spacing w:after="0"/>
              <w:rPr>
                <w:sz w:val="20"/>
                <w:szCs w:val="20"/>
                <w:color w:val="auto"/>
              </w:rPr>
            </w:pPr>
            <w:r>
              <w:rPr>
                <w:rFonts w:ascii="Arial" w:cs="Arial" w:eastAsia="Arial" w:hAnsi="Arial"/>
                <w:sz w:val="18"/>
                <w:szCs w:val="18"/>
                <w:color w:val="auto"/>
              </w:rPr>
              <w:t>94,059</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0"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center"/>
        <w:ind w:right="94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64" w:lineRule="exact"/>
        <w:rPr>
          <w:sz w:val="20"/>
          <w:szCs w:val="20"/>
          <w:color w:val="auto"/>
        </w:rPr>
      </w:pPr>
    </w:p>
    <w:p>
      <w:pPr>
        <w:ind w:left="1500" w:hanging="918"/>
        <w:spacing w:after="0"/>
        <w:tabs>
          <w:tab w:leader="none" w:pos="1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9640" w:type="dxa"/>
            <w:vAlign w:val="bottom"/>
          </w:tcPr>
          <w:p>
            <w:pPr>
              <w:ind w:left="300"/>
              <w:spacing w:after="0"/>
              <w:rPr>
                <w:sz w:val="20"/>
                <w:szCs w:val="20"/>
                <w:color w:val="auto"/>
              </w:rPr>
            </w:pPr>
            <w:r>
              <w:rPr>
                <w:rFonts w:ascii="Arial" w:cs="Arial" w:eastAsia="Arial" w:hAnsi="Arial"/>
                <w:sz w:val="18"/>
                <w:szCs w:val="18"/>
                <w:color w:val="auto"/>
                <w:w w:val="92"/>
              </w:rPr>
              <w:t>Declaration of Trust of Federal Realty Investment Trust dated May 5, 1999 (previously filed as Exhibit 3.2 to the Trust’s Current</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Report on Form 8-K filed on May 25, 1999 (File No. 1-07533) and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9640" w:type="dxa"/>
            <w:vAlign w:val="bottom"/>
          </w:tcPr>
          <w:p>
            <w:pPr>
              <w:ind w:left="30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2"/>
              </w:rPr>
              <w:t>the Trust’s Annual Report on Form 10-K for the year ended December 31, 2003 (File No.1-07533) (the “2003 Form 10-K”) and</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9640" w:type="dxa"/>
            <w:vAlign w:val="bottom"/>
          </w:tcPr>
          <w:p>
            <w:pPr>
              <w:ind w:left="300"/>
              <w:spacing w:after="0"/>
              <w:rPr>
                <w:sz w:val="20"/>
                <w:szCs w:val="20"/>
                <w:color w:val="auto"/>
              </w:rPr>
            </w:pPr>
            <w:r>
              <w:rPr>
                <w:rFonts w:ascii="Arial" w:cs="Arial" w:eastAsia="Arial" w:hAnsi="Arial"/>
                <w:sz w:val="18"/>
                <w:szCs w:val="18"/>
                <w:color w:val="auto"/>
                <w:w w:val="90"/>
              </w:rPr>
              <w:t>Specimen Common Share certificate (previously files as Exhibit 4(i) to the Trust’s Annual Report on Form 10-K for the year ended</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9640" w:type="dxa"/>
            <w:vAlign w:val="bottom"/>
          </w:tcPr>
          <w:p>
            <w:pPr>
              <w:ind w:left="300"/>
              <w:spacing w:after="0"/>
              <w:rPr>
                <w:sz w:val="20"/>
                <w:szCs w:val="20"/>
                <w:color w:val="auto"/>
              </w:rPr>
            </w:pPr>
            <w:r>
              <w:rPr>
                <w:rFonts w:ascii="Arial" w:cs="Arial" w:eastAsia="Arial" w:hAnsi="Arial"/>
                <w:sz w:val="18"/>
                <w:szCs w:val="18"/>
                <w:color w:val="auto"/>
                <w:w w:val="89"/>
              </w:rPr>
              <w:t xml:space="preserve">Articles Supplementary relating to the 8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2</w:t>
            </w:r>
            <w:r>
              <w:rPr>
                <w:rFonts w:ascii="Arial" w:cs="Arial" w:eastAsia="Arial" w:hAnsi="Arial"/>
                <w:sz w:val="18"/>
                <w:szCs w:val="18"/>
                <w:color w:val="auto"/>
                <w:w w:val="89"/>
              </w:rPr>
              <w:t>% Series B Cumulative Redeemable Preferred Shares (previously filed as Exhibit 4.1 to</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6"/>
              </w:rPr>
              <w:t>the Trust’s Registration Statement on Form 8-A filed on November 26, 2001 (File No. 1-07533) (the “2001 Form 8-A”) and</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9640" w:type="dxa"/>
            <w:vAlign w:val="bottom"/>
          </w:tcPr>
          <w:p>
            <w:pPr>
              <w:ind w:left="300"/>
              <w:spacing w:after="0"/>
              <w:rPr>
                <w:sz w:val="20"/>
                <w:szCs w:val="20"/>
                <w:color w:val="auto"/>
              </w:rPr>
            </w:pPr>
            <w:r>
              <w:rPr>
                <w:rFonts w:ascii="Arial" w:cs="Arial" w:eastAsia="Arial" w:hAnsi="Arial"/>
                <w:sz w:val="18"/>
                <w:szCs w:val="18"/>
                <w:color w:val="auto"/>
                <w:w w:val="88"/>
              </w:rPr>
              <w:t xml:space="preserve">Specimen 8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w:t>
            </w:r>
            <w:r>
              <w:rPr>
                <w:rFonts w:ascii="Arial" w:cs="Arial" w:eastAsia="Arial" w:hAnsi="Arial"/>
                <w:sz w:val="13"/>
                <w:szCs w:val="13"/>
                <w:color w:val="auto"/>
                <w:w w:val="88"/>
              </w:rPr>
              <w:t>2</w:t>
            </w:r>
            <w:r>
              <w:rPr>
                <w:rFonts w:ascii="Arial" w:cs="Arial" w:eastAsia="Arial" w:hAnsi="Arial"/>
                <w:sz w:val="18"/>
                <w:szCs w:val="18"/>
                <w:color w:val="auto"/>
                <w:w w:val="88"/>
              </w:rPr>
              <w:t>% Series B Cumulative Redeemable Preferred Share Certificate (previously filed as Exhibit 4.2 to the 2001 Form 8-A</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4.4</w:t>
            </w:r>
          </w:p>
        </w:tc>
        <w:tc>
          <w:tcPr>
            <w:tcW w:w="9640" w:type="dxa"/>
            <w:vAlign w:val="bottom"/>
          </w:tcPr>
          <w:p>
            <w:pPr>
              <w:ind w:left="300"/>
              <w:spacing w:after="0"/>
              <w:rPr>
                <w:sz w:val="20"/>
                <w:szCs w:val="20"/>
                <w:color w:val="auto"/>
              </w:rPr>
            </w:pPr>
            <w:r>
              <w:rPr>
                <w:rFonts w:ascii="Arial" w:cs="Arial" w:eastAsia="Arial" w:hAnsi="Arial"/>
                <w:sz w:val="18"/>
                <w:szCs w:val="18"/>
                <w:color w:val="auto"/>
                <w:w w:val="87"/>
              </w:rPr>
              <w:t>Amended and Restated Rights Agreement, dated March 11, 1999, between the Trust and American Stock Transfer &amp; Trust Company</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0"/>
              </w:rPr>
              <w:t>(previously filed as Exhibit 1 to the Trust’s Registration Statement on Form 8-A/A filed on March 11, 1999 ( File No. 1-07533) and</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4.5</w:t>
            </w:r>
          </w:p>
        </w:tc>
        <w:tc>
          <w:tcPr>
            <w:tcW w:w="9640" w:type="dxa"/>
            <w:vAlign w:val="bottom"/>
          </w:tcPr>
          <w:p>
            <w:pPr>
              <w:ind w:left="300"/>
              <w:spacing w:after="0"/>
              <w:rPr>
                <w:sz w:val="20"/>
                <w:szCs w:val="20"/>
                <w:color w:val="auto"/>
              </w:rPr>
            </w:pPr>
            <w:r>
              <w:rPr>
                <w:rFonts w:ascii="Arial" w:cs="Arial" w:eastAsia="Arial" w:hAnsi="Arial"/>
                <w:sz w:val="18"/>
                <w:szCs w:val="18"/>
                <w:color w:val="auto"/>
                <w:w w:val="92"/>
              </w:rPr>
              <w:t>First Amendment to Amended and Restated Rights Agreement, dated November, 2003 between the Trust and American Stock</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8"/>
              </w:rPr>
              <w:t>Transfer &amp; Trust Company (previously filed as Exhibit 4.5 to the 2003 Form 10-K and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4.6</w:t>
            </w:r>
          </w:p>
        </w:tc>
        <w:tc>
          <w:tcPr>
            <w:tcW w:w="9640" w:type="dxa"/>
            <w:vAlign w:val="bottom"/>
          </w:tcPr>
          <w:p>
            <w:pPr>
              <w:ind w:left="300"/>
              <w:spacing w:after="0"/>
              <w:rPr>
                <w:sz w:val="20"/>
                <w:szCs w:val="20"/>
                <w:color w:val="auto"/>
              </w:rPr>
            </w:pPr>
            <w:r>
              <w:rPr>
                <w:rFonts w:ascii="Arial" w:cs="Arial" w:eastAsia="Arial" w:hAnsi="Arial"/>
                <w:sz w:val="18"/>
                <w:szCs w:val="18"/>
                <w:color w:val="auto"/>
                <w:w w:val="89"/>
              </w:rPr>
              <w:t xml:space="preserve">Indenture dated December 13, 1993 related to the Trust’s 7.48% Debentures due August 15, 2026; 6 </w:t>
            </w:r>
            <w:r>
              <w:rPr>
                <w:rFonts w:ascii="Arial" w:cs="Arial" w:eastAsia="Arial" w:hAnsi="Arial"/>
                <w:sz w:val="22"/>
                <w:szCs w:val="22"/>
                <w:color w:val="auto"/>
                <w:w w:val="89"/>
                <w:vertAlign w:val="superscript"/>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Notes due 2005; 6.82%</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1"/>
              </w:rPr>
              <w:t>Medium Term Notes due August 1, 2027; and 6.99% Medium Term Notes due March 10, 2006 (previously filed as Exhibit 4(a) to</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93"/>
              </w:rPr>
              <w:t>the Trust’s Registration Statement on Form S-3 (File No. 33-51029), and amended on Form S-3 ( File No. 33-63687), filed on</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December 13, 1993 is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4.7</w:t>
            </w:r>
          </w:p>
        </w:tc>
        <w:tc>
          <w:tcPr>
            <w:tcW w:w="9640" w:type="dxa"/>
            <w:vAlign w:val="bottom"/>
          </w:tcPr>
          <w:p>
            <w:pPr>
              <w:ind w:left="300"/>
              <w:spacing w:after="0"/>
              <w:rPr>
                <w:sz w:val="20"/>
                <w:szCs w:val="20"/>
                <w:color w:val="auto"/>
              </w:rPr>
            </w:pPr>
            <w:r>
              <w:rPr>
                <w:rFonts w:ascii="Arial" w:cs="Arial" w:eastAsia="Arial" w:hAnsi="Arial"/>
                <w:sz w:val="18"/>
                <w:szCs w:val="18"/>
                <w:color w:val="auto"/>
                <w:w w:val="94"/>
              </w:rPr>
              <w:t xml:space="preserve">Indenture dated September 1, 1998 related to the Trust’s 8.75% Notes due December 1, 2009 and Trust’s 6 </w:t>
            </w:r>
            <w:r>
              <w:rPr>
                <w:rFonts w:ascii="Arial" w:cs="Arial" w:eastAsia="Arial" w:hAnsi="Arial"/>
                <w:sz w:val="22"/>
                <w:szCs w:val="22"/>
                <w:color w:val="auto"/>
                <w:w w:val="94"/>
                <w:vertAlign w:val="superscript"/>
              </w:rPr>
              <w:t>1</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Notes due</w:t>
            </w:r>
          </w:p>
        </w:tc>
      </w:tr>
      <w:tr>
        <w:trPr>
          <w:trHeight w:val="216"/>
        </w:trPr>
        <w:tc>
          <w:tcPr>
            <w:tcW w:w="620" w:type="dxa"/>
            <w:vAlign w:val="bottom"/>
          </w:tcPr>
          <w:p>
            <w:pPr>
              <w:spacing w:after="0"/>
              <w:rPr>
                <w:sz w:val="18"/>
                <w:szCs w:val="18"/>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w w:val="89"/>
              </w:rPr>
              <w:t>November 15, 2007 and the Trust’s 4.50% Notes due 2001 (previously filed as Exhibit 4(a) to the Trust’s Registration Statement on</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Form S-3 (File No. 333-63619) filed on September 17, 1998 is incorporated herein by reference)</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4.8</w:t>
            </w:r>
          </w:p>
        </w:tc>
        <w:tc>
          <w:tcPr>
            <w:tcW w:w="9640" w:type="dxa"/>
            <w:vAlign w:val="bottom"/>
          </w:tcPr>
          <w:p>
            <w:pPr>
              <w:ind w:left="300"/>
              <w:spacing w:after="0"/>
              <w:rPr>
                <w:sz w:val="20"/>
                <w:szCs w:val="20"/>
                <w:color w:val="auto"/>
              </w:rPr>
            </w:pPr>
            <w:r>
              <w:rPr>
                <w:rFonts w:ascii="Arial" w:cs="Arial" w:eastAsia="Arial" w:hAnsi="Arial"/>
                <w:sz w:val="18"/>
                <w:szCs w:val="18"/>
                <w:color w:val="auto"/>
                <w:w w:val="95"/>
              </w:rPr>
              <w:t>Pursuant to Regulation S-K Item 601 (b)(4)(iii), the Trust by this filing agrees, upon request, to furnish to the Securities and</w:t>
            </w:r>
          </w:p>
        </w:tc>
      </w:tr>
      <w:tr>
        <w:trPr>
          <w:trHeight w:val="222"/>
        </w:trPr>
        <w:tc>
          <w:tcPr>
            <w:tcW w:w="620" w:type="dxa"/>
            <w:vAlign w:val="bottom"/>
          </w:tcPr>
          <w:p>
            <w:pPr>
              <w:spacing w:after="0"/>
              <w:rPr>
                <w:sz w:val="19"/>
                <w:szCs w:val="19"/>
                <w:color w:val="auto"/>
              </w:rPr>
            </w:pPr>
          </w:p>
        </w:tc>
        <w:tc>
          <w:tcPr>
            <w:tcW w:w="9640" w:type="dxa"/>
            <w:vAlign w:val="bottom"/>
          </w:tcPr>
          <w:p>
            <w:pPr>
              <w:ind w:left="300"/>
              <w:spacing w:after="0"/>
              <w:rPr>
                <w:sz w:val="20"/>
                <w:szCs w:val="20"/>
                <w:color w:val="auto"/>
              </w:rPr>
            </w:pPr>
            <w:r>
              <w:rPr>
                <w:rFonts w:ascii="Arial" w:cs="Arial" w:eastAsia="Arial" w:hAnsi="Arial"/>
                <w:sz w:val="18"/>
                <w:szCs w:val="18"/>
                <w:color w:val="auto"/>
              </w:rPr>
              <w:t>Exchange Commission a copy of other instruments defining the rights of holders of long-term debt of the Trust</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9640" w:type="dxa"/>
            <w:vAlign w:val="bottom"/>
          </w:tcPr>
          <w:p>
            <w:pPr>
              <w:ind w:left="300"/>
              <w:spacing w:after="0"/>
              <w:rPr>
                <w:sz w:val="20"/>
                <w:szCs w:val="20"/>
                <w:color w:val="auto"/>
              </w:rPr>
            </w:pPr>
            <w:r>
              <w:rPr>
                <w:rFonts w:ascii="Arial" w:cs="Arial" w:eastAsia="Arial" w:hAnsi="Arial"/>
                <w:sz w:val="18"/>
                <w:szCs w:val="18"/>
                <w:color w:val="auto"/>
              </w:rPr>
              <w:t>Rule 13a-14(a)/15d-14(a) Certifications of Chief Executive Officer and Chief Financial Officer (filed herewith)</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9640" w:type="dxa"/>
            <w:vAlign w:val="bottom"/>
          </w:tcPr>
          <w:p>
            <w:pPr>
              <w:ind w:left="300"/>
              <w:spacing w:after="0"/>
              <w:rPr>
                <w:sz w:val="20"/>
                <w:szCs w:val="20"/>
                <w:color w:val="auto"/>
              </w:rPr>
            </w:pPr>
            <w:r>
              <w:rPr>
                <w:rFonts w:ascii="Arial" w:cs="Arial" w:eastAsia="Arial" w:hAnsi="Arial"/>
                <w:sz w:val="18"/>
                <w:szCs w:val="18"/>
                <w:color w:val="auto"/>
              </w:rPr>
              <w:t>Section 1350 Certifications of Chief Executive Office and Chief Financial Officer (filed herewith)</w:t>
            </w:r>
          </w:p>
        </w:tc>
      </w:tr>
    </w:tbl>
    <w:p>
      <w:pPr>
        <w:spacing w:after="0" w:line="210" w:lineRule="exact"/>
        <w:rPr>
          <w:sz w:val="20"/>
          <w:szCs w:val="20"/>
          <w:color w:val="auto"/>
        </w:rPr>
      </w:pPr>
    </w:p>
    <w:p>
      <w:pPr>
        <w:ind w:left="1500" w:hanging="918"/>
        <w:spacing w:after="0"/>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A Form 8-K, dated April 2, 2004 was filed on April 5, 2004 for the purpose of filing, under Item 7—Financial Statements and Exhibits, certain exhibits relating to the public offering of our debt securities, common shares, preferred shares, depositary shares and warrants.</w:t>
      </w:r>
    </w:p>
    <w:p>
      <w:pPr>
        <w:spacing w:after="0" w:line="7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240" w:top="459" w:right="7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080" w:type="dxa"/>
            <w:vAlign w:val="bottom"/>
          </w:tcPr>
          <w:p>
            <w:pPr>
              <w:ind w:left="180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July 28, 2004</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Donald C. Wood, President,</w:t>
            </w:r>
          </w:p>
        </w:tc>
      </w:tr>
      <w:tr>
        <w:trPr>
          <w:trHeight w:val="135"/>
        </w:trPr>
        <w:tc>
          <w:tcPr>
            <w:tcW w:w="5820" w:type="dxa"/>
            <w:vAlign w:val="bottom"/>
          </w:tcPr>
          <w:p>
            <w:pPr>
              <w:spacing w:after="0"/>
              <w:rPr>
                <w:sz w:val="11"/>
                <w:szCs w:val="11"/>
                <w:color w:val="auto"/>
              </w:rPr>
            </w:pPr>
          </w:p>
        </w:tc>
        <w:tc>
          <w:tcPr>
            <w:tcW w:w="5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Chief Executive Officer and Trustee</w:t>
            </w:r>
          </w:p>
        </w:tc>
      </w:tr>
      <w:tr>
        <w:trPr>
          <w:trHeight w:val="174"/>
        </w:trPr>
        <w:tc>
          <w:tcPr>
            <w:tcW w:w="5820" w:type="dxa"/>
            <w:vAlign w:val="bottom"/>
          </w:tcPr>
          <w:p>
            <w:pPr>
              <w:spacing w:after="0"/>
              <w:rPr>
                <w:sz w:val="15"/>
                <w:szCs w:val="15"/>
                <w:color w:val="auto"/>
              </w:rPr>
            </w:pP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5820" w:type="dxa"/>
            <w:vAlign w:val="bottom"/>
          </w:tcPr>
          <w:p>
            <w:pPr>
              <w:spacing w:after="0"/>
              <w:rPr>
                <w:sz w:val="24"/>
                <w:szCs w:val="24"/>
                <w:color w:val="auto"/>
              </w:rPr>
            </w:pPr>
          </w:p>
        </w:tc>
        <w:tc>
          <w:tcPr>
            <w:tcW w:w="2080" w:type="dxa"/>
            <w:vAlign w:val="bottom"/>
          </w:tcPr>
          <w:p>
            <w:pPr>
              <w:ind w:left="184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ARRY</w:t>
            </w:r>
            <w:r>
              <w:rPr>
                <w:rFonts w:ascii="Arial" w:cs="Arial" w:eastAsia="Arial" w:hAnsi="Arial"/>
                <w:sz w:val="18"/>
                <w:szCs w:val="18"/>
                <w:color w:val="auto"/>
                <w:w w:val="99"/>
              </w:rPr>
              <w:t xml:space="preserve"> E. F</w:t>
            </w:r>
            <w:r>
              <w:rPr>
                <w:rFonts w:ascii="Arial" w:cs="Arial" w:eastAsia="Arial" w:hAnsi="Arial"/>
                <w:sz w:val="14"/>
                <w:szCs w:val="14"/>
                <w:color w:val="auto"/>
                <w:w w:val="99"/>
              </w:rPr>
              <w:t>INGER</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51"/>
        </w:trPr>
        <w:tc>
          <w:tcPr>
            <w:tcW w:w="5820" w:type="dxa"/>
            <w:vAlign w:val="bottom"/>
          </w:tcPr>
          <w:p>
            <w:pPr>
              <w:spacing w:after="0"/>
              <w:rPr>
                <w:sz w:val="20"/>
                <w:szCs w:val="20"/>
                <w:color w:val="auto"/>
              </w:rPr>
            </w:pPr>
            <w:r>
              <w:rPr>
                <w:rFonts w:ascii="Arial" w:cs="Arial" w:eastAsia="Arial" w:hAnsi="Arial"/>
                <w:sz w:val="18"/>
                <w:szCs w:val="18"/>
                <w:color w:val="auto"/>
              </w:rPr>
              <w:t>July 28, 2004</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Larry E. Finger, Senior Vice President and</w:t>
            </w:r>
          </w:p>
        </w:tc>
      </w:tr>
      <w:tr>
        <w:trPr>
          <w:trHeight w:val="149"/>
        </w:trPr>
        <w:tc>
          <w:tcPr>
            <w:tcW w:w="5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520" w:type="dxa"/>
            <w:vAlign w:val="bottom"/>
          </w:tcPr>
          <w:p>
            <w:pPr>
              <w:jc w:val="center"/>
              <w:ind w:right="1979"/>
              <w:spacing w:after="0" w:line="149" w:lineRule="exact"/>
              <w:rPr>
                <w:sz w:val="20"/>
                <w:szCs w:val="20"/>
                <w:color w:val="auto"/>
              </w:rPr>
            </w:pPr>
            <w:r>
              <w:rPr>
                <w:rFonts w:ascii="Arial" w:cs="Arial" w:eastAsia="Arial" w:hAnsi="Arial"/>
                <w:sz w:val="14"/>
                <w:szCs w:val="14"/>
                <w:b w:val="1"/>
                <w:bCs w:val="1"/>
                <w:color w:val="auto"/>
                <w:w w:val="90"/>
              </w:rPr>
              <w:t>Chief Financial Officer</w:t>
            </w:r>
          </w:p>
        </w:tc>
      </w:tr>
    </w:tbl>
    <w:p>
      <w:pPr>
        <w:ind w:left="7740"/>
        <w:spacing w:after="0"/>
        <w:rPr>
          <w:sz w:val="20"/>
          <w:szCs w:val="20"/>
          <w:color w:val="auto"/>
        </w:rPr>
      </w:pPr>
      <w:r>
        <w:rPr>
          <w:rFonts w:ascii="Arial" w:cs="Arial" w:eastAsia="Arial" w:hAnsi="Arial"/>
          <w:sz w:val="14"/>
          <w:szCs w:val="14"/>
          <w:b w:val="1"/>
          <w:bCs w:val="1"/>
          <w:color w:val="auto"/>
        </w:rPr>
        <w:t>(Principal Accounting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72" w:lineRule="exact"/>
        <w:rPr>
          <w:sz w:val="20"/>
          <w:szCs w:val="20"/>
          <w:color w:val="auto"/>
        </w:rPr>
      </w:pPr>
    </w:p>
    <w:p>
      <w:pPr>
        <w:ind w:left="1160" w:hanging="104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700" w:type="dxa"/>
            <w:vAlign w:val="bottom"/>
          </w:tcPr>
          <w:p>
            <w:pPr>
              <w:jc w:val="right"/>
              <w:ind w:right="312"/>
              <w:spacing w:after="0"/>
              <w:rPr>
                <w:sz w:val="20"/>
                <w:szCs w:val="20"/>
                <w:color w:val="auto"/>
              </w:rPr>
            </w:pPr>
            <w:r>
              <w:rPr>
                <w:rFonts w:ascii="Arial" w:cs="Arial" w:eastAsia="Arial" w:hAnsi="Arial"/>
                <w:sz w:val="18"/>
                <w:szCs w:val="18"/>
                <w:color w:val="auto"/>
                <w:w w:val="79"/>
              </w:rPr>
              <w:t>31.1</w:t>
            </w:r>
          </w:p>
        </w:tc>
        <w:tc>
          <w:tcPr>
            <w:tcW w:w="8280" w:type="dxa"/>
            <w:vAlign w:val="bottom"/>
          </w:tcPr>
          <w:p>
            <w:pPr>
              <w:ind w:left="400"/>
              <w:spacing w:after="0"/>
              <w:rPr>
                <w:sz w:val="20"/>
                <w:szCs w:val="20"/>
                <w:color w:val="auto"/>
              </w:rPr>
            </w:pPr>
            <w:r>
              <w:rPr>
                <w:rFonts w:ascii="Arial" w:cs="Arial" w:eastAsia="Arial" w:hAnsi="Arial"/>
                <w:sz w:val="18"/>
                <w:szCs w:val="18"/>
                <w:color w:val="auto"/>
                <w:w w:val="90"/>
              </w:rPr>
              <w:t>Rule 13a-14(a)/15d-14(a) Certifications of Chief Executive Officer and Chief Financial Officer (filed herewith).</w:t>
            </w:r>
          </w:p>
        </w:tc>
      </w:tr>
      <w:tr>
        <w:trPr>
          <w:trHeight w:val="324"/>
        </w:trPr>
        <w:tc>
          <w:tcPr>
            <w:tcW w:w="700" w:type="dxa"/>
            <w:vAlign w:val="bottom"/>
          </w:tcPr>
          <w:p>
            <w:pPr>
              <w:jc w:val="right"/>
              <w:ind w:right="312"/>
              <w:spacing w:after="0"/>
              <w:rPr>
                <w:sz w:val="20"/>
                <w:szCs w:val="20"/>
                <w:color w:val="auto"/>
              </w:rPr>
            </w:pPr>
            <w:r>
              <w:rPr>
                <w:rFonts w:ascii="Arial" w:cs="Arial" w:eastAsia="Arial" w:hAnsi="Arial"/>
                <w:sz w:val="18"/>
                <w:szCs w:val="18"/>
                <w:color w:val="auto"/>
                <w:w w:val="79"/>
              </w:rPr>
              <w:t>32.1</w:t>
            </w:r>
          </w:p>
        </w:tc>
        <w:tc>
          <w:tcPr>
            <w:tcW w:w="8280" w:type="dxa"/>
            <w:vAlign w:val="bottom"/>
          </w:tcPr>
          <w:p>
            <w:pPr>
              <w:ind w:left="400"/>
              <w:spacing w:after="0"/>
              <w:rPr>
                <w:sz w:val="20"/>
                <w:szCs w:val="20"/>
                <w:color w:val="auto"/>
              </w:rPr>
            </w:pPr>
            <w:r>
              <w:rPr>
                <w:rFonts w:ascii="Arial" w:cs="Arial" w:eastAsia="Arial" w:hAnsi="Arial"/>
                <w:sz w:val="18"/>
                <w:szCs w:val="18"/>
                <w:color w:val="auto"/>
              </w:rPr>
              <w:t>Section 1350 Certifications of Chief Executive Office and Chief Financial Officer (filed herewith).</w:t>
            </w:r>
          </w:p>
        </w:tc>
      </w:tr>
      <w:tr>
        <w:trPr>
          <w:trHeight w:val="365"/>
        </w:trPr>
        <w:tc>
          <w:tcPr>
            <w:tcW w:w="700" w:type="dxa"/>
            <w:vAlign w:val="bottom"/>
          </w:tcPr>
          <w:p>
            <w:pPr>
              <w:spacing w:after="0"/>
              <w:rPr>
                <w:sz w:val="24"/>
                <w:szCs w:val="24"/>
                <w:color w:val="auto"/>
              </w:rPr>
            </w:pPr>
          </w:p>
        </w:tc>
        <w:tc>
          <w:tcPr>
            <w:tcW w:w="8280" w:type="dxa"/>
            <w:vAlign w:val="bottom"/>
          </w:tcPr>
          <w:p>
            <w:pPr>
              <w:jc w:val="right"/>
              <w:ind w:right="3152"/>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0219"/>
          </w:cols>
          <w:pgMar w:left="240" w:top="459"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7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5220" w:type="dxa"/>
            <w:vAlign w:val="bottom"/>
          </w:tcPr>
          <w:p>
            <w:pPr>
              <w:ind w:left="16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ONALD</w:t>
            </w:r>
            <w:r>
              <w:rPr>
                <w:rFonts w:ascii="Arial" w:cs="Arial" w:eastAsia="Arial" w:hAnsi="Arial"/>
                <w:sz w:val="18"/>
                <w:szCs w:val="18"/>
                <w:color w:val="auto"/>
              </w:rPr>
              <w:t xml:space="preserve"> C. W</w:t>
            </w:r>
            <w:r>
              <w:rPr>
                <w:rFonts w:ascii="Arial" w:cs="Arial" w:eastAsia="Arial" w:hAnsi="Arial"/>
                <w:sz w:val="14"/>
                <w:szCs w:val="14"/>
                <w:color w:val="auto"/>
              </w:rPr>
              <w:t>OOD</w:t>
            </w:r>
          </w:p>
        </w:tc>
      </w:tr>
      <w:tr>
        <w:trPr>
          <w:trHeight w:val="110"/>
        </w:trPr>
        <w:tc>
          <w:tcPr>
            <w:tcW w:w="620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r>
        <w:trPr>
          <w:trHeight w:val="251"/>
        </w:trPr>
        <w:tc>
          <w:tcPr>
            <w:tcW w:w="6200" w:type="dxa"/>
            <w:vAlign w:val="bottom"/>
          </w:tcPr>
          <w:p>
            <w:pPr>
              <w:spacing w:after="0"/>
              <w:rPr>
                <w:sz w:val="20"/>
                <w:szCs w:val="20"/>
                <w:color w:val="auto"/>
              </w:rPr>
            </w:pPr>
            <w:r>
              <w:rPr>
                <w:rFonts w:ascii="Arial" w:cs="Arial" w:eastAsia="Arial" w:hAnsi="Arial"/>
                <w:sz w:val="18"/>
                <w:szCs w:val="18"/>
                <w:color w:val="auto"/>
              </w:rPr>
              <w:t>July 28, 2004</w:t>
            </w: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7"/>
              </w:rPr>
              <w:t>Donald C. Wood, President, Chief Executive</w:t>
            </w:r>
          </w:p>
        </w:tc>
      </w:tr>
      <w:tr>
        <w:trPr>
          <w:trHeight w:val="174"/>
        </w:trPr>
        <w:tc>
          <w:tcPr>
            <w:tcW w:w="620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8"/>
              </w:rPr>
              <w:t>Officer and Trustee (Principal Executive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Larry E. Finger, certify that:</w:t>
      </w:r>
    </w:p>
    <w:p>
      <w:pPr>
        <w:spacing w:after="0" w:line="7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5220" w:type="dxa"/>
            <w:vAlign w:val="bottom"/>
          </w:tcPr>
          <w:p>
            <w:pPr>
              <w:ind w:left="164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tc>
      </w:tr>
      <w:tr>
        <w:trPr>
          <w:trHeight w:val="110"/>
        </w:trPr>
        <w:tc>
          <w:tcPr>
            <w:tcW w:w="620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r>
      <w:tr>
        <w:trPr>
          <w:trHeight w:val="251"/>
        </w:trPr>
        <w:tc>
          <w:tcPr>
            <w:tcW w:w="6200" w:type="dxa"/>
            <w:vAlign w:val="bottom"/>
          </w:tcPr>
          <w:p>
            <w:pPr>
              <w:spacing w:after="0"/>
              <w:rPr>
                <w:sz w:val="20"/>
                <w:szCs w:val="20"/>
                <w:color w:val="auto"/>
              </w:rPr>
            </w:pPr>
            <w:r>
              <w:rPr>
                <w:rFonts w:ascii="Arial" w:cs="Arial" w:eastAsia="Arial" w:hAnsi="Arial"/>
                <w:sz w:val="18"/>
                <w:szCs w:val="18"/>
                <w:color w:val="auto"/>
              </w:rPr>
              <w:t>July 28, 2004</w:t>
            </w: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8"/>
              </w:rPr>
              <w:t>Larry E. Finger, Senior Vice President and</w:t>
            </w:r>
          </w:p>
        </w:tc>
      </w:tr>
      <w:tr>
        <w:trPr>
          <w:trHeight w:val="135"/>
        </w:trPr>
        <w:tc>
          <w:tcPr>
            <w:tcW w:w="6200" w:type="dxa"/>
            <w:vAlign w:val="bottom"/>
          </w:tcPr>
          <w:p>
            <w:pPr>
              <w:spacing w:after="0"/>
              <w:rPr>
                <w:sz w:val="11"/>
                <w:szCs w:val="11"/>
                <w:color w:val="auto"/>
              </w:rPr>
            </w:pPr>
          </w:p>
        </w:tc>
        <w:tc>
          <w:tcPr>
            <w:tcW w:w="5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620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Accounting Officer)</w:t>
            </w:r>
          </w:p>
        </w:tc>
      </w:tr>
    </w:tbl>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60" w:type="dxa"/>
            <w:vAlign w:val="bottom"/>
          </w:tcPr>
          <w:p>
            <w:pPr>
              <w:spacing w:after="0"/>
              <w:rPr>
                <w:sz w:val="19"/>
                <w:szCs w:val="19"/>
                <w:color w:val="auto"/>
              </w:rPr>
            </w:pPr>
          </w:p>
        </w:tc>
        <w:tc>
          <w:tcPr>
            <w:tcW w:w="1440" w:type="dxa"/>
            <w:vAlign w:val="bottom"/>
          </w:tcPr>
          <w:p>
            <w:pPr>
              <w:ind w:left="1260"/>
              <w:spacing w:after="0"/>
              <w:rPr>
                <w:sz w:val="20"/>
                <w:szCs w:val="20"/>
                <w:color w:val="auto"/>
              </w:rPr>
            </w:pPr>
            <w:r>
              <w:rPr>
                <w:rFonts w:ascii="Arial" w:cs="Arial" w:eastAsia="Arial" w:hAnsi="Arial"/>
                <w:sz w:val="18"/>
                <w:szCs w:val="18"/>
                <w:color w:val="auto"/>
                <w:w w:val="83"/>
              </w:rPr>
              <w:t>/s/</w:t>
            </w:r>
          </w:p>
        </w:tc>
        <w:tc>
          <w:tcPr>
            <w:tcW w:w="3060" w:type="dxa"/>
            <w:vAlign w:val="bottom"/>
          </w:tcPr>
          <w:p>
            <w:pPr>
              <w:jc w:val="center"/>
              <w:ind w:right="1302"/>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ONALD</w:t>
            </w:r>
            <w:r>
              <w:rPr>
                <w:rFonts w:ascii="Arial" w:cs="Arial" w:eastAsia="Arial" w:hAnsi="Arial"/>
                <w:sz w:val="18"/>
                <w:szCs w:val="18"/>
                <w:color w:val="auto"/>
                <w:w w:val="98"/>
              </w:rPr>
              <w:t xml:space="preserve"> C. W</w:t>
            </w:r>
            <w:r>
              <w:rPr>
                <w:rFonts w:ascii="Arial" w:cs="Arial" w:eastAsia="Arial" w:hAnsi="Arial"/>
                <w:sz w:val="14"/>
                <w:szCs w:val="14"/>
                <w:color w:val="auto"/>
                <w:w w:val="98"/>
              </w:rPr>
              <w:t>OOD</w:t>
            </w:r>
          </w:p>
        </w:tc>
      </w:tr>
      <w:tr>
        <w:trPr>
          <w:trHeight w:val="110"/>
        </w:trPr>
        <w:tc>
          <w:tcPr>
            <w:tcW w:w="666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r>
        <w:trPr>
          <w:trHeight w:val="251"/>
        </w:trPr>
        <w:tc>
          <w:tcPr>
            <w:tcW w:w="6660" w:type="dxa"/>
            <w:vAlign w:val="bottom"/>
          </w:tcPr>
          <w:p>
            <w:pPr>
              <w:spacing w:after="0"/>
              <w:rPr>
                <w:sz w:val="20"/>
                <w:szCs w:val="20"/>
                <w:color w:val="auto"/>
              </w:rPr>
            </w:pPr>
            <w:r>
              <w:rPr>
                <w:rFonts w:ascii="Arial" w:cs="Arial" w:eastAsia="Arial" w:hAnsi="Arial"/>
                <w:sz w:val="18"/>
                <w:szCs w:val="18"/>
                <w:color w:val="auto"/>
              </w:rPr>
              <w:t>July 28, 2004</w:t>
            </w:r>
          </w:p>
        </w:tc>
        <w:tc>
          <w:tcPr>
            <w:tcW w:w="1440" w:type="dxa"/>
            <w:vAlign w:val="bottom"/>
          </w:tcPr>
          <w:p>
            <w:pPr>
              <w:spacing w:after="0"/>
              <w:rPr>
                <w:sz w:val="21"/>
                <w:szCs w:val="21"/>
                <w:color w:val="auto"/>
              </w:rPr>
            </w:pPr>
          </w:p>
        </w:tc>
        <w:tc>
          <w:tcPr>
            <w:tcW w:w="3060" w:type="dxa"/>
            <w:vAlign w:val="bottom"/>
          </w:tcPr>
          <w:p>
            <w:pPr>
              <w:jc w:val="center"/>
              <w:ind w:right="1342"/>
              <w:spacing w:after="0"/>
              <w:rPr>
                <w:sz w:val="20"/>
                <w:szCs w:val="20"/>
                <w:color w:val="auto"/>
              </w:rPr>
            </w:pPr>
            <w:r>
              <w:rPr>
                <w:rFonts w:ascii="Arial" w:cs="Arial" w:eastAsia="Arial" w:hAnsi="Arial"/>
                <w:sz w:val="14"/>
                <w:szCs w:val="14"/>
                <w:b w:val="1"/>
                <w:bCs w:val="1"/>
                <w:color w:val="auto"/>
                <w:w w:val="87"/>
              </w:rPr>
              <w:t>Donald C. Wood, President,</w:t>
            </w:r>
          </w:p>
        </w:tc>
      </w:tr>
      <w:tr>
        <w:trPr>
          <w:trHeight w:val="149"/>
        </w:trPr>
        <w:tc>
          <w:tcPr>
            <w:tcW w:w="6660" w:type="dxa"/>
            <w:vAlign w:val="bottom"/>
          </w:tcPr>
          <w:p>
            <w:pPr>
              <w:spacing w:after="0"/>
              <w:rPr>
                <w:sz w:val="12"/>
                <w:szCs w:val="12"/>
                <w:color w:val="auto"/>
              </w:rPr>
            </w:pPr>
          </w:p>
        </w:tc>
        <w:tc>
          <w:tcPr>
            <w:tcW w:w="4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Chief Executive Officer and Trustee</w:t>
            </w:r>
          </w:p>
        </w:tc>
      </w:tr>
    </w:tbl>
    <w:p>
      <w:pPr>
        <w:ind w:left="808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8" w:name="page49"/>
    <w:bookmarkEnd w:id="48"/>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ended June 30,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60" w:type="dxa"/>
            <w:vAlign w:val="bottom"/>
          </w:tcPr>
          <w:p>
            <w:pPr>
              <w:spacing w:after="0"/>
              <w:rPr>
                <w:sz w:val="19"/>
                <w:szCs w:val="19"/>
                <w:color w:val="auto"/>
              </w:rPr>
            </w:pPr>
          </w:p>
        </w:tc>
        <w:tc>
          <w:tcPr>
            <w:tcW w:w="4500" w:type="dxa"/>
            <w:vAlign w:val="bottom"/>
          </w:tcPr>
          <w:p>
            <w:pPr>
              <w:ind w:left="130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ARRY</w:t>
            </w:r>
            <w:r>
              <w:rPr>
                <w:rFonts w:ascii="Arial" w:cs="Arial" w:eastAsia="Arial" w:hAnsi="Arial"/>
                <w:sz w:val="18"/>
                <w:szCs w:val="18"/>
                <w:color w:val="auto"/>
              </w:rPr>
              <w:t xml:space="preserve"> E. F</w:t>
            </w:r>
            <w:r>
              <w:rPr>
                <w:rFonts w:ascii="Arial" w:cs="Arial" w:eastAsia="Arial" w:hAnsi="Arial"/>
                <w:sz w:val="14"/>
                <w:szCs w:val="14"/>
                <w:color w:val="auto"/>
              </w:rPr>
              <w:t>INGER</w:t>
            </w:r>
          </w:p>
        </w:tc>
      </w:tr>
      <w:tr>
        <w:trPr>
          <w:trHeight w:val="110"/>
        </w:trPr>
        <w:tc>
          <w:tcPr>
            <w:tcW w:w="666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251"/>
        </w:trPr>
        <w:tc>
          <w:tcPr>
            <w:tcW w:w="6660" w:type="dxa"/>
            <w:vAlign w:val="bottom"/>
          </w:tcPr>
          <w:p>
            <w:pPr>
              <w:spacing w:after="0"/>
              <w:rPr>
                <w:sz w:val="20"/>
                <w:szCs w:val="20"/>
                <w:color w:val="auto"/>
              </w:rPr>
            </w:pPr>
            <w:r>
              <w:rPr>
                <w:rFonts w:ascii="Arial" w:cs="Arial" w:eastAsia="Arial" w:hAnsi="Arial"/>
                <w:sz w:val="18"/>
                <w:szCs w:val="18"/>
                <w:color w:val="auto"/>
              </w:rPr>
              <w:t>July 28, 2004</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8"/>
              </w:rPr>
              <w:t>Larry E. Finger, Senior Vice President and</w:t>
            </w:r>
          </w:p>
        </w:tc>
      </w:tr>
      <w:tr>
        <w:trPr>
          <w:trHeight w:val="135"/>
        </w:trPr>
        <w:tc>
          <w:tcPr>
            <w:tcW w:w="6660" w:type="dxa"/>
            <w:vAlign w:val="bottom"/>
          </w:tcPr>
          <w:p>
            <w:pPr>
              <w:spacing w:after="0"/>
              <w:rPr>
                <w:sz w:val="11"/>
                <w:szCs w:val="11"/>
                <w:color w:val="auto"/>
              </w:rPr>
            </w:pPr>
          </w:p>
        </w:tc>
        <w:tc>
          <w:tcPr>
            <w:tcW w:w="4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6660" w:type="dxa"/>
            <w:vAlign w:val="bottom"/>
          </w:tcPr>
          <w:p>
            <w:pPr>
              <w:spacing w:after="0"/>
              <w:rPr>
                <w:sz w:val="15"/>
                <w:szCs w:val="15"/>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Accounting Officer)</w:t>
            </w:r>
          </w:p>
        </w:tc>
      </w:tr>
    </w:tbl>
    <w:p>
      <w:pPr>
        <w:spacing w:after="0" w:line="1" w:lineRule="exact"/>
        <w:rPr>
          <w:sz w:val="20"/>
          <w:szCs w:val="20"/>
          <w:color w:val="auto"/>
        </w:rPr>
      </w:pP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4"/>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2"/>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upperLetter"/>
      <w:start w:val="1"/>
    </w:lvl>
  </w:abstractNum>
  <w:abstractNum w:abstractNumId="30">
    <w:nsid w:val="3006C83E"/>
    <w:multiLevelType w:val="hybridMultilevel"/>
    <w:lvl w:ilvl="0">
      <w:lvlJc w:val="left"/>
      <w:lvlText w:val="(%1)"/>
      <w:numFmt w:val="upperLetter"/>
      <w:start w:val="2"/>
    </w:lvl>
  </w:abstractNum>
  <w:abstractNum w:abstractNumId="31">
    <w:nsid w:val="614FD4A1"/>
    <w:multiLevelType w:val="hybridMultilevel"/>
    <w:lvl w:ilvl="0">
      <w:lvlJc w:val="left"/>
      <w:lvlText w:val="(%1)"/>
      <w:numFmt w:val="upp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2019-12-13T01:01:12Z</dcterms:created>
  <dcterms:modified xsi:type="dcterms:W3CDTF">2019-12-13T01:01:12Z</dcterms:modified>
</cp:coreProperties>
</file>