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119380</wp:posOffset>
            </wp:positionV>
            <wp:extent cx="1537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537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spacing w:after="0" w:line="310" w:lineRule="exact"/>
        <w:rPr>
          <w:sz w:val="24"/>
          <w:szCs w:val="24"/>
          <w:color w:val="auto"/>
        </w:rPr>
      </w:pPr>
    </w:p>
    <w:p>
      <w:pPr>
        <w:ind w:left="1140" w:hanging="191"/>
        <w:spacing w:after="0"/>
        <w:tabs>
          <w:tab w:leader="none" w:pos="11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the Section 13 or 15(d) of the Securities Exchange Act of 1934 For the fiscal year ended December 31, 2005</w:t>
      </w:r>
    </w:p>
    <w:p>
      <w:pPr>
        <w:spacing w:after="0" w:line="31" w:lineRule="exact"/>
        <w:rPr>
          <w:rFonts w:ascii="MS PGothic" w:cs="MS PGothic" w:eastAsia="MS PGothic" w:hAnsi="MS PGothic"/>
          <w:sz w:val="17"/>
          <w:szCs w:val="17"/>
          <w:color w:val="auto"/>
        </w:rPr>
      </w:pPr>
    </w:p>
    <w:p>
      <w:pPr>
        <w:ind w:left="5620"/>
        <w:spacing w:after="0"/>
        <w:rPr>
          <w:rFonts w:ascii="MS PGothic" w:cs="MS PGothic" w:eastAsia="MS PGothic" w:hAnsi="MS PGothic"/>
          <w:sz w:val="17"/>
          <w:szCs w:val="17"/>
          <w:color w:val="auto"/>
        </w:rPr>
      </w:pPr>
      <w:r>
        <w:rPr>
          <w:rFonts w:ascii="Arial" w:cs="Arial" w:eastAsia="Arial" w:hAnsi="Arial"/>
          <w:sz w:val="17"/>
          <w:szCs w:val="17"/>
          <w:color w:val="auto"/>
        </w:rPr>
        <w:t>Or</w:t>
      </w:r>
    </w:p>
    <w:p>
      <w:pPr>
        <w:spacing w:after="0" w:line="11" w:lineRule="exact"/>
        <w:rPr>
          <w:sz w:val="24"/>
          <w:szCs w:val="24"/>
          <w:color w:val="auto"/>
        </w:rPr>
      </w:pPr>
    </w:p>
    <w:p>
      <w:pPr>
        <w:ind w:left="4520" w:right="1420" w:hanging="3647"/>
        <w:spacing w:after="0" w:line="253"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Transition report pursuant to Section 13 or 15(d) of the Securities Exchange Act of 1934 For the transition period from</w:t>
      </w:r>
      <w:r>
        <w:rPr>
          <w:sz w:val="20"/>
          <w:szCs w:val="20"/>
          <w:color w:val="auto"/>
        </w:rPr>
        <w:t xml:space="preserve"> </w:t>
      </w:r>
      <w:r>
        <w:rPr>
          <w:rFonts w:ascii="Arial" w:cs="Arial" w:eastAsia="Arial" w:hAnsi="Arial"/>
          <w:sz w:val="17"/>
          <w:szCs w:val="17"/>
          <w:color w:val="auto"/>
        </w:rPr>
        <w:t>to 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5930900</wp:posOffset>
            </wp:positionH>
            <wp:positionV relativeFrom="paragraph">
              <wp:posOffset>-48895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FEDERAL REALTY INVESTMENT TRUST</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Declaration of Trust)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jc w:val="center"/>
              <w:ind w:left="618"/>
              <w:spacing w:after="0"/>
              <w:rPr>
                <w:sz w:val="20"/>
                <w:szCs w:val="20"/>
                <w:color w:val="auto"/>
              </w:rPr>
            </w:pPr>
            <w:r>
              <w:rPr>
                <w:rFonts w:ascii="Arial" w:cs="Arial" w:eastAsia="Arial" w:hAnsi="Arial"/>
                <w:sz w:val="17"/>
                <w:szCs w:val="17"/>
                <w:color w:val="auto"/>
                <w:w w:val="94"/>
              </w:rPr>
              <w:t>Maryland</w:t>
            </w:r>
          </w:p>
        </w:tc>
        <w:tc>
          <w:tcPr>
            <w:tcW w:w="6500" w:type="dxa"/>
            <w:vAlign w:val="bottom"/>
            <w:gridSpan w:val="3"/>
          </w:tcPr>
          <w:p>
            <w:pPr>
              <w:jc w:val="right"/>
              <w:ind w:right="2182"/>
              <w:spacing w:after="0"/>
              <w:rPr>
                <w:sz w:val="20"/>
                <w:szCs w:val="20"/>
                <w:color w:val="auto"/>
              </w:rPr>
            </w:pPr>
            <w:r>
              <w:rPr>
                <w:rFonts w:ascii="Arial" w:cs="Arial" w:eastAsia="Arial" w:hAnsi="Arial"/>
                <w:sz w:val="17"/>
                <w:szCs w:val="17"/>
                <w:color w:val="auto"/>
              </w:rPr>
              <w:t>52-0782497</w:t>
            </w:r>
          </w:p>
        </w:tc>
      </w:tr>
      <w:tr>
        <w:trPr>
          <w:trHeight w:val="173"/>
        </w:trPr>
        <w:tc>
          <w:tcPr>
            <w:tcW w:w="4920" w:type="dxa"/>
            <w:vAlign w:val="bottom"/>
          </w:tcPr>
          <w:p>
            <w:pPr>
              <w:jc w:val="center"/>
              <w:ind w:left="618"/>
              <w:spacing w:after="0"/>
              <w:rPr>
                <w:sz w:val="20"/>
                <w:szCs w:val="20"/>
                <w:color w:val="auto"/>
              </w:rPr>
            </w:pPr>
            <w:r>
              <w:rPr>
                <w:rFonts w:ascii="Arial" w:cs="Arial" w:eastAsia="Arial" w:hAnsi="Arial"/>
                <w:sz w:val="13"/>
                <w:szCs w:val="13"/>
                <w:b w:val="1"/>
                <w:bCs w:val="1"/>
                <w:color w:val="auto"/>
                <w:w w:val="93"/>
              </w:rPr>
              <w:t>(State of Organization)</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3"/>
                <w:szCs w:val="13"/>
                <w:b w:val="1"/>
                <w:bCs w:val="1"/>
                <w:color w:val="auto"/>
                <w:w w:val="94"/>
              </w:rPr>
              <w:t>(IRS Employer Identification No.)</w:t>
            </w:r>
          </w:p>
        </w:tc>
      </w:tr>
      <w:tr>
        <w:trPr>
          <w:trHeight w:val="267"/>
        </w:trPr>
        <w:tc>
          <w:tcPr>
            <w:tcW w:w="4920" w:type="dxa"/>
            <w:vAlign w:val="bottom"/>
          </w:tcPr>
          <w:p>
            <w:pPr>
              <w:jc w:val="center"/>
              <w:ind w:left="618"/>
              <w:spacing w:after="0"/>
              <w:rPr>
                <w:sz w:val="20"/>
                <w:szCs w:val="20"/>
                <w:color w:val="auto"/>
              </w:rPr>
            </w:pPr>
            <w:r>
              <w:rPr>
                <w:rFonts w:ascii="Arial" w:cs="Arial" w:eastAsia="Arial" w:hAnsi="Arial"/>
                <w:sz w:val="17"/>
                <w:szCs w:val="17"/>
                <w:color w:val="auto"/>
                <w:w w:val="93"/>
              </w:rPr>
              <w:t>1626 East Jefferson Street, Rockville, Maryland</w:t>
            </w:r>
          </w:p>
        </w:tc>
        <w:tc>
          <w:tcPr>
            <w:tcW w:w="6500" w:type="dxa"/>
            <w:vAlign w:val="bottom"/>
            <w:gridSpan w:val="3"/>
          </w:tcPr>
          <w:p>
            <w:pPr>
              <w:jc w:val="right"/>
              <w:ind w:right="2382"/>
              <w:spacing w:after="0"/>
              <w:rPr>
                <w:sz w:val="20"/>
                <w:szCs w:val="20"/>
                <w:color w:val="auto"/>
              </w:rPr>
            </w:pPr>
            <w:r>
              <w:rPr>
                <w:rFonts w:ascii="Arial" w:cs="Arial" w:eastAsia="Arial" w:hAnsi="Arial"/>
                <w:sz w:val="17"/>
                <w:szCs w:val="17"/>
                <w:color w:val="auto"/>
              </w:rPr>
              <w:t>20852</w:t>
            </w:r>
          </w:p>
        </w:tc>
      </w:tr>
      <w:tr>
        <w:trPr>
          <w:trHeight w:val="173"/>
        </w:trPr>
        <w:tc>
          <w:tcPr>
            <w:tcW w:w="4920" w:type="dxa"/>
            <w:vAlign w:val="bottom"/>
          </w:tcPr>
          <w:p>
            <w:pPr>
              <w:jc w:val="center"/>
              <w:ind w:left="618"/>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3"/>
                <w:szCs w:val="13"/>
                <w:b w:val="1"/>
                <w:bCs w:val="1"/>
                <w:color w:val="auto"/>
                <w:w w:val="93"/>
              </w:rPr>
              <w:t>(Zip Code)</w:t>
            </w:r>
          </w:p>
        </w:tc>
      </w:tr>
      <w:tr>
        <w:trPr>
          <w:trHeight w:val="267"/>
        </w:trPr>
        <w:tc>
          <w:tcPr>
            <w:tcW w:w="4920" w:type="dxa"/>
            <w:vAlign w:val="bottom"/>
          </w:tcPr>
          <w:p>
            <w:pPr>
              <w:spacing w:after="0"/>
              <w:rPr>
                <w:sz w:val="23"/>
                <w:szCs w:val="23"/>
                <w:color w:val="auto"/>
              </w:rPr>
            </w:pPr>
          </w:p>
        </w:tc>
        <w:tc>
          <w:tcPr>
            <w:tcW w:w="6500" w:type="dxa"/>
            <w:vAlign w:val="bottom"/>
            <w:gridSpan w:val="3"/>
          </w:tcPr>
          <w:p>
            <w:pPr>
              <w:jc w:val="right"/>
              <w:ind w:right="5082"/>
              <w:spacing w:after="0"/>
              <w:rPr>
                <w:sz w:val="20"/>
                <w:szCs w:val="20"/>
                <w:color w:val="auto"/>
              </w:rPr>
            </w:pPr>
            <w:r>
              <w:rPr>
                <w:rFonts w:ascii="Arial" w:cs="Arial" w:eastAsia="Arial" w:hAnsi="Arial"/>
                <w:sz w:val="17"/>
                <w:szCs w:val="17"/>
                <w:color w:val="auto"/>
              </w:rPr>
              <w:t>(301) 998-8100</w:t>
            </w:r>
          </w:p>
        </w:tc>
      </w:tr>
      <w:tr>
        <w:trPr>
          <w:trHeight w:val="173"/>
        </w:trPr>
        <w:tc>
          <w:tcPr>
            <w:tcW w:w="114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(Registrant’s Telephone Number, Including Area Code)</w:t>
            </w:r>
          </w:p>
        </w:tc>
      </w:tr>
      <w:tr>
        <w:trPr>
          <w:trHeight w:val="278"/>
        </w:trPr>
        <w:tc>
          <w:tcPr>
            <w:tcW w:w="4920" w:type="dxa"/>
            <w:vAlign w:val="bottom"/>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313"/>
        </w:trPr>
        <w:tc>
          <w:tcPr>
            <w:tcW w:w="4920" w:type="dxa"/>
            <w:vAlign w:val="bottom"/>
            <w:tcBorders>
              <w:bottom w:val="single" w:sz="8" w:color="auto"/>
            </w:tcBorders>
          </w:tcPr>
          <w:p>
            <w:pPr>
              <w:jc w:val="center"/>
              <w:ind w:left="618"/>
              <w:spacing w:after="0"/>
              <w:rPr>
                <w:sz w:val="20"/>
                <w:szCs w:val="20"/>
                <w:color w:val="auto"/>
              </w:rPr>
            </w:pPr>
            <w:r>
              <w:rPr>
                <w:rFonts w:ascii="Arial" w:cs="Arial" w:eastAsia="Arial" w:hAnsi="Arial"/>
                <w:sz w:val="17"/>
                <w:szCs w:val="17"/>
                <w:b w:val="1"/>
                <w:bCs w:val="1"/>
                <w:color w:val="auto"/>
                <w:w w:val="91"/>
              </w:rPr>
              <w:t>Title of Each Class</w:t>
            </w:r>
          </w:p>
        </w:tc>
        <w:tc>
          <w:tcPr>
            <w:tcW w:w="6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Name Of Each Exchange On Which Registered</w:t>
            </w:r>
          </w:p>
        </w:tc>
      </w:tr>
      <w:tr>
        <w:trPr>
          <w:trHeight w:val="192"/>
        </w:trPr>
        <w:tc>
          <w:tcPr>
            <w:tcW w:w="4920" w:type="dxa"/>
            <w:vAlign w:val="bottom"/>
          </w:tcPr>
          <w:p>
            <w:pPr>
              <w:jc w:val="center"/>
              <w:ind w:left="598"/>
              <w:spacing w:after="0" w:line="192" w:lineRule="exact"/>
              <w:rPr>
                <w:sz w:val="20"/>
                <w:szCs w:val="20"/>
                <w:color w:val="auto"/>
              </w:rPr>
            </w:pPr>
            <w:r>
              <w:rPr>
                <w:rFonts w:ascii="Arial" w:cs="Arial" w:eastAsia="Arial" w:hAnsi="Arial"/>
                <w:sz w:val="17"/>
                <w:szCs w:val="17"/>
                <w:color w:val="auto"/>
                <w:w w:val="92"/>
              </w:rPr>
              <w:t>Common Shares of Beneficial Interest, $.01 par value</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360" w:type="dxa"/>
            <w:vAlign w:val="bottom"/>
          </w:tcPr>
          <w:p>
            <w:pPr>
              <w:jc w:val="center"/>
              <w:spacing w:after="0" w:line="192" w:lineRule="exact"/>
              <w:rPr>
                <w:sz w:val="20"/>
                <w:szCs w:val="20"/>
                <w:color w:val="auto"/>
              </w:rPr>
            </w:pPr>
            <w:r>
              <w:rPr>
                <w:rFonts w:ascii="Arial" w:cs="Arial" w:eastAsia="Arial" w:hAnsi="Arial"/>
                <w:sz w:val="17"/>
                <w:szCs w:val="17"/>
                <w:color w:val="auto"/>
                <w:w w:val="93"/>
              </w:rPr>
              <w:t>New York Stock Exchange</w:t>
            </w:r>
          </w:p>
        </w:tc>
      </w:tr>
      <w:tr>
        <w:trPr>
          <w:trHeight w:val="213"/>
        </w:trPr>
        <w:tc>
          <w:tcPr>
            <w:tcW w:w="4920" w:type="dxa"/>
            <w:vAlign w:val="bottom"/>
          </w:tcPr>
          <w:p>
            <w:pPr>
              <w:jc w:val="center"/>
              <w:ind w:left="618"/>
              <w:spacing w:after="0"/>
              <w:rPr>
                <w:sz w:val="20"/>
                <w:szCs w:val="20"/>
                <w:color w:val="auto"/>
              </w:rPr>
            </w:pPr>
            <w:r>
              <w:rPr>
                <w:rFonts w:ascii="Arial" w:cs="Arial" w:eastAsia="Arial" w:hAnsi="Arial"/>
                <w:sz w:val="17"/>
                <w:szCs w:val="17"/>
                <w:color w:val="auto"/>
                <w:w w:val="89"/>
              </w:rPr>
              <w:t>per share, with associated Common Share Purchase</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3"/>
        </w:trPr>
        <w:tc>
          <w:tcPr>
            <w:tcW w:w="4920" w:type="dxa"/>
            <w:vAlign w:val="bottom"/>
          </w:tcPr>
          <w:p>
            <w:pPr>
              <w:jc w:val="center"/>
              <w:ind w:left="618"/>
              <w:spacing w:after="0"/>
              <w:rPr>
                <w:sz w:val="20"/>
                <w:szCs w:val="20"/>
                <w:color w:val="auto"/>
              </w:rPr>
            </w:pPr>
            <w:r>
              <w:rPr>
                <w:rFonts w:ascii="Arial" w:cs="Arial" w:eastAsia="Arial" w:hAnsi="Arial"/>
                <w:sz w:val="17"/>
                <w:szCs w:val="17"/>
                <w:color w:val="auto"/>
                <w:w w:val="95"/>
              </w:rPr>
              <w:t>Rights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3"/>
        </w:trPr>
        <w:tc>
          <w:tcPr>
            <w:tcW w:w="4920" w:type="dxa"/>
            <w:vAlign w:val="bottom"/>
          </w:tcPr>
          <w:p>
            <w:pPr>
              <w:jc w:val="center"/>
              <w:ind w:left="618"/>
              <w:spacing w:after="0"/>
              <w:rPr>
                <w:sz w:val="20"/>
                <w:szCs w:val="20"/>
                <w:color w:val="auto"/>
              </w:rPr>
            </w:pPr>
            <w:r>
              <w:rPr>
                <w:rFonts w:ascii="Arial" w:cs="Arial" w:eastAsia="Arial" w:hAnsi="Arial"/>
                <w:sz w:val="17"/>
                <w:szCs w:val="17"/>
                <w:color w:val="auto"/>
                <w:w w:val="91"/>
              </w:rPr>
              <w:t>8.5% Series B Cumulative Redeemable Preferred</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13"/>
        </w:trPr>
        <w:tc>
          <w:tcPr>
            <w:tcW w:w="4920" w:type="dxa"/>
            <w:vAlign w:val="bottom"/>
          </w:tcPr>
          <w:p>
            <w:pPr>
              <w:jc w:val="center"/>
              <w:ind w:left="618"/>
              <w:spacing w:after="0"/>
              <w:rPr>
                <w:sz w:val="20"/>
                <w:szCs w:val="20"/>
                <w:color w:val="auto"/>
              </w:rPr>
            </w:pPr>
            <w:r>
              <w:rPr>
                <w:rFonts w:ascii="Arial" w:cs="Arial" w:eastAsia="Arial" w:hAnsi="Arial"/>
                <w:sz w:val="17"/>
                <w:szCs w:val="17"/>
                <w:color w:val="auto"/>
                <w:w w:val="91"/>
              </w:rPr>
              <w:t>Shares of Beneficial Interest, par value $.01 per</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0"/>
        </w:trPr>
        <w:tc>
          <w:tcPr>
            <w:tcW w:w="4920" w:type="dxa"/>
            <w:vAlign w:val="bottom"/>
          </w:tcPr>
          <w:p>
            <w:pPr>
              <w:jc w:val="center"/>
              <w:ind w:left="618"/>
              <w:spacing w:after="0"/>
              <w:rPr>
                <w:sz w:val="20"/>
                <w:szCs w:val="20"/>
                <w:color w:val="auto"/>
              </w:rPr>
            </w:pPr>
            <w:r>
              <w:rPr>
                <w:rFonts w:ascii="Arial" w:cs="Arial" w:eastAsia="Arial" w:hAnsi="Arial"/>
                <w:sz w:val="17"/>
                <w:szCs w:val="17"/>
                <w:color w:val="auto"/>
                <w:w w:val="91"/>
              </w:rPr>
              <w:t>share, (Liquidation Preference $25.00 per share)</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12(g) of the Act: None</w:t>
      </w:r>
    </w:p>
    <w:p>
      <w:pPr>
        <w:sectPr>
          <w:pgSz w:w="11900" w:h="16838" w:orient="portrait"/>
          <w:cols w:equalWidth="0" w:num="1">
            <w:col w:w="11420"/>
          </w:cols>
          <w:pgMar w:left="240" w:top="219" w:right="239" w:bottom="1440" w:gutter="0" w:footer="0" w:header="0"/>
        </w:sectPr>
      </w:pPr>
    </w:p>
    <w:p>
      <w:pPr>
        <w:spacing w:after="0" w:line="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0" w:lineRule="exact"/>
        <w:rPr>
          <w:sz w:val="24"/>
          <w:szCs w:val="24"/>
          <w:color w:val="auto"/>
        </w:rPr>
      </w:pPr>
    </w:p>
    <w:p>
      <w:pPr>
        <w:sectPr>
          <w:pgSz w:w="11900" w:h="16838" w:orient="portrait"/>
          <w:cols w:equalWidth="0" w:num="2">
            <w:col w:w="8680" w:space="180"/>
            <w:col w:w="2560"/>
          </w:cols>
          <w:pgMar w:left="240" w:top="219" w:right="2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53" w:lineRule="exact"/>
        <w:rPr>
          <w:sz w:val="24"/>
          <w:szCs w:val="24"/>
          <w:color w:val="auto"/>
        </w:rPr>
      </w:pPr>
    </w:p>
    <w:p>
      <w:pPr>
        <w:sectPr>
          <w:pgSz w:w="11900" w:h="16838" w:orient="portrait"/>
          <w:cols w:equalWidth="0" w:num="2">
            <w:col w:w="8840" w:space="180"/>
            <w:col w:w="2400"/>
          </w:cols>
          <w:pgMar w:left="240" w:top="219" w:right="239" w:bottom="1440" w:gutter="0" w:footer="0" w:header="0"/>
          <w:type w:val="continuous"/>
        </w:sectPr>
      </w:pPr>
    </w:p>
    <w:p>
      <w:pPr>
        <w:ind w:right="100"/>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56" w:lineRule="exact"/>
        <w:rPr>
          <w:sz w:val="24"/>
          <w:szCs w:val="24"/>
          <w:color w:val="auto"/>
        </w:rPr>
      </w:pPr>
    </w:p>
    <w:p>
      <w:pPr>
        <w:ind w:right="100"/>
        <w:spacing w:after="0" w:line="301"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15" w:lineRule="exact"/>
        <w:rPr>
          <w:sz w:val="24"/>
          <w:szCs w:val="24"/>
          <w:color w:val="auto"/>
        </w:rPr>
      </w:pPr>
    </w:p>
    <w:p>
      <w:pPr>
        <w:ind w:right="20"/>
        <w:spacing w:after="0" w:line="226"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(Check one):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22" w:lineRule="exact"/>
        <w:rPr>
          <w:sz w:val="24"/>
          <w:szCs w:val="24"/>
          <w:color w:val="auto"/>
        </w:rPr>
      </w:pPr>
    </w:p>
    <w:p>
      <w:pPr>
        <w:spacing w:after="0" w:line="196" w:lineRule="exact"/>
        <w:tabs>
          <w:tab w:leader="none" w:pos="7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130" w:lineRule="exact"/>
        <w:rPr>
          <w:sz w:val="24"/>
          <w:szCs w:val="24"/>
          <w:color w:val="auto"/>
        </w:rPr>
      </w:pPr>
    </w:p>
    <w:p>
      <w:pPr>
        <w:ind w:right="600"/>
        <w:spacing w:after="0" w:line="291" w:lineRule="auto"/>
        <w:rPr>
          <w:sz w:val="20"/>
          <w:szCs w:val="20"/>
          <w:color w:val="auto"/>
        </w:rPr>
      </w:pPr>
      <w:r>
        <w:rPr>
          <w:rFonts w:ascii="Arial" w:cs="Arial" w:eastAsia="Arial" w:hAnsi="Arial"/>
          <w:sz w:val="17"/>
          <w:szCs w:val="17"/>
          <w:color w:val="auto"/>
        </w:rPr>
        <w:t>The aggregate market value of the Registrant’s common shares held by non-affiliates of the Registrant, based upon the closing sales price of the Registrant’s common shares on June 30, 2005 was $3.1 billion.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Registrant’s common shares outstanding on March 27, 2006 was 53,012,350.</w:t>
      </w:r>
    </w:p>
    <w:p>
      <w:pPr>
        <w:sectPr>
          <w:pgSz w:w="11900" w:h="16838" w:orient="portrait"/>
          <w:cols w:equalWidth="0" w:num="1">
            <w:col w:w="11420"/>
          </w:cols>
          <w:pgMar w:left="240" w:top="21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 ANNUAL REPORT ON FORM 10-K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2005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83"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Portions of the Registrant’s Proxy Statement to be filed with the Securities and Exchange Commission for Registrants 2006 annual meeting of shareholders to be held in May 2006 will be incorporated by reference into Part III hereof.</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20" w:type="dxa"/>
            <w:vAlign w:val="bottom"/>
            <w:gridSpan w:val="6"/>
          </w:tcPr>
          <w:p>
            <w:pPr>
              <w:ind w:left="280"/>
              <w:spacing w:after="0"/>
              <w:rPr>
                <w:sz w:val="20"/>
                <w:szCs w:val="20"/>
                <w:color w:val="auto"/>
              </w:rPr>
            </w:pPr>
            <w:r>
              <w:rPr>
                <w:rFonts w:ascii="Arial" w:cs="Arial" w:eastAsia="Arial" w:hAnsi="Arial"/>
                <w:sz w:val="17"/>
                <w:szCs w:val="17"/>
                <w:b w:val="1"/>
                <w:bCs w:val="1"/>
                <w:color w:val="auto"/>
              </w:rPr>
              <w:t>TABLE OF CONTENTS</w:t>
            </w:r>
          </w:p>
        </w:tc>
        <w:tc>
          <w:tcPr>
            <w:tcW w:w="1500" w:type="dxa"/>
            <w:vAlign w:val="bottom"/>
          </w:tcPr>
          <w:p>
            <w:pPr>
              <w:spacing w:after="0"/>
              <w:rPr>
                <w:sz w:val="19"/>
                <w:szCs w:val="19"/>
                <w:color w:val="auto"/>
              </w:rPr>
            </w:pPr>
          </w:p>
        </w:tc>
      </w:tr>
      <w:tr>
        <w:trPr>
          <w:trHeight w:val="374"/>
        </w:trPr>
        <w:tc>
          <w:tcPr>
            <w:tcW w:w="1140" w:type="dxa"/>
            <w:vAlign w:val="bottom"/>
            <w:gridSpan w:val="5"/>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520" w:type="dxa"/>
            <w:vAlign w:val="bottom"/>
            <w:tcBorders>
              <w:top w:val="single" w:sz="8" w:color="0000EE"/>
            </w:tcBorders>
          </w:tcPr>
          <w:p>
            <w:pPr>
              <w:spacing w:after="0" w:line="193" w:lineRule="exact"/>
              <w:rPr>
                <w:sz w:val="20"/>
                <w:szCs w:val="20"/>
                <w:color w:val="auto"/>
              </w:rPr>
            </w:pPr>
            <w:r>
              <w:rPr>
                <w:rFonts w:ascii="Arial" w:cs="Arial" w:eastAsia="Arial" w:hAnsi="Arial"/>
                <w:sz w:val="17"/>
                <w:szCs w:val="17"/>
                <w:color w:val="auto"/>
                <w:w w:val="96"/>
              </w:rPr>
              <w:t>Item 1.</w:t>
            </w:r>
          </w:p>
        </w:tc>
        <w:tc>
          <w:tcPr>
            <w:tcW w:w="620" w:type="dxa"/>
            <w:vAlign w:val="bottom"/>
            <w:gridSpan w:val="4"/>
          </w:tcPr>
          <w:p>
            <w:pPr>
              <w:spacing w:after="0"/>
              <w:rPr>
                <w:sz w:val="16"/>
                <w:szCs w:val="16"/>
                <w:color w:val="auto"/>
              </w:rPr>
            </w:pPr>
          </w:p>
        </w:tc>
        <w:tc>
          <w:tcPr>
            <w:tcW w:w="620" w:type="dxa"/>
            <w:vAlign w:val="bottom"/>
            <w:tcBorders>
              <w:bottom w:val="single" w:sz="8" w:color="0000EE"/>
            </w:tcBorders>
          </w:tcPr>
          <w:p>
            <w:pPr>
              <w:spacing w:after="0" w:line="193" w:lineRule="exact"/>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8160" w:type="dxa"/>
            <w:vAlign w:val="bottom"/>
            <w:gridSpan w:val="20"/>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3</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1A.</w:t>
            </w:r>
          </w:p>
        </w:tc>
        <w:tc>
          <w:tcPr>
            <w:tcW w:w="8780" w:type="dxa"/>
            <w:vAlign w:val="bottom"/>
            <w:gridSpan w:val="21"/>
          </w:tcPr>
          <w:p>
            <w:pPr>
              <w:spacing w:after="0" w:line="193" w:lineRule="exact"/>
              <w:rPr>
                <w:rFonts w:ascii="Arial" w:cs="Arial" w:eastAsia="Arial" w:hAnsi="Arial"/>
                <w:sz w:val="17"/>
                <w:szCs w:val="17"/>
                <w:color w:val="0000EE"/>
              </w:rPr>
            </w:pPr>
            <w:hyperlink w:anchor="page7">
              <w:r>
                <w:rPr>
                  <w:rFonts w:ascii="Arial" w:cs="Arial" w:eastAsia="Arial" w:hAnsi="Arial"/>
                  <w:sz w:val="17"/>
                  <w:szCs w:val="17"/>
                  <w:color w:val="0000EE"/>
                </w:rPr>
                <w:t>Risk Factors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7</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1B.</w:t>
            </w:r>
          </w:p>
        </w:tc>
        <w:tc>
          <w:tcPr>
            <w:tcW w:w="8780" w:type="dxa"/>
            <w:vAlign w:val="bottom"/>
            <w:gridSpan w:val="21"/>
          </w:tcPr>
          <w:p>
            <w:pPr>
              <w:spacing w:after="0" w:line="193" w:lineRule="exact"/>
              <w:rPr>
                <w:rFonts w:ascii="Arial" w:cs="Arial" w:eastAsia="Arial" w:hAnsi="Arial"/>
                <w:sz w:val="17"/>
                <w:szCs w:val="17"/>
                <w:color w:val="0000EE"/>
              </w:rPr>
            </w:pPr>
            <w:hyperlink w:anchor="page18">
              <w:r>
                <w:rPr>
                  <w:rFonts w:ascii="Arial" w:cs="Arial" w:eastAsia="Arial" w:hAnsi="Arial"/>
                  <w:sz w:val="17"/>
                  <w:szCs w:val="17"/>
                  <w:color w:val="0000EE"/>
                </w:rPr>
                <w:t>Unresolved Staff Comments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18</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2"/>
          </w:tcPr>
          <w:p>
            <w:pPr>
              <w:spacing w:after="0" w:line="193" w:lineRule="exact"/>
              <w:rPr>
                <w:rFonts w:ascii="Arial" w:cs="Arial" w:eastAsia="Arial" w:hAnsi="Arial"/>
                <w:sz w:val="17"/>
                <w:szCs w:val="17"/>
                <w:color w:val="0000EE"/>
                <w:w w:val="87"/>
              </w:rPr>
            </w:pPr>
            <w:hyperlink w:anchor="page18">
              <w:r>
                <w:rPr>
                  <w:rFonts w:ascii="Arial" w:cs="Arial" w:eastAsia="Arial" w:hAnsi="Arial"/>
                  <w:sz w:val="17"/>
                  <w:szCs w:val="17"/>
                  <w:color w:val="0000EE"/>
                  <w:w w:val="87"/>
                </w:rPr>
                <w:t>Properties</w:t>
              </w:r>
            </w:hyperlink>
          </w:p>
        </w:tc>
        <w:tc>
          <w:tcPr>
            <w:tcW w:w="1260" w:type="dxa"/>
            <w:vAlign w:val="bottom"/>
            <w:tcBorders>
              <w:top w:val="single" w:sz="8" w:color="0000EE"/>
            </w:tcBorders>
            <w:gridSpan w:val="7"/>
          </w:tcPr>
          <w:p>
            <w:pPr>
              <w:spacing w:after="0"/>
              <w:rPr>
                <w:sz w:val="16"/>
                <w:szCs w:val="16"/>
                <w:color w:val="auto"/>
              </w:rPr>
            </w:pPr>
          </w:p>
        </w:tc>
        <w:tc>
          <w:tcPr>
            <w:tcW w:w="6820" w:type="dxa"/>
            <w:vAlign w:val="bottom"/>
            <w:gridSpan w:val="12"/>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18</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EE"/>
            </w:tcBorders>
            <w:gridSpan w:val="5"/>
          </w:tcPr>
          <w:p>
            <w:pPr>
              <w:spacing w:after="0" w:line="193" w:lineRule="exact"/>
              <w:rPr>
                <w:rFonts w:ascii="Arial" w:cs="Arial" w:eastAsia="Arial" w:hAnsi="Arial"/>
                <w:sz w:val="17"/>
                <w:szCs w:val="17"/>
                <w:color w:val="0000EE"/>
                <w:w w:val="89"/>
              </w:rPr>
            </w:pPr>
            <w:hyperlink w:anchor="page26">
              <w:r>
                <w:rPr>
                  <w:rFonts w:ascii="Arial" w:cs="Arial" w:eastAsia="Arial" w:hAnsi="Arial"/>
                  <w:sz w:val="17"/>
                  <w:szCs w:val="17"/>
                  <w:color w:val="0000EE"/>
                  <w:w w:val="89"/>
                </w:rPr>
                <w:t>Legal Proceedings</w:t>
              </w:r>
            </w:hyperlink>
          </w:p>
        </w:tc>
        <w:tc>
          <w:tcPr>
            <w:tcW w:w="7500" w:type="dxa"/>
            <w:vAlign w:val="bottom"/>
            <w:gridSpan w:val="16"/>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26</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4.</w:t>
            </w:r>
          </w:p>
        </w:tc>
        <w:tc>
          <w:tcPr>
            <w:tcW w:w="8780" w:type="dxa"/>
            <w:vAlign w:val="bottom"/>
            <w:gridSpan w:val="21"/>
          </w:tcPr>
          <w:p>
            <w:pPr>
              <w:spacing w:after="0" w:line="193" w:lineRule="exact"/>
              <w:rPr>
                <w:rFonts w:ascii="Arial" w:cs="Arial" w:eastAsia="Arial" w:hAnsi="Arial"/>
                <w:sz w:val="17"/>
                <w:szCs w:val="17"/>
                <w:color w:val="0000EE"/>
              </w:rPr>
            </w:pPr>
            <w:hyperlink w:anchor="page26">
              <w:r>
                <w:rPr>
                  <w:rFonts w:ascii="Arial" w:cs="Arial" w:eastAsia="Arial" w:hAnsi="Arial"/>
                  <w:sz w:val="17"/>
                  <w:szCs w:val="17"/>
                  <w:color w:val="0000EE"/>
                </w:rPr>
                <w:t>Submission of Matters to a Vote of Shareholders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26</w:t>
            </w:r>
          </w:p>
        </w:tc>
      </w:tr>
      <w:tr>
        <w:trPr>
          <w:trHeight w:val="299"/>
        </w:trPr>
        <w:tc>
          <w:tcPr>
            <w:tcW w:w="1140" w:type="dxa"/>
            <w:vAlign w:val="bottom"/>
            <w:gridSpan w:val="5"/>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580" w:type="dxa"/>
            <w:vAlign w:val="bottom"/>
            <w:tcBorders>
              <w:top w:val="single" w:sz="8" w:color="0000EE"/>
            </w:tcBorders>
            <w:gridSpan w:val="2"/>
          </w:tcPr>
          <w:p>
            <w:pPr>
              <w:spacing w:after="0" w:line="193" w:lineRule="exact"/>
              <w:rPr>
                <w:sz w:val="20"/>
                <w:szCs w:val="20"/>
                <w:color w:val="auto"/>
              </w:rPr>
            </w:pPr>
            <w:r>
              <w:rPr>
                <w:rFonts w:ascii="Arial" w:cs="Arial" w:eastAsia="Arial" w:hAnsi="Arial"/>
                <w:sz w:val="17"/>
                <w:szCs w:val="17"/>
                <w:color w:val="auto"/>
              </w:rPr>
              <w:t>Item 5.</w:t>
            </w:r>
          </w:p>
        </w:tc>
        <w:tc>
          <w:tcPr>
            <w:tcW w:w="560" w:type="dxa"/>
            <w:vAlign w:val="bottom"/>
            <w:gridSpan w:val="3"/>
          </w:tcPr>
          <w:p>
            <w:pPr>
              <w:spacing w:after="0"/>
              <w:rPr>
                <w:sz w:val="16"/>
                <w:szCs w:val="16"/>
                <w:color w:val="auto"/>
              </w:rPr>
            </w:pPr>
          </w:p>
        </w:tc>
        <w:tc>
          <w:tcPr>
            <w:tcW w:w="8780" w:type="dxa"/>
            <w:vAlign w:val="bottom"/>
            <w:gridSpan w:val="21"/>
          </w:tcPr>
          <w:p>
            <w:pPr>
              <w:spacing w:after="0" w:line="193" w:lineRule="exact"/>
              <w:rPr>
                <w:rFonts w:ascii="Arial" w:cs="Arial" w:eastAsia="Arial" w:hAnsi="Arial"/>
                <w:sz w:val="17"/>
                <w:szCs w:val="17"/>
                <w:color w:val="0000EE"/>
              </w:rPr>
            </w:pPr>
            <w:hyperlink w:anchor="page27">
              <w:r>
                <w:rPr>
                  <w:rFonts w:ascii="Arial" w:cs="Arial" w:eastAsia="Arial" w:hAnsi="Arial"/>
                  <w:sz w:val="17"/>
                  <w:szCs w:val="17"/>
                  <w:color w:val="0000EE"/>
                </w:rPr>
                <w:t>Market for Our Common Equity and Related Shareholder Matters and Issuer Purchases of Equity Securities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27</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6.</w:t>
            </w:r>
          </w:p>
        </w:tc>
        <w:tc>
          <w:tcPr>
            <w:tcW w:w="1640" w:type="dxa"/>
            <w:vAlign w:val="bottom"/>
            <w:tcBorders>
              <w:top w:val="single" w:sz="8" w:color="0000EE"/>
              <w:bottom w:val="single" w:sz="8" w:color="0000EE"/>
            </w:tcBorders>
            <w:gridSpan w:val="6"/>
          </w:tcPr>
          <w:p>
            <w:pPr>
              <w:spacing w:after="0" w:line="193" w:lineRule="exact"/>
              <w:rPr>
                <w:rFonts w:ascii="Arial" w:cs="Arial" w:eastAsia="Arial" w:hAnsi="Arial"/>
                <w:sz w:val="17"/>
                <w:szCs w:val="17"/>
                <w:color w:val="0000EE"/>
                <w:w w:val="90"/>
              </w:rPr>
            </w:pPr>
            <w:hyperlink w:anchor="page29">
              <w:r>
                <w:rPr>
                  <w:rFonts w:ascii="Arial" w:cs="Arial" w:eastAsia="Arial" w:hAnsi="Arial"/>
                  <w:sz w:val="17"/>
                  <w:szCs w:val="17"/>
                  <w:color w:val="0000EE"/>
                  <w:w w:val="90"/>
                </w:rPr>
                <w:t>Selected Financial Data</w:t>
              </w:r>
            </w:hyperlink>
          </w:p>
        </w:tc>
        <w:tc>
          <w:tcPr>
            <w:tcW w:w="5820" w:type="dxa"/>
            <w:vAlign w:val="bottom"/>
            <w:tcBorders>
              <w:top w:val="single" w:sz="8" w:color="0000EE"/>
            </w:tcBorders>
            <w:gridSpan w:val="14"/>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29</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7.</w:t>
            </w:r>
          </w:p>
        </w:tc>
        <w:tc>
          <w:tcPr>
            <w:tcW w:w="8780" w:type="dxa"/>
            <w:vAlign w:val="bottom"/>
            <w:gridSpan w:val="21"/>
          </w:tcPr>
          <w:p>
            <w:pPr>
              <w:spacing w:after="0" w:line="193" w:lineRule="exact"/>
              <w:rPr>
                <w:rFonts w:ascii="Arial" w:cs="Arial" w:eastAsia="Arial" w:hAnsi="Arial"/>
                <w:sz w:val="17"/>
                <w:szCs w:val="17"/>
                <w:color w:val="0000EE"/>
              </w:rPr>
            </w:pPr>
            <w:hyperlink w:anchor="page31">
              <w:r>
                <w:rPr>
                  <w:rFonts w:ascii="Arial" w:cs="Arial" w:eastAsia="Arial" w:hAnsi="Arial"/>
                  <w:sz w:val="17"/>
                  <w:szCs w:val="17"/>
                  <w:color w:val="0000EE"/>
                </w:rPr>
                <w:t>Management’s Discussion and Analysis of Financial Condition and Results of Operations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31</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7A.</w:t>
            </w:r>
          </w:p>
        </w:tc>
        <w:tc>
          <w:tcPr>
            <w:tcW w:w="4140" w:type="dxa"/>
            <w:vAlign w:val="bottom"/>
            <w:tcBorders>
              <w:top w:val="single" w:sz="8" w:color="0000EE"/>
              <w:bottom w:val="single" w:sz="8" w:color="0000EE"/>
            </w:tcBorders>
            <w:gridSpan w:val="16"/>
          </w:tcPr>
          <w:p>
            <w:pPr>
              <w:spacing w:after="0" w:line="193" w:lineRule="exact"/>
              <w:rPr>
                <w:rFonts w:ascii="Arial" w:cs="Arial" w:eastAsia="Arial" w:hAnsi="Arial"/>
                <w:sz w:val="17"/>
                <w:szCs w:val="17"/>
                <w:color w:val="0000EE"/>
                <w:w w:val="92"/>
              </w:rPr>
            </w:pPr>
            <w:hyperlink w:anchor="page53">
              <w:r>
                <w:rPr>
                  <w:rFonts w:ascii="Arial" w:cs="Arial" w:eastAsia="Arial" w:hAnsi="Arial"/>
                  <w:sz w:val="17"/>
                  <w:szCs w:val="17"/>
                  <w:color w:val="0000EE"/>
                  <w:w w:val="92"/>
                </w:rPr>
                <w:t>Quantitative and Qualitative Disclosures about Market Risk</w:t>
              </w:r>
            </w:hyperlink>
          </w:p>
        </w:tc>
        <w:tc>
          <w:tcPr>
            <w:tcW w:w="2060" w:type="dxa"/>
            <w:vAlign w:val="bottom"/>
            <w:tcBorders>
              <w:top w:val="single" w:sz="8" w:color="0000EE"/>
            </w:tcBorders>
          </w:tcPr>
          <w:p>
            <w:pPr>
              <w:spacing w:after="0"/>
              <w:rPr>
                <w:sz w:val="16"/>
                <w:szCs w:val="16"/>
                <w:color w:val="auto"/>
              </w:rPr>
            </w:pPr>
          </w:p>
        </w:tc>
        <w:tc>
          <w:tcPr>
            <w:tcW w:w="2580" w:type="dxa"/>
            <w:vAlign w:val="bottom"/>
            <w:gridSpan w:val="4"/>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53</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8.</w:t>
            </w:r>
          </w:p>
        </w:tc>
        <w:tc>
          <w:tcPr>
            <w:tcW w:w="3200" w:type="dxa"/>
            <w:vAlign w:val="bottom"/>
            <w:tcBorders>
              <w:bottom w:val="single" w:sz="8" w:color="0000EE"/>
            </w:tcBorders>
            <w:gridSpan w:val="13"/>
          </w:tcPr>
          <w:p>
            <w:pPr>
              <w:spacing w:after="0" w:line="193" w:lineRule="exact"/>
              <w:rPr>
                <w:rFonts w:ascii="Arial" w:cs="Arial" w:eastAsia="Arial" w:hAnsi="Arial"/>
                <w:sz w:val="17"/>
                <w:szCs w:val="17"/>
                <w:color w:val="0000EE"/>
                <w:w w:val="90"/>
              </w:rPr>
            </w:pPr>
            <w:hyperlink w:anchor="page54">
              <w:r>
                <w:rPr>
                  <w:rFonts w:ascii="Arial" w:cs="Arial" w:eastAsia="Arial" w:hAnsi="Arial"/>
                  <w:sz w:val="17"/>
                  <w:szCs w:val="17"/>
                  <w:color w:val="0000EE"/>
                  <w:w w:val="90"/>
                </w:rPr>
                <w:t>Financial Statements and Supplementary Data</w:t>
              </w:r>
            </w:hyperlink>
          </w:p>
        </w:tc>
        <w:tc>
          <w:tcPr>
            <w:tcW w:w="5580" w:type="dxa"/>
            <w:vAlign w:val="bottom"/>
            <w:gridSpan w:val="8"/>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54</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9.</w:t>
            </w:r>
          </w:p>
        </w:tc>
        <w:tc>
          <w:tcPr>
            <w:tcW w:w="6240" w:type="dxa"/>
            <w:vAlign w:val="bottom"/>
            <w:tcBorders>
              <w:bottom w:val="single" w:sz="8" w:color="0000EE"/>
            </w:tcBorders>
            <w:gridSpan w:val="18"/>
          </w:tcPr>
          <w:p>
            <w:pPr>
              <w:spacing w:after="0" w:line="193" w:lineRule="exact"/>
              <w:rPr>
                <w:rFonts w:ascii="Arial" w:cs="Arial" w:eastAsia="Arial" w:hAnsi="Arial"/>
                <w:sz w:val="17"/>
                <w:szCs w:val="17"/>
                <w:color w:val="0000EE"/>
                <w:w w:val="92"/>
              </w:rPr>
            </w:pPr>
            <w:hyperlink w:anchor="page54">
              <w:r>
                <w:rPr>
                  <w:rFonts w:ascii="Arial" w:cs="Arial" w:eastAsia="Arial" w:hAnsi="Arial"/>
                  <w:sz w:val="17"/>
                  <w:szCs w:val="17"/>
                  <w:color w:val="0000EE"/>
                  <w:w w:val="92"/>
                </w:rPr>
                <w:t>Changes In and Disagreements with Accountants on Accounting and Financial Disclosure</w:t>
              </w:r>
            </w:hyperlink>
          </w:p>
        </w:tc>
        <w:tc>
          <w:tcPr>
            <w:tcW w:w="2540" w:type="dxa"/>
            <w:vAlign w:val="bottom"/>
            <w:gridSpan w:val="3"/>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54</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9A.</w:t>
            </w:r>
          </w:p>
        </w:tc>
        <w:tc>
          <w:tcPr>
            <w:tcW w:w="1700" w:type="dxa"/>
            <w:vAlign w:val="bottom"/>
            <w:tcBorders>
              <w:bottom w:val="single" w:sz="8" w:color="0000EE"/>
            </w:tcBorders>
            <w:gridSpan w:val="7"/>
          </w:tcPr>
          <w:p>
            <w:pPr>
              <w:spacing w:after="0" w:line="193" w:lineRule="exact"/>
              <w:rPr>
                <w:rFonts w:ascii="Arial" w:cs="Arial" w:eastAsia="Arial" w:hAnsi="Arial"/>
                <w:sz w:val="17"/>
                <w:szCs w:val="17"/>
                <w:color w:val="0000EE"/>
                <w:w w:val="89"/>
              </w:rPr>
            </w:pPr>
            <w:hyperlink w:anchor="page54">
              <w:r>
                <w:rPr>
                  <w:rFonts w:ascii="Arial" w:cs="Arial" w:eastAsia="Arial" w:hAnsi="Arial"/>
                  <w:sz w:val="17"/>
                  <w:szCs w:val="17"/>
                  <w:color w:val="0000EE"/>
                  <w:w w:val="89"/>
                </w:rPr>
                <w:t>Controls and Procedures</w:t>
              </w:r>
            </w:hyperlink>
          </w:p>
        </w:tc>
        <w:tc>
          <w:tcPr>
            <w:tcW w:w="7080" w:type="dxa"/>
            <w:vAlign w:val="bottom"/>
            <w:gridSpan w:val="14"/>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54</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9B.</w:t>
            </w:r>
          </w:p>
        </w:tc>
        <w:tc>
          <w:tcPr>
            <w:tcW w:w="8780" w:type="dxa"/>
            <w:vAlign w:val="bottom"/>
            <w:gridSpan w:val="21"/>
          </w:tcPr>
          <w:p>
            <w:pPr>
              <w:spacing w:after="0" w:line="193" w:lineRule="exact"/>
              <w:rPr>
                <w:rFonts w:ascii="Arial" w:cs="Arial" w:eastAsia="Arial" w:hAnsi="Arial"/>
                <w:sz w:val="17"/>
                <w:szCs w:val="17"/>
                <w:color w:val="0000EE"/>
              </w:rPr>
            </w:pPr>
            <w:hyperlink w:anchor="page56">
              <w:r>
                <w:rPr>
                  <w:rFonts w:ascii="Arial" w:cs="Arial" w:eastAsia="Arial" w:hAnsi="Arial"/>
                  <w:sz w:val="17"/>
                  <w:szCs w:val="17"/>
                  <w:color w:val="0000EE"/>
                </w:rPr>
                <w:t>Other Information</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56</w:t>
            </w:r>
          </w:p>
        </w:tc>
      </w:tr>
      <w:tr>
        <w:trPr>
          <w:trHeight w:val="299"/>
        </w:trPr>
        <w:tc>
          <w:tcPr>
            <w:tcW w:w="640" w:type="dxa"/>
            <w:vAlign w:val="bottom"/>
            <w:tcBorders>
              <w:bottom w:val="single" w:sz="8" w:color="0000EE"/>
            </w:tcBorders>
            <w:gridSpan w:val="3"/>
          </w:tcPr>
          <w:p>
            <w:pPr>
              <w:spacing w:after="0"/>
              <w:rPr>
                <w:rFonts w:ascii="Arial" w:cs="Arial" w:eastAsia="Arial" w:hAnsi="Arial"/>
                <w:sz w:val="17"/>
                <w:szCs w:val="17"/>
                <w:color w:val="0000EE"/>
                <w:w w:val="96"/>
              </w:rPr>
            </w:pPr>
            <w:hyperlink w:anchor="page57">
              <w:r>
                <w:rPr>
                  <w:rFonts w:ascii="Arial" w:cs="Arial" w:eastAsia="Arial" w:hAnsi="Arial"/>
                  <w:sz w:val="17"/>
                  <w:szCs w:val="17"/>
                  <w:color w:val="0000EE"/>
                  <w:w w:val="96"/>
                </w:rPr>
                <w:t>PART III</w:t>
              </w:r>
            </w:hyperlink>
          </w:p>
        </w:tc>
        <w:tc>
          <w:tcPr>
            <w:tcW w:w="50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10.</w:t>
            </w:r>
          </w:p>
        </w:tc>
        <w:tc>
          <w:tcPr>
            <w:tcW w:w="2220" w:type="dxa"/>
            <w:vAlign w:val="bottom"/>
            <w:tcBorders>
              <w:bottom w:val="single" w:sz="8" w:color="0000EE"/>
            </w:tcBorders>
            <w:gridSpan w:val="10"/>
          </w:tcPr>
          <w:p>
            <w:pPr>
              <w:spacing w:after="0" w:line="193" w:lineRule="exact"/>
              <w:rPr>
                <w:rFonts w:ascii="Arial" w:cs="Arial" w:eastAsia="Arial" w:hAnsi="Arial"/>
                <w:sz w:val="17"/>
                <w:szCs w:val="17"/>
                <w:color w:val="0000EE"/>
                <w:w w:val="91"/>
              </w:rPr>
            </w:pPr>
            <w:hyperlink w:anchor="page57">
              <w:r>
                <w:rPr>
                  <w:rFonts w:ascii="Arial" w:cs="Arial" w:eastAsia="Arial" w:hAnsi="Arial"/>
                  <w:sz w:val="17"/>
                  <w:szCs w:val="17"/>
                  <w:color w:val="0000EE"/>
                  <w:w w:val="91"/>
                </w:rPr>
                <w:t>Trustees and Executive Officers</w:t>
              </w:r>
            </w:hyperlink>
          </w:p>
        </w:tc>
        <w:tc>
          <w:tcPr>
            <w:tcW w:w="6560" w:type="dxa"/>
            <w:vAlign w:val="bottom"/>
            <w:gridSpan w:val="11"/>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57</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11.</w:t>
            </w:r>
          </w:p>
        </w:tc>
        <w:tc>
          <w:tcPr>
            <w:tcW w:w="1740" w:type="dxa"/>
            <w:vAlign w:val="bottom"/>
            <w:tcBorders>
              <w:bottom w:val="single" w:sz="8" w:color="0000EE"/>
            </w:tcBorders>
            <w:gridSpan w:val="8"/>
          </w:tcPr>
          <w:p>
            <w:pPr>
              <w:spacing w:after="0" w:line="193" w:lineRule="exact"/>
              <w:rPr>
                <w:rFonts w:ascii="Arial" w:cs="Arial" w:eastAsia="Arial" w:hAnsi="Arial"/>
                <w:sz w:val="17"/>
                <w:szCs w:val="17"/>
                <w:color w:val="0000EE"/>
                <w:w w:val="91"/>
              </w:rPr>
            </w:pPr>
            <w:hyperlink w:anchor="page57">
              <w:r>
                <w:rPr>
                  <w:rFonts w:ascii="Arial" w:cs="Arial" w:eastAsia="Arial" w:hAnsi="Arial"/>
                  <w:sz w:val="17"/>
                  <w:szCs w:val="17"/>
                  <w:color w:val="0000EE"/>
                  <w:w w:val="91"/>
                </w:rPr>
                <w:t>Executive Compensation</w:t>
              </w:r>
            </w:hyperlink>
          </w:p>
        </w:tc>
        <w:tc>
          <w:tcPr>
            <w:tcW w:w="7040" w:type="dxa"/>
            <w:vAlign w:val="bottom"/>
            <w:gridSpan w:val="13"/>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57</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12.</w:t>
            </w:r>
          </w:p>
        </w:tc>
        <w:tc>
          <w:tcPr>
            <w:tcW w:w="8780" w:type="dxa"/>
            <w:vAlign w:val="bottom"/>
            <w:gridSpan w:val="21"/>
          </w:tcPr>
          <w:p>
            <w:pPr>
              <w:spacing w:after="0" w:line="193" w:lineRule="exact"/>
              <w:rPr>
                <w:rFonts w:ascii="Arial" w:cs="Arial" w:eastAsia="Arial" w:hAnsi="Arial"/>
                <w:sz w:val="17"/>
                <w:szCs w:val="17"/>
                <w:color w:val="0000EE"/>
              </w:rPr>
            </w:pPr>
            <w:hyperlink w:anchor="page57">
              <w:r>
                <w:rPr>
                  <w:rFonts w:ascii="Arial" w:cs="Arial" w:eastAsia="Arial" w:hAnsi="Arial"/>
                  <w:sz w:val="17"/>
                  <w:szCs w:val="17"/>
                  <w:color w:val="0000EE"/>
                </w:rPr>
                <w:t>Security Ownership of Certain Beneficial Owners and Management and Related Shareholder Matters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57</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13.</w:t>
            </w:r>
          </w:p>
        </w:tc>
        <w:tc>
          <w:tcPr>
            <w:tcW w:w="3280" w:type="dxa"/>
            <w:vAlign w:val="bottom"/>
            <w:tcBorders>
              <w:top w:val="single" w:sz="8" w:color="0000EE"/>
              <w:bottom w:val="single" w:sz="8" w:color="0000EE"/>
            </w:tcBorders>
            <w:gridSpan w:val="14"/>
          </w:tcPr>
          <w:p>
            <w:pPr>
              <w:spacing w:after="0" w:line="193" w:lineRule="exact"/>
              <w:rPr>
                <w:rFonts w:ascii="Arial" w:cs="Arial" w:eastAsia="Arial" w:hAnsi="Arial"/>
                <w:sz w:val="17"/>
                <w:szCs w:val="17"/>
                <w:color w:val="0000EE"/>
                <w:w w:val="90"/>
              </w:rPr>
            </w:pPr>
            <w:hyperlink w:anchor="page57">
              <w:r>
                <w:rPr>
                  <w:rFonts w:ascii="Arial" w:cs="Arial" w:eastAsia="Arial" w:hAnsi="Arial"/>
                  <w:sz w:val="17"/>
                  <w:szCs w:val="17"/>
                  <w:color w:val="0000EE"/>
                  <w:w w:val="90"/>
                </w:rPr>
                <w:t>Certain Relationships and Related Transactions</w:t>
              </w:r>
            </w:hyperlink>
          </w:p>
        </w:tc>
        <w:tc>
          <w:tcPr>
            <w:tcW w:w="3720" w:type="dxa"/>
            <w:vAlign w:val="bottom"/>
            <w:tcBorders>
              <w:top w:val="single" w:sz="8" w:color="0000EE"/>
            </w:tcBorders>
            <w:gridSpan w:val="5"/>
          </w:tcPr>
          <w:p>
            <w:pPr>
              <w:spacing w:after="0"/>
              <w:rPr>
                <w:sz w:val="16"/>
                <w:szCs w:val="16"/>
                <w:color w:val="auto"/>
              </w:rPr>
            </w:pPr>
          </w:p>
        </w:tc>
        <w:tc>
          <w:tcPr>
            <w:tcW w:w="1780" w:type="dxa"/>
            <w:vAlign w:val="bottom"/>
            <w:gridSpan w:val="2"/>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57</w:t>
            </w:r>
          </w:p>
        </w:tc>
      </w:tr>
      <w:tr>
        <w:trPr>
          <w:trHeight w:val="193"/>
        </w:trPr>
        <w:tc>
          <w:tcPr>
            <w:tcW w:w="1140" w:type="dxa"/>
            <w:vAlign w:val="bottom"/>
            <w:gridSpan w:val="5"/>
          </w:tcPr>
          <w:p>
            <w:pPr>
              <w:spacing w:after="0" w:line="193" w:lineRule="exact"/>
              <w:rPr>
                <w:sz w:val="20"/>
                <w:szCs w:val="20"/>
                <w:color w:val="auto"/>
              </w:rPr>
            </w:pPr>
            <w:r>
              <w:rPr>
                <w:rFonts w:ascii="Arial" w:cs="Arial" w:eastAsia="Arial" w:hAnsi="Arial"/>
                <w:sz w:val="17"/>
                <w:szCs w:val="17"/>
                <w:color w:val="auto"/>
              </w:rPr>
              <w:t>Item 14.</w:t>
            </w:r>
          </w:p>
        </w:tc>
        <w:tc>
          <w:tcPr>
            <w:tcW w:w="8780" w:type="dxa"/>
            <w:vAlign w:val="bottom"/>
            <w:gridSpan w:val="21"/>
          </w:tcPr>
          <w:p>
            <w:pPr>
              <w:spacing w:after="0" w:line="193" w:lineRule="exact"/>
              <w:rPr>
                <w:rFonts w:ascii="Arial" w:cs="Arial" w:eastAsia="Arial" w:hAnsi="Arial"/>
                <w:sz w:val="17"/>
                <w:szCs w:val="17"/>
                <w:color w:val="0000EE"/>
              </w:rPr>
            </w:pPr>
            <w:hyperlink w:anchor="page57">
              <w:r>
                <w:rPr>
                  <w:rFonts w:ascii="Arial" w:cs="Arial" w:eastAsia="Arial" w:hAnsi="Arial"/>
                  <w:sz w:val="17"/>
                  <w:szCs w:val="17"/>
                  <w:color w:val="0000EE"/>
                </w:rPr>
                <w:t>Principal Accountant Fees and Services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57</w:t>
            </w:r>
          </w:p>
        </w:tc>
      </w:tr>
      <w:tr>
        <w:trPr>
          <w:trHeight w:val="299"/>
        </w:trPr>
        <w:tc>
          <w:tcPr>
            <w:tcW w:w="1140" w:type="dxa"/>
            <w:vAlign w:val="bottom"/>
            <w:gridSpan w:val="5"/>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640" w:type="dxa"/>
            <w:vAlign w:val="bottom"/>
            <w:tcBorders>
              <w:top w:val="single" w:sz="8" w:color="0000EE"/>
            </w:tcBorders>
            <w:gridSpan w:val="3"/>
          </w:tcPr>
          <w:p>
            <w:pPr>
              <w:spacing w:after="0" w:line="193" w:lineRule="exact"/>
              <w:rPr>
                <w:sz w:val="20"/>
                <w:szCs w:val="20"/>
                <w:color w:val="auto"/>
              </w:rPr>
            </w:pPr>
            <w:r>
              <w:rPr>
                <w:rFonts w:ascii="Arial" w:cs="Arial" w:eastAsia="Arial" w:hAnsi="Arial"/>
                <w:sz w:val="17"/>
                <w:szCs w:val="17"/>
                <w:color w:val="auto"/>
              </w:rPr>
              <w:t>Item 15.</w:t>
            </w:r>
          </w:p>
        </w:tc>
        <w:tc>
          <w:tcPr>
            <w:tcW w:w="500" w:type="dxa"/>
            <w:vAlign w:val="bottom"/>
            <w:gridSpan w:val="2"/>
          </w:tcPr>
          <w:p>
            <w:pPr>
              <w:spacing w:after="0"/>
              <w:rPr>
                <w:sz w:val="16"/>
                <w:szCs w:val="16"/>
                <w:color w:val="auto"/>
              </w:rPr>
            </w:pPr>
          </w:p>
        </w:tc>
        <w:tc>
          <w:tcPr>
            <w:tcW w:w="8780" w:type="dxa"/>
            <w:vAlign w:val="bottom"/>
            <w:gridSpan w:val="21"/>
          </w:tcPr>
          <w:p>
            <w:pPr>
              <w:spacing w:after="0" w:line="193" w:lineRule="exact"/>
              <w:rPr>
                <w:rFonts w:ascii="Arial" w:cs="Arial" w:eastAsia="Arial" w:hAnsi="Arial"/>
                <w:sz w:val="17"/>
                <w:szCs w:val="17"/>
                <w:color w:val="0000EE"/>
              </w:rPr>
            </w:pPr>
            <w:hyperlink w:anchor="page58">
              <w:r>
                <w:rPr>
                  <w:rFonts w:ascii="Arial" w:cs="Arial" w:eastAsia="Arial" w:hAnsi="Arial"/>
                  <w:sz w:val="17"/>
                  <w:szCs w:val="17"/>
                  <w:color w:val="0000EE"/>
                </w:rPr>
                <w:t>Exhibits and Financial Statement Schedules</w:t>
              </w:r>
            </w:hyperlink>
          </w:p>
        </w:tc>
        <w:tc>
          <w:tcPr>
            <w:tcW w:w="1500" w:type="dxa"/>
            <w:vAlign w:val="bottom"/>
          </w:tcPr>
          <w:p>
            <w:pPr>
              <w:jc w:val="right"/>
              <w:spacing w:after="0" w:line="193" w:lineRule="exact"/>
              <w:rPr>
                <w:sz w:val="20"/>
                <w:szCs w:val="20"/>
                <w:color w:val="auto"/>
              </w:rPr>
            </w:pPr>
            <w:r>
              <w:rPr>
                <w:rFonts w:ascii="Arial" w:cs="Arial" w:eastAsia="Arial" w:hAnsi="Arial"/>
                <w:sz w:val="17"/>
                <w:szCs w:val="17"/>
                <w:color w:val="auto"/>
              </w:rPr>
              <w:t>58</w:t>
            </w:r>
          </w:p>
        </w:tc>
      </w:tr>
      <w:tr>
        <w:trPr>
          <w:trHeight w:val="299"/>
        </w:trPr>
        <w:tc>
          <w:tcPr>
            <w:tcW w:w="1140" w:type="dxa"/>
            <w:vAlign w:val="bottom"/>
            <w:gridSpan w:val="5"/>
          </w:tcPr>
          <w:p>
            <w:pPr>
              <w:spacing w:after="0"/>
              <w:rPr>
                <w:rFonts w:ascii="Arial" w:cs="Arial" w:eastAsia="Arial" w:hAnsi="Arial"/>
                <w:sz w:val="17"/>
                <w:szCs w:val="17"/>
                <w:color w:val="0000EE"/>
              </w:rPr>
            </w:pPr>
            <w:hyperlink w:anchor="page59">
              <w:r>
                <w:rPr>
                  <w:rFonts w:ascii="Arial" w:cs="Arial" w:eastAsia="Arial" w:hAnsi="Arial"/>
                  <w:sz w:val="17"/>
                  <w:szCs w:val="17"/>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378"/>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0" w:type="dxa"/>
            <w:vAlign w:val="bottom"/>
            <w:gridSpan w:val="17"/>
          </w:tcPr>
          <w:p>
            <w:pPr>
              <w:ind w:left="454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PART I</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03" w:lineRule="exact"/>
        <w:rPr>
          <w:sz w:val="20"/>
          <w:szCs w:val="20"/>
          <w:color w:val="auto"/>
        </w:rPr>
      </w:pPr>
    </w:p>
    <w:p>
      <w:pPr>
        <w:ind w:right="100" w:firstLine="457"/>
        <w:spacing w:after="0" w:line="291" w:lineRule="auto"/>
        <w:rPr>
          <w:sz w:val="20"/>
          <w:szCs w:val="20"/>
          <w:color w:val="auto"/>
        </w:rPr>
      </w:pPr>
      <w:r>
        <w:rPr>
          <w:rFonts w:ascii="Arial" w:cs="Arial" w:eastAsia="Arial" w:hAnsi="Arial"/>
          <w:sz w:val="17"/>
          <w:szCs w:val="17"/>
          <w:i w:val="1"/>
          <w:iCs w:val="1"/>
          <w:color w:val="auto"/>
        </w:rPr>
        <w:t>References to “we,” “us,” “our” or the “Trust” refer to Federal Realty Investment Trust and our business and operations conducted through our directly or indirectly owned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3"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retail and mixed-use properties. As of December 31, 2005, we owned or had a majority interest in 103 community and neighborhood shopping centers and mixed-use properties comprising approximately 17.6 million square feet, located primarily in densely populated and affluent communities throughout the Northeast and Mid-Atlantic United States, as well as in California, and one apartment complex in Maryland. In total, the 103 commercial properties were 96.3% leased at December 31, 2005. A joint venture in which we own a 30% interest owned four neighborhood shopping centers totaling approximately 0.5 million square feet as of December 31, 2005. In total, the joint venture properties in which we own an interest were 97.4% leased at December 31, 2005. We have paid quarterly dividends to our shareholders continuously since our founding in 1962 and have increased our dividends per common share for 38 consecutive years. Revenue, profit, total assets and other financial information of each reportable segment are described in “Item 7. Management’s Discussion and Analysis of Financial Condition and Results of Operations” and in the financial statements contained in “Item 8 Financial Statements and Supplementary Data” of this Form 10-K.</w:t>
      </w:r>
    </w:p>
    <w:p>
      <w:pPr>
        <w:spacing w:after="0" w:line="123" w:lineRule="exact"/>
        <w:rPr>
          <w:sz w:val="20"/>
          <w:szCs w:val="20"/>
          <w:color w:val="auto"/>
        </w:rPr>
      </w:pPr>
    </w:p>
    <w:p>
      <w:pPr>
        <w:ind w:right="40" w:firstLine="457"/>
        <w:spacing w:after="0" w:line="301" w:lineRule="auto"/>
        <w:rPr>
          <w:sz w:val="20"/>
          <w:szCs w:val="20"/>
          <w:color w:val="auto"/>
        </w:rPr>
      </w:pPr>
      <w:r>
        <w:rPr>
          <w:rFonts w:ascii="Arial" w:cs="Arial" w:eastAsia="Arial" w:hAnsi="Arial"/>
          <w:sz w:val="16"/>
          <w:szCs w:val="16"/>
          <w:color w:val="auto"/>
        </w:rPr>
        <w:t xml:space="preserve">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and our telephone number is (301) 998-8100. Our Web 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 site is not a part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Objectives and Strategies</w:t>
      </w:r>
    </w:p>
    <w:p>
      <w:pPr>
        <w:spacing w:after="0" w:line="103" w:lineRule="exact"/>
        <w:rPr>
          <w:sz w:val="20"/>
          <w:szCs w:val="20"/>
          <w:color w:val="auto"/>
        </w:rPr>
      </w:pPr>
    </w:p>
    <w:p>
      <w:pPr>
        <w:ind w:right="520" w:firstLine="457"/>
        <w:spacing w:after="0" w:line="291" w:lineRule="auto"/>
        <w:rPr>
          <w:sz w:val="20"/>
          <w:szCs w:val="20"/>
          <w:color w:val="auto"/>
        </w:rPr>
      </w:pPr>
      <w:r>
        <w:rPr>
          <w:rFonts w:ascii="Arial" w:cs="Arial" w:eastAsia="Arial" w:hAnsi="Arial"/>
          <w:sz w:val="17"/>
          <w:szCs w:val="17"/>
          <w:color w:val="auto"/>
        </w:rPr>
        <w:t>Our primary business objective is to own, manage, acquire and redevelop a portfolio of quality retail properties, with the dominant property type being grocery anchored community and neighborhood shopping centers, that will:</w:t>
      </w:r>
    </w:p>
    <w:p>
      <w:pPr>
        <w:spacing w:after="0" w:line="32" w:lineRule="exact"/>
        <w:rPr>
          <w:sz w:val="20"/>
          <w:szCs w:val="20"/>
          <w:color w:val="auto"/>
        </w:rPr>
      </w:pPr>
    </w:p>
    <w:p>
      <w:pPr>
        <w:ind w:left="800" w:hanging="341"/>
        <w:spacing w:after="0"/>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generate higher internal growth than our peers;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protect investor capital;</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increasing cash flow for distributions to shareholders;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potential for capital appreciation.</w:t>
      </w:r>
    </w:p>
    <w:p>
      <w:pPr>
        <w:spacing w:after="0" w:line="177" w:lineRule="exact"/>
        <w:rPr>
          <w:sz w:val="20"/>
          <w:szCs w:val="20"/>
          <w:color w:val="auto"/>
        </w:rPr>
      </w:pPr>
    </w:p>
    <w:p>
      <w:pPr>
        <w:ind w:right="60" w:firstLine="457"/>
        <w:spacing w:after="0" w:line="301" w:lineRule="auto"/>
        <w:rPr>
          <w:sz w:val="20"/>
          <w:szCs w:val="20"/>
          <w:color w:val="auto"/>
        </w:rPr>
      </w:pPr>
      <w:r>
        <w:rPr>
          <w:rFonts w:ascii="Arial" w:cs="Arial" w:eastAsia="Arial" w:hAnsi="Arial"/>
          <w:sz w:val="16"/>
          <w:szCs w:val="16"/>
          <w:color w:val="auto"/>
        </w:rPr>
        <w:t>Our traditional focus has been and remains on grocery anchored community and neighborhood shopping centers. Late in 1994, recognizing a trend of increased consumer acceptance of retailer expansion to main streets, we expanded our investment strategy to include “street retail” and “mixed-use” properties. The mixed-use properties are typically centered around a retail component but also include office, residential and/or hotel components.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Strategies</w:t>
      </w:r>
    </w:p>
    <w:p>
      <w:pPr>
        <w:spacing w:after="0" w:line="97" w:lineRule="exact"/>
        <w:rPr>
          <w:sz w:val="20"/>
          <w:szCs w:val="20"/>
          <w:color w:val="auto"/>
        </w:rPr>
      </w:pPr>
    </w:p>
    <w:p>
      <w:pPr>
        <w:ind w:right="280" w:firstLine="457"/>
        <w:spacing w:after="0" w:line="362" w:lineRule="auto"/>
        <w:rPr>
          <w:sz w:val="20"/>
          <w:szCs w:val="20"/>
          <w:color w:val="auto"/>
        </w:rPr>
      </w:pPr>
      <w:r>
        <w:rPr>
          <w:rFonts w:ascii="Arial" w:cs="Arial" w:eastAsia="Arial" w:hAnsi="Arial"/>
          <w:sz w:val="15"/>
          <w:szCs w:val="15"/>
          <w:color w:val="auto"/>
        </w:rPr>
        <w:t>Our core operating strategy is to actively manage our properties to maximize rents and maintain high occupancy levels by attracting and retaining a strong and diverse base of tenants and replacing weaker, underperforming tenants with stronger ones. Our properties are generally located in some of the most densely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3" w:name="page4"/>
    <w:bookmarkEnd w:id="3"/>
    <w:p>
      <w:pPr>
        <w:jc w:val="both"/>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populated and affluent areas of the country. In addition, because of the in-fill nature of our locations, our properties generally face less competition per capita than properties owned by our peers. These strong demographics help our tenants generate higher sales, which has enabled us to maintain high occupancy rates, charge higher rental rates, and maintain steady rent growth, all of which increase the value of our portfolio. Our operating strategies also include:</w:t>
      </w:r>
    </w:p>
    <w:p>
      <w:pPr>
        <w:spacing w:after="0" w:line="26" w:lineRule="exact"/>
        <w:rPr>
          <w:sz w:val="20"/>
          <w:szCs w:val="20"/>
          <w:color w:val="auto"/>
        </w:rPr>
      </w:pPr>
    </w:p>
    <w:p>
      <w:pPr>
        <w:ind w:left="800" w:hanging="34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maintaining a diversified tenant base, thereby limiting exposure to any one tenant’s financial difficulties;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108" w:lineRule="exact"/>
        <w:rPr>
          <w:rFonts w:ascii="Arial" w:cs="Arial" w:eastAsia="Arial" w:hAnsi="Arial"/>
          <w:sz w:val="16"/>
          <w:szCs w:val="16"/>
          <w:color w:val="auto"/>
        </w:rPr>
      </w:pPr>
    </w:p>
    <w:p>
      <w:pPr>
        <w:ind w:left="800" w:hanging="34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minimizing overhead and operating costs;</w:t>
      </w:r>
    </w:p>
    <w:p>
      <w:pPr>
        <w:spacing w:after="0" w:line="97" w:lineRule="exact"/>
        <w:rPr>
          <w:rFonts w:ascii="Arial" w:cs="Arial" w:eastAsia="Arial" w:hAnsi="Arial"/>
          <w:sz w:val="17"/>
          <w:szCs w:val="17"/>
          <w:color w:val="auto"/>
        </w:rPr>
      </w:pPr>
    </w:p>
    <w:p>
      <w:pPr>
        <w:ind w:left="800" w:hanging="341"/>
        <w:spacing w:after="0" w:line="291"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monitoring the physical appearance of our properties and the construction quality, condition and design of the buildings and other improvements located on our properties to maximize our ability to generate higher rents and occupancy rates;</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developing local and regional market expertise in order to capitalize on market and retailing trends;</w:t>
      </w:r>
    </w:p>
    <w:p>
      <w:pPr>
        <w:spacing w:after="0" w:line="97" w:lineRule="exact"/>
        <w:rPr>
          <w:rFonts w:ascii="Arial" w:cs="Arial" w:eastAsia="Arial" w:hAnsi="Arial"/>
          <w:sz w:val="17"/>
          <w:szCs w:val="17"/>
          <w:color w:val="auto"/>
        </w:rPr>
      </w:pPr>
    </w:p>
    <w:p>
      <w:pPr>
        <w:ind w:left="800" w:right="340" w:hanging="341"/>
        <w:spacing w:after="0" w:line="291"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leveraging the contacts and experience of our management team to build and maintain long-term relationships with tenants, investors and financing sources;</w:t>
      </w:r>
    </w:p>
    <w:p>
      <w:pPr>
        <w:spacing w:after="0" w:line="31" w:lineRule="exact"/>
        <w:rPr>
          <w:rFonts w:ascii="Arial" w:cs="Arial" w:eastAsia="Arial" w:hAnsi="Arial"/>
          <w:sz w:val="17"/>
          <w:szCs w:val="17"/>
          <w:color w:val="auto"/>
        </w:rPr>
      </w:pPr>
    </w:p>
    <w:p>
      <w:pPr>
        <w:ind w:left="800" w:right="320" w:hanging="341"/>
        <w:spacing w:after="0" w:line="291"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increasing rental rates through the renewal of expiring leases or the leasing of space to new tenants at higher rental rates while limiting vacancy and down-time; and</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providing exceptional customer service.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Strategies</w:t>
      </w:r>
    </w:p>
    <w:p>
      <w:pPr>
        <w:spacing w:after="0" w:line="97" w:lineRule="exact"/>
        <w:rPr>
          <w:sz w:val="20"/>
          <w:szCs w:val="20"/>
          <w:color w:val="auto"/>
        </w:rPr>
      </w:pPr>
    </w:p>
    <w:p>
      <w:pPr>
        <w:ind w:right="40" w:firstLine="457"/>
        <w:spacing w:after="0" w:line="291" w:lineRule="auto"/>
        <w:rPr>
          <w:sz w:val="20"/>
          <w:szCs w:val="20"/>
          <w:color w:val="auto"/>
        </w:rPr>
      </w:pPr>
      <w:r>
        <w:rPr>
          <w:rFonts w:ascii="Arial" w:cs="Arial" w:eastAsia="Arial" w:hAnsi="Arial"/>
          <w:sz w:val="17"/>
          <w:szCs w:val="17"/>
          <w:color w:val="auto"/>
        </w:rPr>
        <w:t>Our investment strategy is to deploy capital at risk-adjusted rates of return that exceed our weighted average cost of capital in projects that have potential for future income growth.</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investments primarily fall into one of the following four categories:</w:t>
      </w:r>
    </w:p>
    <w:p>
      <w:pPr>
        <w:spacing w:after="0" w:line="97" w:lineRule="exact"/>
        <w:rPr>
          <w:sz w:val="20"/>
          <w:szCs w:val="20"/>
          <w:color w:val="auto"/>
        </w:rPr>
      </w:pPr>
    </w:p>
    <w:p>
      <w:pPr>
        <w:ind w:left="800" w:right="260" w:hanging="341"/>
        <w:spacing w:after="0" w:line="291"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renovating, expanding, reconfiguring and/or retenanting our existing properties to take advantage of under-utilized land or existing square footage to increase our internal growth rate;</w:t>
      </w:r>
    </w:p>
    <w:p>
      <w:pPr>
        <w:spacing w:after="0" w:line="31" w:lineRule="exact"/>
        <w:rPr>
          <w:rFonts w:ascii="Arial" w:cs="Arial" w:eastAsia="Arial" w:hAnsi="Arial"/>
          <w:sz w:val="17"/>
          <w:szCs w:val="17"/>
          <w:color w:val="auto"/>
        </w:rPr>
      </w:pPr>
    </w:p>
    <w:p>
      <w:pPr>
        <w:ind w:left="800" w:right="340" w:hanging="341"/>
        <w:spacing w:after="0" w:line="276"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acquiring community and neighborhood shopping centers, located in densely populated or growing affluent areas where barriers to entry for further development are high, and that have possibilities for enhancing operating performance through renovation, expansion, reconfiguration and/or retenanting;</w:t>
      </w:r>
    </w:p>
    <w:p>
      <w:pPr>
        <w:spacing w:after="0" w:line="44" w:lineRule="exact"/>
        <w:rPr>
          <w:rFonts w:ascii="Arial" w:cs="Arial" w:eastAsia="Arial" w:hAnsi="Arial"/>
          <w:sz w:val="17"/>
          <w:szCs w:val="17"/>
          <w:color w:val="auto"/>
        </w:rPr>
      </w:pPr>
    </w:p>
    <w:p>
      <w:pPr>
        <w:ind w:left="800" w:right="400" w:hanging="341"/>
        <w:spacing w:after="0" w:line="324"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renovating or expanding tenant spaces for tenants capable of producing higher sales, and therefore, paying higher rents, including expanding space available to an existing tenant that is performing well but is operating out of an old or otherwise inefficient store format; and</w:t>
      </w:r>
    </w:p>
    <w:p>
      <w:pPr>
        <w:spacing w:after="0" w:line="8" w:lineRule="exact"/>
        <w:rPr>
          <w:rFonts w:ascii="Arial" w:cs="Arial" w:eastAsia="Arial" w:hAnsi="Arial"/>
          <w:sz w:val="16"/>
          <w:szCs w:val="16"/>
          <w:color w:val="auto"/>
        </w:rPr>
      </w:pPr>
    </w:p>
    <w:p>
      <w:pPr>
        <w:ind w:left="800" w:right="100" w:hanging="341"/>
        <w:spacing w:after="0" w:line="276"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acquiring, in partnership with longer term investors who contribute a substantial portion of the equity needed to acquire those properties, stabilized community and neighborhood shopping centers, located in densely populated or growing affluent areas where barriers to entry for further development are high and that have limited potential for significant growth.</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Criteria</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When we evaluate potential redevelopment, retenanting, expansion and acquisition opportunities, we consider such factors as:</w:t>
      </w:r>
    </w:p>
    <w:p>
      <w:pPr>
        <w:spacing w:after="0" w:line="97" w:lineRule="exact"/>
        <w:rPr>
          <w:sz w:val="20"/>
          <w:szCs w:val="20"/>
          <w:color w:val="auto"/>
        </w:rPr>
      </w:pPr>
    </w:p>
    <w:p>
      <w:pPr>
        <w:ind w:left="5680" w:right="1600" w:hanging="5221"/>
        <w:spacing w:after="0" w:line="471" w:lineRule="auto"/>
        <w:tabs>
          <w:tab w:leader="none" w:pos="80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expected returns in relation to our cost of capital as well as the anticipated risk we will face in achieving the expected returns; 4</w:t>
      </w:r>
    </w:p>
    <w:p>
      <w:pPr>
        <w:sectPr>
          <w:pgSz w:w="11900" w:h="16838" w:orient="portrait"/>
          <w:cols w:equalWidth="0" w:num="1">
            <w:col w:w="11340"/>
          </w:cols>
          <w:pgMar w:left="240" w:top="277" w:right="319" w:bottom="1440" w:gutter="0" w:footer="0" w:header="0"/>
        </w:sectPr>
      </w:pPr>
    </w:p>
    <w:bookmarkStart w:id="4" w:name="page5"/>
    <w:bookmarkEnd w:id="4"/>
    <w:p>
      <w:pPr>
        <w:ind w:left="800" w:hanging="34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the anticipated growth rate of operating income generated by the property;</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tenant mix at the property, tenant sales performance and the creditworthiness of those tenants;</w:t>
      </w:r>
    </w:p>
    <w:p>
      <w:pPr>
        <w:spacing w:after="0" w:line="97" w:lineRule="exact"/>
        <w:rPr>
          <w:rFonts w:ascii="Arial" w:cs="Arial" w:eastAsia="Arial" w:hAnsi="Arial"/>
          <w:sz w:val="17"/>
          <w:szCs w:val="17"/>
          <w:color w:val="auto"/>
        </w:rPr>
      </w:pPr>
    </w:p>
    <w:p>
      <w:pPr>
        <w:ind w:left="800" w:right="420" w:hanging="341"/>
        <w:spacing w:after="0" w:line="291"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and household incomes, as well as the population and income trends in that geographic area;</w:t>
      </w:r>
    </w:p>
    <w:p>
      <w:pPr>
        <w:spacing w:after="0" w:line="31" w:lineRule="exact"/>
        <w:rPr>
          <w:rFonts w:ascii="Arial" w:cs="Arial" w:eastAsia="Arial" w:hAnsi="Arial"/>
          <w:sz w:val="17"/>
          <w:szCs w:val="17"/>
          <w:color w:val="auto"/>
        </w:rPr>
      </w:pPr>
    </w:p>
    <w:p>
      <w:pPr>
        <w:ind w:left="800" w:right="840" w:hanging="341"/>
        <w:spacing w:after="0" w:line="291"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conditions in the vicinity of the property, including competition for tenants and the ability to create competing properties through redevelopment, new construction or renovation;</w:t>
      </w:r>
    </w:p>
    <w:p>
      <w:pPr>
        <w:spacing w:after="0" w:line="31" w:lineRule="exact"/>
        <w:rPr>
          <w:rFonts w:ascii="Arial" w:cs="Arial" w:eastAsia="Arial" w:hAnsi="Arial"/>
          <w:sz w:val="17"/>
          <w:szCs w:val="17"/>
          <w:color w:val="auto"/>
        </w:rPr>
      </w:pPr>
    </w:p>
    <w:p>
      <w:pPr>
        <w:ind w:left="800" w:hanging="341"/>
        <w:spacing w:after="0" w:line="291"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access to and visibility of the property from existing roadways and the potential for new, widened or realigned, roadways within the property’s trade area, which may affect access and commuting and shopping patterns;</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level and success of our existing investments in the market area;</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current market value of the land, buildings and other improvements and the potential for increasing those market values;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physical condition of the land, buildings and other improvements, including the structural and environmental condition.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Strategies</w:t>
      </w:r>
    </w:p>
    <w:p>
      <w:pPr>
        <w:spacing w:after="0" w:line="97" w:lineRule="exact"/>
        <w:rPr>
          <w:sz w:val="20"/>
          <w:szCs w:val="20"/>
          <w:color w:val="auto"/>
        </w:rPr>
      </w:pPr>
    </w:p>
    <w:p>
      <w:pPr>
        <w:ind w:right="340" w:firstLine="457"/>
        <w:spacing w:after="0" w:line="291" w:lineRule="auto"/>
        <w:rPr>
          <w:sz w:val="20"/>
          <w:szCs w:val="20"/>
          <w:color w:val="auto"/>
        </w:rPr>
      </w:pPr>
      <w:r>
        <w:rPr>
          <w:rFonts w:ascii="Arial" w:cs="Arial" w:eastAsia="Arial" w:hAnsi="Arial"/>
          <w:sz w:val="17"/>
          <w:szCs w:val="17"/>
          <w:color w:val="auto"/>
        </w:rPr>
        <w:t>Our financing strategy is designed to enable us to maintain a strong balance sheet while retaining sufficient flexibility to fund our operating and investing activities in the most cost-efficient way possible. Our financing strategy includes:</w:t>
      </w:r>
    </w:p>
    <w:p>
      <w:pPr>
        <w:spacing w:after="0" w:line="32" w:lineRule="exact"/>
        <w:rPr>
          <w:sz w:val="20"/>
          <w:szCs w:val="20"/>
          <w:color w:val="auto"/>
        </w:rPr>
      </w:pPr>
    </w:p>
    <w:p>
      <w:pPr>
        <w:ind w:left="800" w:right="820" w:hanging="341"/>
        <w:spacing w:after="0" w:line="291"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maintaining a prudent level of overall leverage and an appropriate pool of unencumbered properties that is sufficient to support our unsecured borrowings;</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managing our exposure to variable-rate debt;</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taking advantage of market opportunities to refinance existing debt, reduce interest costs and manage our debt maturity schedule;</w:t>
      </w:r>
    </w:p>
    <w:p>
      <w:pPr>
        <w:spacing w:after="0" w:line="97" w:lineRule="exact"/>
        <w:rPr>
          <w:rFonts w:ascii="Arial" w:cs="Arial" w:eastAsia="Arial" w:hAnsi="Arial"/>
          <w:sz w:val="17"/>
          <w:szCs w:val="17"/>
          <w:color w:val="auto"/>
        </w:rPr>
      </w:pPr>
    </w:p>
    <w:p>
      <w:pPr>
        <w:ind w:left="800" w:right="440" w:hanging="341"/>
        <w:spacing w:after="0" w:line="291"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108" w:lineRule="exact"/>
        <w:rPr>
          <w:rFonts w:ascii="Arial" w:cs="Arial" w:eastAsia="Arial" w:hAnsi="Arial"/>
          <w:sz w:val="16"/>
          <w:szCs w:val="16"/>
          <w:color w:val="auto"/>
        </w:rPr>
      </w:pPr>
    </w:p>
    <w:p>
      <w:pPr>
        <w:ind w:left="1240" w:hanging="435"/>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or private placements,</w:t>
      </w:r>
    </w:p>
    <w:p>
      <w:pPr>
        <w:spacing w:after="0" w:line="97" w:lineRule="exact"/>
        <w:rPr>
          <w:rFonts w:ascii="Arial" w:cs="Arial" w:eastAsia="Arial" w:hAnsi="Arial"/>
          <w:sz w:val="17"/>
          <w:szCs w:val="17"/>
          <w:color w:val="auto"/>
        </w:rPr>
      </w:pPr>
    </w:p>
    <w:p>
      <w:pPr>
        <w:ind w:left="1240" w:hanging="435"/>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incurrence of indebtedness through secured or unsecured borrowings,</w:t>
      </w:r>
    </w:p>
    <w:p>
      <w:pPr>
        <w:spacing w:after="0" w:line="97" w:lineRule="exact"/>
        <w:rPr>
          <w:rFonts w:ascii="Arial" w:cs="Arial" w:eastAsia="Arial" w:hAnsi="Arial"/>
          <w:sz w:val="17"/>
          <w:szCs w:val="17"/>
          <w:color w:val="auto"/>
        </w:rPr>
      </w:pPr>
    </w:p>
    <w:p>
      <w:pPr>
        <w:ind w:left="1240" w:right="40" w:hanging="435"/>
        <w:spacing w:after="0" w:line="329" w:lineRule="auto"/>
        <w:tabs>
          <w:tab w:leader="none" w:pos="1240"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issuance of operating units in a new or existing “downREIT partnership” that is controlled and consolidated by us (generally operating units in a “downREIT” partnership are issued in exchange for a tax deferred contribution of property and these units receive the same distributions as our common shares and the holders have the right to exchange their units for cash or the same number of our common shares, at our option), or</w:t>
      </w:r>
    </w:p>
    <w:p>
      <w:pPr>
        <w:spacing w:after="0" w:line="9" w:lineRule="exact"/>
        <w:rPr>
          <w:rFonts w:ascii="Arial" w:cs="Arial" w:eastAsia="Arial" w:hAnsi="Arial"/>
          <w:sz w:val="15"/>
          <w:szCs w:val="15"/>
          <w:color w:val="auto"/>
        </w:rPr>
      </w:pPr>
    </w:p>
    <w:p>
      <w:pPr>
        <w:ind w:left="1240" w:hanging="435"/>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use of joint venture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December 31, 2005, we had 278 full-time employees and 116 part-time employees. None of the employees is represented by a collective bargaining unit.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relationship with our employees is good.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w:t>
      </w:r>
    </w:p>
    <w:p>
      <w:pPr>
        <w:spacing w:after="0" w:line="103"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We elected to be taxed as a real estate investment trust for federal income tax purposes beginning with our taxable year ended December 31, 1962. As a REIT, we are generally not subject to federal income tax on REIT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7" w:right="239" w:bottom="1440" w:gutter="0" w:footer="0" w:header="0"/>
        </w:sectPr>
      </w:pPr>
    </w:p>
    <w:bookmarkStart w:id="5" w:name="page6"/>
    <w:bookmarkEnd w:id="5"/>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taxable income that we distribute to our shareholders. Under the internal revenue Code of 1986, as amended, which we refer to as the Code, REITs are subject to numerous organizational and operational requirements, including the requirement to distribute at least 90% of REIT taxable income (excluding net capital gain) each year. We will be subject to federal income tax on our taxable income (including any applicable alternative minimum tax) at regular corporate rates if we fail to qualify as a REIT for tax purposes in any taxable year, or to the extent we distribute less than 100% of REIT taxable income. We will also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REIT taxable income.</w:t>
      </w:r>
    </w:p>
    <w:p>
      <w:pPr>
        <w:spacing w:after="0" w:line="133" w:lineRule="exact"/>
        <w:rPr>
          <w:sz w:val="20"/>
          <w:szCs w:val="20"/>
          <w:color w:val="auto"/>
        </w:rPr>
      </w:pPr>
    </w:p>
    <w:p>
      <w:pPr>
        <w:ind w:right="240" w:firstLine="457"/>
        <w:spacing w:after="0" w:line="318" w:lineRule="auto"/>
        <w:rPr>
          <w:sz w:val="20"/>
          <w:szCs w:val="20"/>
          <w:color w:val="auto"/>
        </w:rPr>
      </w:pPr>
      <w:r>
        <w:rPr>
          <w:rFonts w:ascii="Arial" w:cs="Arial" w:eastAsia="Arial" w:hAnsi="Arial"/>
          <w:sz w:val="15"/>
          <w:szCs w:val="15"/>
          <w:color w:val="auto"/>
        </w:rPr>
        <w:t>We have elected to treat certain of our subsidiaries as taxable REIT subsidiaries, each of which we refer to as a TRS. In general, a TRS may engage in any real estate business and certain non-real estate businesses, subject to certain limitations under the Code. A TRS is subject to federal and state income taxes. The sales of condominiums at Santana Row beginning in August 2005 are being conducted through a TRS. As a result of these condominium sales, our TRS incurred approximately $3.5 million of income taxes in 2005. Prior to 2005, our TRS activities were limited and they did not incur any significant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Regulations Affecting Our Properties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w:t>
      </w:r>
    </w:p>
    <w:p>
      <w:pPr>
        <w:spacing w:after="0" w:line="97" w:lineRule="exact"/>
        <w:rPr>
          <w:sz w:val="20"/>
          <w:szCs w:val="20"/>
          <w:color w:val="auto"/>
        </w:rPr>
      </w:pPr>
    </w:p>
    <w:p>
      <w:pPr>
        <w:ind w:left="800" w:hanging="34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which we refer to as CERCLA;</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Resource Conservation &amp; Recovery Act;</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Clean Water Act;</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Clean Air Act;</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Toxic Substances Control Act;</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Occupational Safety &amp; Health Act;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Americans with Disabilities Act.</w:t>
      </w:r>
    </w:p>
    <w:p>
      <w:pPr>
        <w:spacing w:after="0" w:line="177"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the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09" w:lineRule="exact"/>
        <w:rPr>
          <w:sz w:val="20"/>
          <w:szCs w:val="20"/>
          <w:color w:val="auto"/>
        </w:rPr>
      </w:pPr>
    </w:p>
    <w:p>
      <w:pPr>
        <w:ind w:right="180" w:firstLine="457"/>
        <w:spacing w:after="0" w:line="301" w:lineRule="auto"/>
        <w:rPr>
          <w:sz w:val="20"/>
          <w:szCs w:val="20"/>
          <w:color w:val="auto"/>
        </w:rPr>
      </w:pPr>
      <w:r>
        <w:rPr>
          <w:rFonts w:ascii="Arial" w:cs="Arial" w:eastAsia="Arial" w:hAnsi="Arial"/>
          <w:sz w:val="16"/>
          <w:szCs w:val="16"/>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7" w:right="259" w:bottom="1440" w:gutter="0" w:footer="0" w:header="0"/>
        </w:sectPr>
      </w:pPr>
    </w:p>
    <w:bookmarkStart w:id="6" w:name="page7"/>
    <w:bookmarkEnd w:id="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3"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44" w:lineRule="exact"/>
        <w:rPr>
          <w:sz w:val="20"/>
          <w:szCs w:val="20"/>
          <w:color w:val="auto"/>
        </w:rPr>
      </w:pPr>
    </w:p>
    <w:p>
      <w:pPr>
        <w:ind w:left="800" w:hanging="34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 the number of properties available for acquisition;</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 leading to increased vacancy rates and/or reduced rents,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77" w:lineRule="exact"/>
        <w:rPr>
          <w:sz w:val="20"/>
          <w:szCs w:val="20"/>
          <w:color w:val="auto"/>
        </w:rPr>
      </w:pPr>
    </w:p>
    <w:p>
      <w:pPr>
        <w:ind w:right="180" w:firstLine="457"/>
        <w:spacing w:after="0" w:line="324"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and other forms of marketing of goods and services, such as direct mail, electronic commerce and telemarketing. This competition could contribute to lease defaults and insolvency of tenants.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3" w:lineRule="exact"/>
        <w:rPr>
          <w:sz w:val="20"/>
          <w:szCs w:val="20"/>
          <w:color w:val="auto"/>
        </w:rPr>
      </w:pPr>
    </w:p>
    <w:p>
      <w:pPr>
        <w:ind w:right="380" w:firstLine="457"/>
        <w:spacing w:after="0" w:line="271" w:lineRule="auto"/>
        <w:rPr>
          <w:sz w:val="20"/>
          <w:szCs w:val="20"/>
          <w:color w:val="auto"/>
        </w:rPr>
      </w:pPr>
      <w:r>
        <w:rPr>
          <w:rFonts w:ascii="Arial" w:cs="Arial" w:eastAsia="Arial" w:hAnsi="Arial"/>
          <w:sz w:val="17"/>
          <w:szCs w:val="17"/>
          <w:color w:val="auto"/>
        </w:rPr>
        <w:t xml:space="preserve">Copies of our Annual Report on Form 10-K, Quarterly Reports on Form 10-Q, Current Reports on Form 8-K, and amendments to those reports filed or furnished pursuant to Section 13(a) or 15(d) of the Securities Exchange Act of 1934 are available free of charge through the Investor Information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 xml:space="preserve"> as soon as reasonably practicable after we electronically file the material with, or furnish the material to, the Securities and Exchange Commission, or the SEC.</w:t>
      </w:r>
    </w:p>
    <w:p>
      <w:pPr>
        <w:spacing w:after="0" w:line="128" w:lineRule="exact"/>
        <w:rPr>
          <w:sz w:val="20"/>
          <w:szCs w:val="20"/>
          <w:color w:val="auto"/>
        </w:rPr>
      </w:pPr>
    </w:p>
    <w:p>
      <w:pPr>
        <w:ind w:right="320" w:firstLine="457"/>
        <w:spacing w:after="0" w:line="301" w:lineRule="auto"/>
        <w:rPr>
          <w:sz w:val="20"/>
          <w:szCs w:val="20"/>
          <w:color w:val="auto"/>
        </w:rPr>
      </w:pPr>
      <w:r>
        <w:rPr>
          <w:rFonts w:ascii="Arial" w:cs="Arial" w:eastAsia="Arial" w:hAnsi="Arial"/>
          <w:sz w:val="16"/>
          <w:szCs w:val="16"/>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 Information section of our website.</w:t>
      </w:r>
    </w:p>
    <w:p>
      <w:pPr>
        <w:spacing w:after="0" w:line="106" w:lineRule="exact"/>
        <w:rPr>
          <w:sz w:val="20"/>
          <w:szCs w:val="20"/>
          <w:color w:val="auto"/>
        </w:rPr>
      </w:pPr>
    </w:p>
    <w:p>
      <w:pPr>
        <w:ind w:right="100" w:firstLine="457"/>
        <w:spacing w:after="0" w:line="291" w:lineRule="auto"/>
        <w:rPr>
          <w:sz w:val="20"/>
          <w:szCs w:val="20"/>
          <w:color w:val="auto"/>
        </w:rPr>
      </w:pPr>
      <w:r>
        <w:rPr>
          <w:rFonts w:ascii="Arial" w:cs="Arial" w:eastAsia="Arial" w:hAnsi="Arial"/>
          <w:sz w:val="17"/>
          <w:szCs w:val="17"/>
          <w:color w:val="auto"/>
        </w:rPr>
        <w:t>Amendments to the Code of Ethics or Code of Business Conduct or waivers that apply to any of our executive officers or our senior financial officers will be disclosed in that section of our website as well.</w:t>
      </w:r>
    </w:p>
    <w:p>
      <w:pPr>
        <w:spacing w:after="0" w:line="111" w:lineRule="exact"/>
        <w:rPr>
          <w:sz w:val="20"/>
          <w:szCs w:val="20"/>
          <w:color w:val="auto"/>
        </w:rPr>
      </w:pPr>
    </w:p>
    <w:p>
      <w:pPr>
        <w:ind w:right="240" w:firstLine="457"/>
        <w:spacing w:after="0" w:line="291" w:lineRule="auto"/>
        <w:rPr>
          <w:sz w:val="20"/>
          <w:szCs w:val="20"/>
          <w:color w:val="auto"/>
        </w:rPr>
      </w:pPr>
      <w:r>
        <w:rPr>
          <w:rFonts w:ascii="Arial" w:cs="Arial" w:eastAsia="Arial" w:hAnsi="Arial"/>
          <w:sz w:val="17"/>
          <w:szCs w:val="17"/>
          <w:color w:val="auto"/>
        </w:rPr>
        <w:t>You may obtain a printed copy of any of the foregoing materials from us by writing to us at Investor Relations, Federal Realty Investment Trust, 1626 East Jefferson Street, Rockville, Maryland 20852.</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1A.</w:t>
        <w:tab/>
        <w:t>RISK FACTORS</w:t>
      </w:r>
    </w:p>
    <w:p>
      <w:pPr>
        <w:spacing w:after="0" w:line="103"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Securities Exchange Act of 1934 and the Private Securities Litigation Reform Act of 1995. Also, documents that we “incorporate by reference” into this Annual Report on Form 10-K,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7" w:right="239" w:bottom="1440" w:gutter="0" w:footer="0" w:header="0"/>
        </w:sectPr>
      </w:pPr>
    </w:p>
    <w:bookmarkStart w:id="7" w:name="page8"/>
    <w:bookmarkEnd w:id="7"/>
    <w:p>
      <w:pPr>
        <w:ind w:right="56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particularly with respect to possible future events. Many things can happen that can cause actual results to be different from those we describe. These factors include, but are not limited to the following: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from our properties may be reduced or limited if the retail operations of our tenants are not successful.</w:t>
      </w:r>
    </w:p>
    <w:p>
      <w:pPr>
        <w:spacing w:after="0" w:line="103"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 income depends on the success and continued presence of our “anchor” tenants.</w:t>
      </w:r>
    </w:p>
    <w:p>
      <w:pPr>
        <w:spacing w:after="0" w:line="103"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amounts of customers to a property. The closing of one or more anchor stores prior to the expiration of the lease for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difficulty or delay in renewing leases or re-leasing space.</w:t>
      </w:r>
    </w:p>
    <w:p>
      <w:pPr>
        <w:spacing w:after="0" w:line="103"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amount of debt we have and the restrictions imposed by that debt could adversely affect our business and financial condition.</w:t>
      </w:r>
    </w:p>
    <w:p>
      <w:pPr>
        <w:spacing w:after="0" w:line="103" w:lineRule="exact"/>
        <w:rPr>
          <w:sz w:val="20"/>
          <w:szCs w:val="20"/>
          <w:color w:val="auto"/>
        </w:rPr>
      </w:pPr>
    </w:p>
    <w:p>
      <w:pPr>
        <w:ind w:right="200" w:firstLine="457"/>
        <w:spacing w:after="0" w:line="266" w:lineRule="auto"/>
        <w:rPr>
          <w:sz w:val="20"/>
          <w:szCs w:val="20"/>
          <w:color w:val="auto"/>
        </w:rPr>
      </w:pPr>
      <w:r>
        <w:rPr>
          <w:rFonts w:ascii="Arial" w:cs="Arial" w:eastAsia="Arial" w:hAnsi="Arial"/>
          <w:sz w:val="17"/>
          <w:szCs w:val="17"/>
          <w:color w:val="auto"/>
        </w:rPr>
        <w:t>We have a substantial amount of debt. As of December 31, 2005, we had approximately $1.4 billion of debt outstanding. Of that outstanding debt, approximately $271 million was secured by 13 of our properties and approximately $149 million represented capital lease obligations on 11 of our properties. In addition, we own a 30% interest in a joint venture that had $47.2 million of debt secured by four properties as of December 31, 2005. In total, approximately $1.2 billion of our debt as of December 31, 2005, which includes all of our property secured debt (including the property secured debt of the joint venture) and our capital lease obligations, is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53" w:lineRule="exact"/>
        <w:rPr>
          <w:sz w:val="20"/>
          <w:szCs w:val="20"/>
          <w:color w:val="auto"/>
        </w:rPr>
      </w:pPr>
    </w:p>
    <w:p>
      <w:pPr>
        <w:ind w:left="800" w:right="240" w:hanging="341"/>
        <w:spacing w:after="0" w:line="291"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our ability to make distributions on our outstanding common shares and preferred shares;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7" w:right="259" w:bottom="1440" w:gutter="0" w:footer="0" w:header="0"/>
        </w:sectPr>
      </w:pPr>
    </w:p>
    <w:bookmarkStart w:id="8" w:name="page9"/>
    <w:bookmarkEnd w:id="8"/>
    <w:p>
      <w:pPr>
        <w:ind w:left="800" w:hanging="341"/>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make it difficult to satisfy our debt service requirements;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our variable rate, unhedged debt if interest rates rise;</w:t>
      </w:r>
    </w:p>
    <w:p>
      <w:pPr>
        <w:spacing w:after="0" w:line="108" w:lineRule="exact"/>
        <w:rPr>
          <w:rFonts w:ascii="Arial" w:cs="Arial" w:eastAsia="Arial" w:hAnsi="Arial"/>
          <w:sz w:val="16"/>
          <w:szCs w:val="16"/>
          <w:color w:val="auto"/>
        </w:rPr>
      </w:pPr>
    </w:p>
    <w:p>
      <w:pPr>
        <w:ind w:left="800" w:hanging="341"/>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factors that affect the profitability of our business;</w:t>
      </w:r>
    </w:p>
    <w:p>
      <w:pPr>
        <w:spacing w:after="0" w:line="97" w:lineRule="exact"/>
        <w:rPr>
          <w:rFonts w:ascii="Arial" w:cs="Arial" w:eastAsia="Arial" w:hAnsi="Arial"/>
          <w:sz w:val="17"/>
          <w:szCs w:val="17"/>
          <w:color w:val="auto"/>
        </w:rPr>
      </w:pPr>
    </w:p>
    <w:p>
      <w:pPr>
        <w:ind w:left="800" w:right="180" w:hanging="341"/>
        <w:spacing w:after="0" w:line="291"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31" w:lineRule="exact"/>
        <w:rPr>
          <w:rFonts w:ascii="Arial" w:cs="Arial" w:eastAsia="Arial" w:hAnsi="Arial"/>
          <w:sz w:val="17"/>
          <w:szCs w:val="17"/>
          <w:color w:val="auto"/>
        </w:rPr>
      </w:pPr>
    </w:p>
    <w:p>
      <w:pPr>
        <w:ind w:left="800" w:hanging="341"/>
        <w:spacing w:after="0" w:line="291"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flexibility in conducting our business, which may place us at a disadvantage compared to competitors with less debt or debt with less restrictive terms.</w:t>
      </w:r>
    </w:p>
    <w:p>
      <w:pPr>
        <w:spacing w:after="0" w:line="111" w:lineRule="exact"/>
        <w:rPr>
          <w:sz w:val="20"/>
          <w:szCs w:val="20"/>
          <w:color w:val="auto"/>
        </w:rPr>
      </w:pPr>
    </w:p>
    <w:p>
      <w:pPr>
        <w:ind w:right="40" w:firstLine="457"/>
        <w:spacing w:after="0" w:line="287"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9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b w:val="1"/>
          <w:bCs w:val="1"/>
          <w:color w:val="auto"/>
        </w:rPr>
        <w:t>We are obligated to comply with financial and other covenants in our debt that could restrict our operating activities, and the failure to comply with such covenants could result in defaults that accelerate payment under our debt.</w:t>
      </w:r>
    </w:p>
    <w:p>
      <w:pPr>
        <w:spacing w:after="0" w:line="26" w:lineRule="exact"/>
        <w:rPr>
          <w:sz w:val="20"/>
          <w:szCs w:val="20"/>
          <w:color w:val="auto"/>
        </w:rPr>
      </w:pPr>
    </w:p>
    <w:p>
      <w:pPr>
        <w:ind w:right="540" w:firstLine="457"/>
        <w:spacing w:after="0" w:line="291" w:lineRule="auto"/>
        <w:rPr>
          <w:sz w:val="20"/>
          <w:szCs w:val="20"/>
          <w:color w:val="auto"/>
        </w:rPr>
      </w:pPr>
      <w:r>
        <w:rPr>
          <w:rFonts w:ascii="Arial" w:cs="Arial" w:eastAsia="Arial" w:hAnsi="Arial"/>
          <w:sz w:val="17"/>
          <w:szCs w:val="17"/>
          <w:color w:val="auto"/>
        </w:rPr>
        <w:t>Our credit facility and term loans include financial covenants that may limit our operating activities in the future. We are also required to comply with additional covenants that include, among other things, provisions:</w:t>
      </w:r>
    </w:p>
    <w:p>
      <w:pPr>
        <w:spacing w:after="0" w:line="32" w:lineRule="exact"/>
        <w:rPr>
          <w:sz w:val="20"/>
          <w:szCs w:val="20"/>
          <w:color w:val="auto"/>
        </w:rPr>
      </w:pPr>
    </w:p>
    <w:p>
      <w:pPr>
        <w:ind w:left="800" w:hanging="341"/>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relating to the maintenance of property securing a mortgage;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pledge assets or create liens;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incur additional debt;</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amend or modify existing leases at properties securing a mortgage;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enter into transactions with affiliates;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our ability to consolidate, merge or sell all or substantially all of our assets.</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December 31, 2005, we were in compliance with all of our other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Our development activities are inherently risky</w:t>
      </w:r>
      <w:r>
        <w:rPr>
          <w:rFonts w:ascii="Arial" w:cs="Arial" w:eastAsia="Arial" w:hAnsi="Arial"/>
          <w:sz w:val="17"/>
          <w:szCs w:val="17"/>
          <w:color w:val="auto"/>
        </w:rPr>
        <w:t>.</w:t>
      </w:r>
    </w:p>
    <w:p>
      <w:pPr>
        <w:spacing w:after="0" w:line="103" w:lineRule="exact"/>
        <w:rPr>
          <w:sz w:val="20"/>
          <w:szCs w:val="20"/>
          <w:color w:val="auto"/>
        </w:rPr>
      </w:pPr>
    </w:p>
    <w:p>
      <w:pPr>
        <w:ind w:right="40" w:firstLine="457"/>
        <w:spacing w:after="0" w:line="291"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ground-up development of improvements on real property, as opposed to the renovation and redevelopment of existing improvements, 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 risks. We generally do not intend to undertake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277" w:right="279" w:bottom="1440" w:gutter="0" w:footer="0" w:header="0"/>
        </w:sectPr>
      </w:pPr>
    </w:p>
    <w:bookmarkStart w:id="9" w:name="page10"/>
    <w:bookmarkEnd w:id="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construction of any new large-scale mixed-use, ground-up development projects; however, we do intend to complete the development and construction of remaining phases of projects we already have started, such as Bethesda Row in Bethesda, Maryland and Santana Row in San Jose, California, and may undertake development of other projects if it is justifiable on a risk-adjusted basis. If additional phases of any of our existing projects or if any new projects are not successful, it may adversely affect our financial condition and results of operations.</w:t>
      </w:r>
    </w:p>
    <w:p>
      <w:pPr>
        <w:spacing w:after="0" w:line="128"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In addition to the risks associated with real estate investment in general as described elsewhere, the risks associated with our remaining development activities include:</w:t>
      </w:r>
    </w:p>
    <w:p>
      <w:pPr>
        <w:spacing w:after="0" w:line="32" w:lineRule="exact"/>
        <w:rPr>
          <w:sz w:val="20"/>
          <w:szCs w:val="20"/>
          <w:color w:val="auto"/>
        </w:rPr>
      </w:pPr>
    </w:p>
    <w:p>
      <w:pPr>
        <w:ind w:left="800" w:hanging="341"/>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time lag between commencement and completion subjects us to greater risks due to fluctuation in the general economy;</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or inability to obtain construction or permanent financing on favorable terms;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expenditure of money and time on projects that may never be completed;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achieve projected rental rates or anticipated pace of lease-up;</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higher-than-estimated construction costs, including labor and material costs; and</w:t>
      </w:r>
    </w:p>
    <w:p>
      <w:pPr>
        <w:spacing w:after="0" w:line="97" w:lineRule="exact"/>
        <w:rPr>
          <w:rFonts w:ascii="Arial" w:cs="Arial" w:eastAsia="Arial" w:hAnsi="Arial"/>
          <w:sz w:val="17"/>
          <w:szCs w:val="17"/>
          <w:color w:val="auto"/>
        </w:rPr>
      </w:pPr>
    </w:p>
    <w:p>
      <w:pPr>
        <w:ind w:left="800" w:right="140" w:hanging="341"/>
        <w:spacing w:after="0" w:line="291"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11"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Santana Row</w:t>
      </w:r>
      <w:r>
        <w:rPr>
          <w:rFonts w:ascii="Arial" w:cs="Arial" w:eastAsia="Arial" w:hAnsi="Arial"/>
          <w:sz w:val="17"/>
          <w:szCs w:val="17"/>
          <w:color w:val="auto"/>
        </w:rPr>
        <w:t>. Santana Row is our largest single investment, and if it is not successful it could have a material adverse effect on our financial condition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As of December 31, 2005, we had more than $450 million (net of fire insurance proceeds from the 2002 fire at Santana Row) invested at Santana Row. That amount includes the costs associated with the construction of 256 residential units currently under development. We continue to develop a master plan for the remaining parcels at Santana Row.</w:t>
      </w:r>
    </w:p>
    <w:p>
      <w:pPr>
        <w:spacing w:after="0" w:line="128"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 In addition, our financial condition and results of operations may be adversely affected by delays or cost overruns in completing future phases of Santana Row, by an inability to achieve the market rents that were projected when the project was commenced, or by slower than projected lease-up of the project.</w:t>
      </w:r>
    </w:p>
    <w:p>
      <w:pPr>
        <w:spacing w:after="0" w:line="133"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Of the residential units at Santana Row, 219 have either been sold or currently are classified as held for sale. Our costs of operating the project could increase as a result of the sale of these units, which would reduce our net income from the project. In addition, the condominium associations governing those units have some rights to vote on budgets for Santana Row and some ability to impact the manner in which the project is operated which could adversely impact the success of the project or reduce our net income.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Redevelopments and acquisitions may fail to perform as expected.</w:t>
      </w:r>
    </w:p>
    <w:p>
      <w:pPr>
        <w:spacing w:after="0" w:line="103" w:lineRule="exact"/>
        <w:rPr>
          <w:sz w:val="20"/>
          <w:szCs w:val="20"/>
          <w:color w:val="auto"/>
        </w:rPr>
      </w:pPr>
    </w:p>
    <w:p>
      <w:pPr>
        <w:jc w:val="both"/>
        <w:ind w:right="360" w:firstLine="457"/>
        <w:spacing w:after="0" w:line="301" w:lineRule="auto"/>
        <w:rPr>
          <w:sz w:val="20"/>
          <w:szCs w:val="20"/>
          <w:color w:val="auto"/>
        </w:rPr>
      </w:pPr>
      <w:r>
        <w:rPr>
          <w:rFonts w:ascii="Arial" w:cs="Arial" w:eastAsia="Arial" w:hAnsi="Arial"/>
          <w:sz w:val="16"/>
          <w:szCs w:val="16"/>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26" w:lineRule="exact"/>
        <w:rPr>
          <w:sz w:val="20"/>
          <w:szCs w:val="20"/>
          <w:color w:val="auto"/>
        </w:rPr>
      </w:pPr>
    </w:p>
    <w:p>
      <w:pPr>
        <w:jc w:val="both"/>
        <w:ind w:left="800" w:right="180" w:hanging="341"/>
        <w:spacing w:after="0" w:line="276"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7" w:right="239" w:bottom="1440" w:gutter="0" w:footer="0" w:header="0"/>
        </w:sectPr>
      </w:pPr>
    </w:p>
    <w:bookmarkStart w:id="10" w:name="page11"/>
    <w:bookmarkEnd w:id="10"/>
    <w:p>
      <w:pPr>
        <w:ind w:left="800" w:hanging="341"/>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we may not be able to identify suitable properties to acquire or may be unable to complete the acquisition of the properties we identify;</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integrate any acquisitions into our existing operations successfully;</w:t>
      </w:r>
    </w:p>
    <w:p>
      <w:pPr>
        <w:spacing w:after="0" w:line="97" w:lineRule="exact"/>
        <w:rPr>
          <w:rFonts w:ascii="Arial" w:cs="Arial" w:eastAsia="Arial" w:hAnsi="Arial"/>
          <w:sz w:val="17"/>
          <w:szCs w:val="17"/>
          <w:color w:val="auto"/>
        </w:rPr>
      </w:pPr>
    </w:p>
    <w:p>
      <w:pPr>
        <w:ind w:left="800" w:hanging="341"/>
        <w:spacing w:after="0" w:line="291"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31" w:lineRule="exact"/>
        <w:rPr>
          <w:rFonts w:ascii="Arial" w:cs="Arial" w:eastAsia="Arial" w:hAnsi="Arial"/>
          <w:sz w:val="17"/>
          <w:szCs w:val="17"/>
          <w:color w:val="auto"/>
        </w:rPr>
      </w:pPr>
    </w:p>
    <w:p>
      <w:pPr>
        <w:ind w:left="800" w:right="40" w:hanging="341"/>
        <w:spacing w:after="0" w:line="291"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31" w:lineRule="exact"/>
        <w:rPr>
          <w:rFonts w:ascii="Arial" w:cs="Arial" w:eastAsia="Arial" w:hAnsi="Arial"/>
          <w:sz w:val="17"/>
          <w:szCs w:val="17"/>
          <w:color w:val="auto"/>
        </w:rPr>
      </w:pPr>
    </w:p>
    <w:p>
      <w:pPr>
        <w:ind w:left="800" w:right="160" w:hanging="341"/>
        <w:spacing w:after="0" w:line="291"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grow will be limited if we cannot obtain additional capital.</w:t>
      </w:r>
    </w:p>
    <w:p>
      <w:pPr>
        <w:spacing w:after="0" w:line="103"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(excluding net capital gains)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interest rates could adversely affect our cash flow and the market price of our outstanding debt and preferred shares.</w:t>
      </w:r>
    </w:p>
    <w:p>
      <w:pPr>
        <w:spacing w:after="0" w:line="103"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Of our approximately $1.4 billion of debt outstanding as of December 31, 2005, approximately $165 million bears interest at variable rates and was unhedged.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of issuing additional debt securities or preferred shares.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 and value are subject to general risks associated with the real estate industry.</w:t>
      </w:r>
    </w:p>
    <w:p>
      <w:pPr>
        <w:spacing w:after="0" w:line="103"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7"/>
          <w:szCs w:val="17"/>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77"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shareholders will be adversely affected. As a real estate company, we are susceptible to the following real estate industry risks:</w:t>
      </w:r>
    </w:p>
    <w:p>
      <w:pPr>
        <w:spacing w:after="0" w:line="97" w:lineRule="exact"/>
        <w:rPr>
          <w:sz w:val="20"/>
          <w:szCs w:val="20"/>
          <w:color w:val="auto"/>
        </w:rPr>
      </w:pPr>
    </w:p>
    <w:p>
      <w:pPr>
        <w:ind w:left="800" w:hanging="341"/>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economic downturns in the areas where our properties are located;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changes in local real estate market conditions, such as an oversupply or reduction in demand;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tenant preferences that reduce the attractiveness of our properties to tenants;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zoning or regulatory restrictions;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decreases in market rental rates;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weather conditions that may increase or decrease energy costs and other weather-related expenses;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associated with the need to periodically repair, renovate and re-lease space; and</w:t>
      </w:r>
    </w:p>
    <w:p>
      <w:pPr>
        <w:spacing w:after="0" w:line="97" w:lineRule="exact"/>
        <w:rPr>
          <w:rFonts w:ascii="Arial" w:cs="Arial" w:eastAsia="Arial" w:hAnsi="Arial"/>
          <w:sz w:val="17"/>
          <w:szCs w:val="17"/>
          <w:color w:val="auto"/>
        </w:rPr>
      </w:pPr>
    </w:p>
    <w:p>
      <w:pPr>
        <w:ind w:left="800" w:right="120" w:hanging="341"/>
        <w:spacing w:after="0" w:line="276"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Many real estate costs are fixed, even if income from our properties decreases.</w:t>
      </w:r>
    </w:p>
    <w:p>
      <w:pPr>
        <w:spacing w:after="0" w:line="103" w:lineRule="exact"/>
        <w:rPr>
          <w:sz w:val="20"/>
          <w:szCs w:val="20"/>
          <w:color w:val="auto"/>
        </w:rPr>
      </w:pPr>
    </w:p>
    <w:p>
      <w:pPr>
        <w:ind w:firstLine="457"/>
        <w:spacing w:after="0" w:line="309" w:lineRule="auto"/>
        <w:rPr>
          <w:sz w:val="20"/>
          <w:szCs w:val="20"/>
          <w:color w:val="auto"/>
        </w:rPr>
      </w:pPr>
      <w:r>
        <w:rPr>
          <w:rFonts w:ascii="Arial" w:cs="Arial" w:eastAsia="Arial" w:hAnsi="Arial"/>
          <w:sz w:val="15"/>
          <w:szCs w:val="15"/>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the cash flow from existing operations may be insufficient to pay the operating expenses and debt service associated with such new properties until they are fully leased.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may limit our ability to purchase new properties and generate sufficient income from tenants.</w:t>
      </w:r>
    </w:p>
    <w:p>
      <w:pPr>
        <w:spacing w:after="0" w:line="103"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Numerous commercial developers and real estate companies compete with us in seeking tenants for our existing properties and properties for acquisition. This competition may:</w:t>
      </w:r>
    </w:p>
    <w:p>
      <w:pPr>
        <w:spacing w:after="0" w:line="32" w:lineRule="exact"/>
        <w:rPr>
          <w:sz w:val="20"/>
          <w:szCs w:val="20"/>
          <w:color w:val="auto"/>
        </w:rPr>
      </w:pPr>
    </w:p>
    <w:p>
      <w:pPr>
        <w:ind w:left="800" w:hanging="341"/>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properties available for acquisition;</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rents payable to us;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lead to increased vacancy rates at our properties;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7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7"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We may be unable to sell properties when appropriate because real estate investments are illiquid.</w:t>
      </w:r>
    </w:p>
    <w:p>
      <w:pPr>
        <w:spacing w:after="0" w:line="103"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insurance coverage on our properties may be inadequate.</w:t>
      </w:r>
    </w:p>
    <w:p>
      <w:pPr>
        <w:spacing w:after="0" w:line="103" w:lineRule="exact"/>
        <w:rPr>
          <w:sz w:val="20"/>
          <w:szCs w:val="20"/>
          <w:color w:val="auto"/>
        </w:rPr>
      </w:pPr>
    </w:p>
    <w:p>
      <w:pPr>
        <w:ind w:right="300" w:firstLine="457"/>
        <w:spacing w:after="0" w:line="293" w:lineRule="auto"/>
        <w:rPr>
          <w:sz w:val="20"/>
          <w:szCs w:val="20"/>
          <w:color w:val="auto"/>
        </w:rPr>
      </w:pPr>
      <w:r>
        <w:rPr>
          <w:rFonts w:ascii="Arial" w:cs="Arial" w:eastAsia="Arial" w:hAnsi="Arial"/>
          <w:sz w:val="16"/>
          <w:szCs w:val="16"/>
          <w:color w:val="auto"/>
        </w:rPr>
        <w:t>We currently carry comprehensive insurance on all of our properties, including insurance for liability, fire, flood, rental loss and acts of terrorism. We also currently carry earthquake insurance on all of our properties in California and environmental insurance on most of our properties.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13" w:lineRule="exact"/>
        <w:rPr>
          <w:sz w:val="20"/>
          <w:szCs w:val="20"/>
          <w:color w:val="auto"/>
        </w:rPr>
      </w:pPr>
    </w:p>
    <w:p>
      <w:pPr>
        <w:ind w:right="240" w:firstLine="457"/>
        <w:spacing w:after="0" w:line="282"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limited flexibility in dealing with our jointly owned investments.</w:t>
      </w:r>
    </w:p>
    <w:p>
      <w:pPr>
        <w:spacing w:after="0" w:line="103"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February 28, 2006, excluding our joint venture with Clarion Lion Properties Fund, we hold eight shopping centers and five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of our existing co-investments as of February 28, 2006, we must obtain the consent of the co-investor or meet defined criteria to sell or to finance five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23"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7"/>
          <w:szCs w:val="17"/>
          <w:color w:val="auto"/>
        </w:rPr>
        <w:t>In addition, on July 1, 2004, we entered into a new joint venture with affiliates of Clarion Lion Properties Fund for purposes of acquiring properties. Although we are the managing general partner of that entity, we have only a 30% ownership interest in that entity. Our partner’s consent is required to take certain actions with respect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13" w:name="page14"/>
    <w:bookmarkEnd w:id="13"/>
    <w:p>
      <w:pPr>
        <w:ind w:right="400"/>
        <w:spacing w:after="0" w:line="35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1" w:lineRule="exact"/>
        <w:rPr>
          <w:sz w:val="20"/>
          <w:szCs w:val="20"/>
          <w:color w:val="auto"/>
        </w:rPr>
      </w:pPr>
    </w:p>
    <w:p>
      <w:pPr>
        <w:ind w:left="800" w:hanging="341"/>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enter into new anchor tenant leases, modify existing anchor tenant leases or enforce remedies against anchor tenants;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make certain repairs, renovations or other changes or improvements to properties;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 or finance the property with secured debt.</w:t>
      </w:r>
    </w:p>
    <w:p>
      <w:pPr>
        <w:spacing w:after="0" w:line="17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terms of our partnership require that certain acquisition opportunities be presented first to the joint venture, which limits our ability to acquire properties for our own account which could, in turn, limit our ability to grow. Our investment in this joint venture is also subject to the risks described above for jointly owned investments. As of December 31, 2005, this joint venture owned four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laws and regulations could reduce the value or profitability of our properties.</w:t>
      </w:r>
    </w:p>
    <w:p>
      <w:pPr>
        <w:spacing w:after="0" w:line="103"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11" w:lineRule="exact"/>
        <w:rPr>
          <w:sz w:val="20"/>
          <w:szCs w:val="20"/>
          <w:color w:val="auto"/>
        </w:rPr>
      </w:pPr>
    </w:p>
    <w:p>
      <w:pPr>
        <w:ind w:right="280" w:firstLine="457"/>
        <w:spacing w:after="0" w:line="268" w:lineRule="auto"/>
        <w:rPr>
          <w:sz w:val="20"/>
          <w:szCs w:val="20"/>
          <w:color w:val="auto"/>
        </w:rPr>
      </w:pPr>
      <w:r>
        <w:rPr>
          <w:rFonts w:ascii="Arial" w:cs="Arial" w:eastAsia="Arial" w:hAnsi="Arial"/>
          <w:sz w:val="17"/>
          <w:szCs w:val="17"/>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33"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3" w:lineRule="exact"/>
        <w:rPr>
          <w:sz w:val="20"/>
          <w:szCs w:val="20"/>
          <w:color w:val="auto"/>
        </w:rPr>
      </w:pPr>
    </w:p>
    <w:p>
      <w:pPr>
        <w:ind w:firstLine="457"/>
        <w:spacing w:after="0" w:line="362" w:lineRule="auto"/>
        <w:rPr>
          <w:sz w:val="20"/>
          <w:szCs w:val="20"/>
          <w:color w:val="auto"/>
        </w:rPr>
      </w:pPr>
      <w:r>
        <w:rPr>
          <w:rFonts w:ascii="Arial" w:cs="Arial" w:eastAsia="Arial" w:hAnsi="Arial"/>
          <w:sz w:val="15"/>
          <w:szCs w:val="15"/>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also may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7" w:right="239" w:bottom="1440" w:gutter="0" w:footer="0" w:header="0"/>
        </w:sectPr>
      </w:pPr>
    </w:p>
    <w:bookmarkStart w:id="14" w:name="page15"/>
    <w:bookmarkEnd w:id="14"/>
    <w:p>
      <w:pPr>
        <w:ind w:right="48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change in the future and restrict further renovations of our properties with respect to access for disabled persons. Future compliance with this Act may require expensive changes to the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3"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06" w:lineRule="exact"/>
        <w:rPr>
          <w:sz w:val="20"/>
          <w:szCs w:val="20"/>
          <w:color w:val="auto"/>
        </w:rPr>
      </w:pPr>
    </w:p>
    <w:p>
      <w:pPr>
        <w:spacing w:after="0" w:line="298" w:lineRule="auto"/>
        <w:rPr>
          <w:sz w:val="20"/>
          <w:szCs w:val="20"/>
          <w:color w:val="auto"/>
        </w:rPr>
      </w:pPr>
      <w:r>
        <w:rPr>
          <w:rFonts w:ascii="Arial" w:cs="Arial" w:eastAsia="Arial" w:hAnsi="Arial"/>
          <w:sz w:val="17"/>
          <w:szCs w:val="17"/>
          <w:b w:val="1"/>
          <w:bCs w:val="1"/>
          <w:color w:val="auto"/>
        </w:rPr>
        <w:t>Failure to qualify as a REIT for federal income tax purposes would cause us to be taxed as a corporation, which would substantially reduce funds available for payment of distributions.</w:t>
      </w:r>
    </w:p>
    <w:p>
      <w:pPr>
        <w:spacing w:after="0" w:line="26"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Internal Revenue Code of 1986, as amended (the “Code”). However, we cannot assure you that we will remain qualified as such in the future.</w:t>
      </w:r>
    </w:p>
    <w:p>
      <w:pPr>
        <w:spacing w:after="0" w:line="124"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net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we fail to qualify as a REIT:</w:t>
      </w:r>
    </w:p>
    <w:p>
      <w:pPr>
        <w:spacing w:after="0" w:line="97" w:lineRule="exact"/>
        <w:rPr>
          <w:sz w:val="20"/>
          <w:szCs w:val="20"/>
          <w:color w:val="auto"/>
        </w:rPr>
      </w:pPr>
    </w:p>
    <w:p>
      <w:pPr>
        <w:ind w:left="800" w:hanging="341"/>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shareholders in computing taxable income;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would be subject to federal income tax at regular corporate rates;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be subject to the federal alternative minimum tax;</w:t>
      </w:r>
    </w:p>
    <w:p>
      <w:pPr>
        <w:spacing w:after="0" w:line="97" w:lineRule="exact"/>
        <w:rPr>
          <w:rFonts w:ascii="Arial" w:cs="Arial" w:eastAsia="Arial" w:hAnsi="Arial"/>
          <w:sz w:val="17"/>
          <w:szCs w:val="17"/>
          <w:color w:val="auto"/>
        </w:rPr>
      </w:pPr>
    </w:p>
    <w:p>
      <w:pPr>
        <w:ind w:left="800" w:right="400" w:hanging="341"/>
        <w:spacing w:after="0" w:line="291"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unless we are entitled to relief under specific statutory provisions, we could not elect to be taxed as a REIT for four taxable years following the year during which we were disqualified;</w:t>
      </w:r>
    </w:p>
    <w:p>
      <w:pPr>
        <w:spacing w:after="0" w:line="31" w:lineRule="exact"/>
        <w:rPr>
          <w:rFonts w:ascii="Arial" w:cs="Arial" w:eastAsia="Arial" w:hAnsi="Arial"/>
          <w:sz w:val="17"/>
          <w:szCs w:val="17"/>
          <w:color w:val="auto"/>
        </w:rPr>
      </w:pPr>
    </w:p>
    <w:p>
      <w:pPr>
        <w:ind w:left="800" w:right="440" w:hanging="341"/>
        <w:spacing w:after="0" w:line="291"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would no longer be required by law to make any distributions to our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incur additional debt to qualify as a REIT.</w:t>
      </w:r>
    </w:p>
    <w:p>
      <w:pPr>
        <w:spacing w:after="0" w:line="103" w:lineRule="exact"/>
        <w:rPr>
          <w:sz w:val="20"/>
          <w:szCs w:val="20"/>
          <w:color w:val="auto"/>
        </w:rPr>
      </w:pPr>
    </w:p>
    <w:p>
      <w:pPr>
        <w:ind w:right="300" w:firstLine="457"/>
        <w:spacing w:after="0" w:line="329" w:lineRule="auto"/>
        <w:rPr>
          <w:sz w:val="20"/>
          <w:szCs w:val="20"/>
          <w:color w:val="auto"/>
        </w:rPr>
      </w:pPr>
      <w:r>
        <w:rPr>
          <w:rFonts w:ascii="Arial" w:cs="Arial" w:eastAsia="Arial" w:hAnsi="Arial"/>
          <w:sz w:val="15"/>
          <w:szCs w:val="15"/>
          <w:color w:val="auto"/>
        </w:rPr>
        <w:t>As a REIT, we must make annual distributions to shareholders of at least 90% of our REIT taxable income (excluding net capital gains).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7" w:right="239" w:bottom="1440" w:gutter="0" w:footer="0" w:header="0"/>
        </w:sectPr>
      </w:pPr>
    </w:p>
    <w:bookmarkStart w:id="15" w:name="page16"/>
    <w:bookmarkEnd w:id="15"/>
    <w:p>
      <w:pPr>
        <w:ind w:right="140" w:firstLine="457"/>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We intend to make distributions to shareholders to comply with the Code’s distribution provisions and to avoid federal income and excise tax. We may need to borrow funds to meet our distribution requirements because:</w:t>
      </w:r>
    </w:p>
    <w:p>
      <w:pPr>
        <w:spacing w:after="0" w:line="32" w:lineRule="exact"/>
        <w:rPr>
          <w:sz w:val="20"/>
          <w:szCs w:val="20"/>
          <w:color w:val="auto"/>
        </w:rPr>
      </w:pPr>
    </w:p>
    <w:p>
      <w:pPr>
        <w:ind w:left="800" w:hanging="341"/>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20" w:lineRule="exact"/>
        <w:rPr>
          <w:rFonts w:ascii="Arial" w:cs="Arial" w:eastAsia="Arial" w:hAnsi="Arial"/>
          <w:sz w:val="15"/>
          <w:szCs w:val="15"/>
          <w:color w:val="auto"/>
        </w:rPr>
      </w:pPr>
    </w:p>
    <w:p>
      <w:pPr>
        <w:ind w:left="800" w:hanging="341"/>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77" w:lineRule="exact"/>
        <w:rPr>
          <w:sz w:val="20"/>
          <w:szCs w:val="20"/>
          <w:color w:val="auto"/>
        </w:rPr>
      </w:pPr>
    </w:p>
    <w:p>
      <w:pPr>
        <w:ind w:right="100" w:firstLine="457"/>
        <w:spacing w:after="0" w:line="291" w:lineRule="auto"/>
        <w:rPr>
          <w:sz w:val="20"/>
          <w:szCs w:val="20"/>
          <w:color w:val="auto"/>
        </w:rPr>
      </w:pPr>
      <w:r>
        <w:rPr>
          <w:rFonts w:ascii="Arial" w:cs="Arial" w:eastAsia="Arial" w:hAnsi="Arial"/>
          <w:sz w:val="17"/>
          <w:szCs w:val="17"/>
          <w:color w:val="auto"/>
        </w:rPr>
        <w:t>In these circumstances, we might have to borrow funds on unfavorable terms and we may have to borrow funds even if our management believes the market conditions make borrowing financially unattractive.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maintain our status as a REIT, we limit the amount of shares any one shareholder can own.</w:t>
      </w:r>
    </w:p>
    <w:p>
      <w:pPr>
        <w:spacing w:after="0" w:line="10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3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cannot assure you we will continue to pay dividends at historical rates.</w:t>
      </w:r>
    </w:p>
    <w:p>
      <w:pPr>
        <w:spacing w:after="0" w:line="103" w:lineRule="exact"/>
        <w:rPr>
          <w:sz w:val="20"/>
          <w:szCs w:val="20"/>
          <w:color w:val="auto"/>
        </w:rPr>
      </w:pPr>
    </w:p>
    <w:p>
      <w:pPr>
        <w:ind w:right="520" w:firstLine="457"/>
        <w:spacing w:after="0" w:line="324"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9" w:lineRule="exact"/>
        <w:rPr>
          <w:sz w:val="20"/>
          <w:szCs w:val="20"/>
          <w:color w:val="auto"/>
        </w:rPr>
      </w:pPr>
    </w:p>
    <w:p>
      <w:pPr>
        <w:ind w:left="800" w:hanging="341"/>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financial condition and results of future operations;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performance of lease terms by tenants;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terms of our loan covenants;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acquire, finance, develop or redevelop and lease additional properties at attractive rates.</w:t>
      </w:r>
    </w:p>
    <w:p>
      <w:pPr>
        <w:spacing w:after="0" w:line="17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277"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Certain tax and anti-takeover provisions of our declaration of trust and bylaws may inhibit a change of our control.</w:t>
      </w:r>
    </w:p>
    <w:p>
      <w:pPr>
        <w:spacing w:after="0" w:line="103"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8" w:lineRule="exact"/>
        <w:rPr>
          <w:sz w:val="20"/>
          <w:szCs w:val="20"/>
          <w:color w:val="auto"/>
        </w:rPr>
      </w:pPr>
    </w:p>
    <w:p>
      <w:pPr>
        <w:ind w:left="800" w:hanging="341"/>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REIT ownership limit described above;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authorization of the issuance of our preferred shares with powers, preferences or rights to be determined by the Board of Trustees;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staggered, fixed-size Board of Trustees consisting of three classes of trustees;</w:t>
      </w:r>
    </w:p>
    <w:p>
      <w:pPr>
        <w:spacing w:after="0" w:line="97" w:lineRule="exact"/>
        <w:rPr>
          <w:rFonts w:ascii="Arial" w:cs="Arial" w:eastAsia="Arial" w:hAnsi="Arial"/>
          <w:sz w:val="17"/>
          <w:szCs w:val="17"/>
          <w:color w:val="auto"/>
        </w:rPr>
      </w:pPr>
    </w:p>
    <w:p>
      <w:pPr>
        <w:ind w:left="800" w:right="440" w:hanging="341"/>
        <w:spacing w:after="0" w:line="291"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31" w:lineRule="exact"/>
        <w:rPr>
          <w:rFonts w:ascii="Arial" w:cs="Arial" w:eastAsia="Arial" w:hAnsi="Arial"/>
          <w:sz w:val="17"/>
          <w:szCs w:val="17"/>
          <w:color w:val="auto"/>
        </w:rPr>
      </w:pPr>
    </w:p>
    <w:p>
      <w:pPr>
        <w:ind w:left="800" w:right="520" w:hanging="341"/>
        <w:spacing w:after="0" w:line="291"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Board of Trustees, without a shareholder vote, can classify or reclassify unissued shares of beneficial interest, including the reclassification of common shares into preferred shares and vice-versa;</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two-thirds shareholder vote is required to approve some amendments to the declaration of trust;</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advance-notice requirements for proposals to be presented at shareholder meetings; and</w:t>
      </w:r>
    </w:p>
    <w:p>
      <w:pPr>
        <w:spacing w:after="0" w:line="97" w:lineRule="exact"/>
        <w:rPr>
          <w:rFonts w:ascii="Arial" w:cs="Arial" w:eastAsia="Arial" w:hAnsi="Arial"/>
          <w:sz w:val="17"/>
          <w:szCs w:val="17"/>
          <w:color w:val="auto"/>
        </w:rPr>
      </w:pPr>
    </w:p>
    <w:p>
      <w:pPr>
        <w:ind w:left="800" w:right="180" w:hanging="341"/>
        <w:spacing w:after="0" w:line="362" w:lineRule="auto"/>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65"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16" w:lineRule="exact"/>
        <w:rPr>
          <w:sz w:val="20"/>
          <w:szCs w:val="20"/>
          <w:color w:val="auto"/>
        </w:rPr>
      </w:pPr>
    </w:p>
    <w:p>
      <w:pPr>
        <w:jc w:val="both"/>
        <w:ind w:firstLine="457"/>
        <w:spacing w:after="0" w:line="301"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80" w:lineRule="exact"/>
        <w:rPr>
          <w:sz w:val="20"/>
          <w:szCs w:val="20"/>
          <w:color w:val="auto"/>
        </w:rPr>
      </w:pPr>
    </w:p>
    <w:p>
      <w:pPr>
        <w:ind w:right="520"/>
        <w:spacing w:after="0" w:line="298" w:lineRule="auto"/>
        <w:rPr>
          <w:sz w:val="20"/>
          <w:szCs w:val="20"/>
          <w:color w:val="auto"/>
        </w:rPr>
      </w:pPr>
      <w:r>
        <w:rPr>
          <w:rFonts w:ascii="Arial" w:cs="Arial" w:eastAsia="Arial" w:hAnsi="Arial"/>
          <w:sz w:val="17"/>
          <w:szCs w:val="17"/>
          <w:b w:val="1"/>
          <w:bCs w:val="1"/>
          <w:color w:val="auto"/>
        </w:rPr>
        <w:t>We may amend or revise our business policies without your approval, and we have adopted a business plan that involves changes in our operational policies.</w:t>
      </w:r>
    </w:p>
    <w:p>
      <w:pPr>
        <w:spacing w:after="0" w:line="26"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8" w:lineRule="exact"/>
        <w:rPr>
          <w:sz w:val="20"/>
          <w:szCs w:val="20"/>
          <w:color w:val="auto"/>
        </w:rPr>
      </w:pPr>
    </w:p>
    <w:p>
      <w:pPr>
        <w:ind w:firstLine="457"/>
        <w:spacing w:after="0" w:line="362" w:lineRule="auto"/>
        <w:rPr>
          <w:sz w:val="20"/>
          <w:szCs w:val="20"/>
          <w:color w:val="auto"/>
        </w:rPr>
      </w:pPr>
      <w:r>
        <w:rPr>
          <w:rFonts w:ascii="Arial" w:cs="Arial" w:eastAsia="Arial" w:hAnsi="Arial"/>
          <w:sz w:val="15"/>
          <w:szCs w:val="15"/>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271" w:right="279" w:bottom="1440" w:gutter="0" w:footer="0" w:header="0"/>
        </w:sectPr>
      </w:pPr>
    </w:p>
    <w:bookmarkStart w:id="17" w:name="page18"/>
    <w:bookmarkEnd w:id="17"/>
    <w:p>
      <w:pPr>
        <w:ind w:right="8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tab/>
        <w:t>PROPERTIES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3" w:lineRule="exact"/>
        <w:rPr>
          <w:sz w:val="20"/>
          <w:szCs w:val="20"/>
          <w:color w:val="auto"/>
        </w:rPr>
      </w:pPr>
    </w:p>
    <w:p>
      <w:pPr>
        <w:ind w:right="60" w:firstLine="457"/>
        <w:spacing w:after="0" w:line="289" w:lineRule="auto"/>
        <w:rPr>
          <w:sz w:val="20"/>
          <w:szCs w:val="20"/>
          <w:color w:val="auto"/>
        </w:rPr>
      </w:pPr>
      <w:r>
        <w:rPr>
          <w:rFonts w:ascii="Arial" w:cs="Arial" w:eastAsia="Arial" w:hAnsi="Arial"/>
          <w:sz w:val="16"/>
          <w:szCs w:val="16"/>
          <w:color w:val="auto"/>
        </w:rPr>
        <w:t>As of December 31, 2005, we owned or had a majority ownership interest in 103 community and neighborhood shopping centers and retail mixed-used properties comprising approximately 17.6 million square feet, located primarily in densely populated and affluent communities throughout the Northeast and Mid-Atlantic United States, as well as California. In addition we own one apartment complex in Maryland. No single property accounted for over 10% of our 2005 total revenue or net income.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16"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We operate our business on an asset management model, where small, focused teams are responsible for a portfolio of assets. We have divided our portfolio of properties into two operating regions: the East and West. Each region is operated under the direction of an asset manager, with dedicated leasing, property management and financial staff, and operates largely autonomously with respect to day-to-day operating decisions.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 Diversification</w:t>
      </w:r>
    </w:p>
    <w:p>
      <w:pPr>
        <w:spacing w:after="0" w:line="103"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As of December 31, 2005, we had approximately 2,200 leases, ranging from sole proprietors to major national retailers. No one tenant or affiliated group of tenants accounted for more than 2.5% of our annualized base rent as of December 31, 2005. As a result of our tenant diversification, we believe our exposure to any recent and future bankruptcy filing in the retail sector has not been and will not be significant.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277" w:right="29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Geographic Diversification</w:t>
      </w:r>
    </w:p>
    <w:p>
      <w:pPr>
        <w:spacing w:after="0" w:line="103" w:lineRule="exact"/>
        <w:rPr>
          <w:sz w:val="20"/>
          <w:szCs w:val="20"/>
          <w:color w:val="auto"/>
        </w:rPr>
      </w:pPr>
    </w:p>
    <w:p>
      <w:pPr>
        <w:ind w:right="400" w:firstLine="457"/>
        <w:spacing w:after="0" w:line="291" w:lineRule="auto"/>
        <w:rPr>
          <w:sz w:val="20"/>
          <w:szCs w:val="20"/>
          <w:color w:val="auto"/>
        </w:rPr>
      </w:pPr>
      <w:r>
        <w:rPr>
          <w:rFonts w:ascii="Arial" w:cs="Arial" w:eastAsia="Arial" w:hAnsi="Arial"/>
          <w:sz w:val="17"/>
          <w:szCs w:val="17"/>
          <w:color w:val="auto"/>
        </w:rPr>
        <w:t>Our 104 properties are located in 12 states and the District of Columbia. The following table shows, by region and state within the region, the number of properties, the gross leasable area and the percentage of total portfolio gross leasable area in each state as of December 31, 2005.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46"/>
        </w:trPr>
        <w:tc>
          <w:tcPr>
            <w:tcW w:w="7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3"/>
          </w:tcPr>
          <w:p>
            <w:pPr>
              <w:jc w:val="center"/>
              <w:ind w:right="520"/>
              <w:spacing w:after="0" w:line="146" w:lineRule="exact"/>
              <w:rPr>
                <w:sz w:val="20"/>
                <w:szCs w:val="20"/>
                <w:color w:val="auto"/>
              </w:rPr>
            </w:pPr>
            <w:r>
              <w:rPr>
                <w:rFonts w:ascii="Arial" w:cs="Arial" w:eastAsia="Arial" w:hAnsi="Arial"/>
                <w:sz w:val="13"/>
                <w:szCs w:val="13"/>
                <w:b w:val="1"/>
                <w:bCs w:val="1"/>
                <w:color w:val="auto"/>
                <w:w w:val="93"/>
              </w:rPr>
              <w:t>Number</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85"/>
              </w:rPr>
              <w:t>of Gross</w:t>
            </w:r>
          </w:p>
        </w:tc>
        <w:tc>
          <w:tcPr>
            <w:tcW w:w="0" w:type="dxa"/>
            <w:vAlign w:val="bottom"/>
          </w:tcPr>
          <w:p>
            <w:pPr>
              <w:spacing w:after="0"/>
              <w:rPr>
                <w:sz w:val="1"/>
                <w:szCs w:val="1"/>
                <w:color w:val="auto"/>
              </w:rPr>
            </w:pPr>
          </w:p>
        </w:tc>
      </w:tr>
      <w:tr>
        <w:trPr>
          <w:trHeight w:val="146"/>
        </w:trPr>
        <w:tc>
          <w:tcPr>
            <w:tcW w:w="7540" w:type="dxa"/>
            <w:vAlign w:val="bottom"/>
            <w:vMerge w:val="restart"/>
          </w:tcPr>
          <w:p>
            <w:pPr>
              <w:ind w:left="3280"/>
              <w:spacing w:after="0"/>
              <w:rPr>
                <w:sz w:val="20"/>
                <w:szCs w:val="20"/>
                <w:color w:val="auto"/>
              </w:rPr>
            </w:pPr>
            <w:r>
              <w:rPr>
                <w:rFonts w:ascii="Arial" w:cs="Arial" w:eastAsia="Arial" w:hAnsi="Arial"/>
                <w:sz w:val="13"/>
                <w:szCs w:val="13"/>
                <w:b w:val="1"/>
                <w:bCs w:val="1"/>
                <w:color w:val="auto"/>
              </w:rPr>
              <w:t>Region and State</w:t>
            </w:r>
          </w:p>
        </w:tc>
        <w:tc>
          <w:tcPr>
            <w:tcW w:w="520" w:type="dxa"/>
            <w:vAlign w:val="bottom"/>
          </w:tcPr>
          <w:p>
            <w:pPr>
              <w:spacing w:after="0"/>
              <w:rPr>
                <w:sz w:val="12"/>
                <w:szCs w:val="12"/>
                <w:color w:val="auto"/>
              </w:rPr>
            </w:pPr>
          </w:p>
        </w:tc>
        <w:tc>
          <w:tcPr>
            <w:tcW w:w="1140" w:type="dxa"/>
            <w:vAlign w:val="bottom"/>
            <w:gridSpan w:val="3"/>
          </w:tcPr>
          <w:p>
            <w:pPr>
              <w:jc w:val="center"/>
              <w:ind w:right="520"/>
              <w:spacing w:after="0" w:line="146" w:lineRule="exact"/>
              <w:rPr>
                <w:sz w:val="20"/>
                <w:szCs w:val="20"/>
                <w:color w:val="auto"/>
              </w:rPr>
            </w:pPr>
            <w:r>
              <w:rPr>
                <w:rFonts w:ascii="Arial" w:cs="Arial" w:eastAsia="Arial" w:hAnsi="Arial"/>
                <w:sz w:val="13"/>
                <w:szCs w:val="13"/>
                <w:b w:val="1"/>
                <w:bCs w:val="1"/>
                <w:color w:val="auto"/>
                <w:w w:val="81"/>
              </w:rPr>
              <w:t>of</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Gross Leasable</w:t>
            </w:r>
          </w:p>
        </w:tc>
        <w:tc>
          <w:tcPr>
            <w:tcW w:w="520" w:type="dxa"/>
            <w:vAlign w:val="bottom"/>
          </w:tcPr>
          <w:p>
            <w:pPr>
              <w:spacing w:after="0"/>
              <w:rPr>
                <w:sz w:val="12"/>
                <w:szCs w:val="12"/>
                <w:color w:val="auto"/>
              </w:rPr>
            </w:pPr>
          </w:p>
        </w:tc>
        <w:tc>
          <w:tcPr>
            <w:tcW w:w="8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89"/>
              </w:rPr>
              <w:t>Leasable</w:t>
            </w:r>
          </w:p>
        </w:tc>
        <w:tc>
          <w:tcPr>
            <w:tcW w:w="0" w:type="dxa"/>
            <w:vAlign w:val="bottom"/>
          </w:tcPr>
          <w:p>
            <w:pPr>
              <w:spacing w:after="0"/>
              <w:rPr>
                <w:sz w:val="1"/>
                <w:szCs w:val="1"/>
                <w:color w:val="auto"/>
              </w:rPr>
            </w:pPr>
          </w:p>
        </w:tc>
      </w:tr>
      <w:tr>
        <w:trPr>
          <w:trHeight w:val="152"/>
        </w:trPr>
        <w:tc>
          <w:tcPr>
            <w:tcW w:w="75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gridSpan w:val="3"/>
          </w:tcPr>
          <w:p>
            <w:pPr>
              <w:jc w:val="center"/>
              <w:ind w:right="520"/>
              <w:spacing w:after="0" w:line="146" w:lineRule="exact"/>
              <w:rPr>
                <w:sz w:val="20"/>
                <w:szCs w:val="20"/>
                <w:color w:val="auto"/>
              </w:rPr>
            </w:pPr>
            <w:r>
              <w:rPr>
                <w:rFonts w:ascii="Arial" w:cs="Arial" w:eastAsia="Arial" w:hAnsi="Arial"/>
                <w:sz w:val="13"/>
                <w:szCs w:val="13"/>
                <w:b w:val="1"/>
                <w:bCs w:val="1"/>
                <w:color w:val="auto"/>
                <w:w w:val="90"/>
              </w:rPr>
              <w:t>Properties</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Area</w:t>
            </w:r>
          </w:p>
        </w:tc>
        <w:tc>
          <w:tcPr>
            <w:tcW w:w="520" w:type="dxa"/>
            <w:vAlign w:val="bottom"/>
          </w:tcPr>
          <w:p>
            <w:pPr>
              <w:spacing w:after="0"/>
              <w:rPr>
                <w:sz w:val="13"/>
                <w:szCs w:val="13"/>
                <w:color w:val="auto"/>
              </w:rPr>
            </w:pPr>
          </w:p>
        </w:tc>
        <w:tc>
          <w:tcPr>
            <w:tcW w:w="8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89"/>
              </w:rPr>
              <w:t>Area</w:t>
            </w:r>
          </w:p>
        </w:tc>
        <w:tc>
          <w:tcPr>
            <w:tcW w:w="0" w:type="dxa"/>
            <w:vAlign w:val="bottom"/>
          </w:tcPr>
          <w:p>
            <w:pPr>
              <w:spacing w:after="0"/>
              <w:rPr>
                <w:sz w:val="1"/>
                <w:szCs w:val="1"/>
                <w:color w:val="auto"/>
              </w:rPr>
            </w:pPr>
          </w:p>
        </w:tc>
      </w:tr>
      <w:tr>
        <w:trPr>
          <w:trHeight w:val="146"/>
        </w:trPr>
        <w:tc>
          <w:tcPr>
            <w:tcW w:w="7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4"/>
              </w:rPr>
              <w:t>(In square feet)</w:t>
            </w:r>
          </w:p>
        </w:tc>
        <w:tc>
          <w:tcPr>
            <w:tcW w:w="5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East region</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440"/>
              <w:spacing w:after="0"/>
              <w:rPr>
                <w:sz w:val="20"/>
                <w:szCs w:val="20"/>
                <w:color w:val="auto"/>
              </w:rPr>
            </w:pPr>
            <w:r>
              <w:rPr>
                <w:rFonts w:ascii="Arial" w:cs="Arial" w:eastAsia="Arial" w:hAnsi="Arial"/>
                <w:sz w:val="17"/>
                <w:szCs w:val="17"/>
                <w:color w:val="auto"/>
              </w:rPr>
              <w:t>Virginia</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16</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3,266,000</w:t>
            </w:r>
          </w:p>
        </w:tc>
        <w:tc>
          <w:tcPr>
            <w:tcW w:w="1340" w:type="dxa"/>
            <w:vAlign w:val="bottom"/>
            <w:gridSpan w:val="3"/>
          </w:tcPr>
          <w:p>
            <w:pPr>
              <w:jc w:val="right"/>
              <w:ind w:right="2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Maryland</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2,986,000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3"/>
        </w:trPr>
        <w:tc>
          <w:tcPr>
            <w:tcW w:w="7540" w:type="dxa"/>
            <w:vAlign w:val="bottom"/>
          </w:tcPr>
          <w:p>
            <w:pPr>
              <w:ind w:left="440"/>
              <w:spacing w:after="0"/>
              <w:rPr>
                <w:sz w:val="20"/>
                <w:szCs w:val="20"/>
                <w:color w:val="auto"/>
              </w:rPr>
            </w:pPr>
            <w:r>
              <w:rPr>
                <w:rFonts w:ascii="Arial" w:cs="Arial" w:eastAsia="Arial" w:hAnsi="Arial"/>
                <w:sz w:val="17"/>
                <w:szCs w:val="17"/>
                <w:color w:val="auto"/>
              </w:rPr>
              <w:t>New Jersey</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10</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2,677,000</w:t>
            </w:r>
          </w:p>
        </w:tc>
        <w:tc>
          <w:tcPr>
            <w:tcW w:w="1340" w:type="dxa"/>
            <w:vAlign w:val="bottom"/>
            <w:gridSpan w:val="3"/>
          </w:tcPr>
          <w:p>
            <w:pPr>
              <w:jc w:val="right"/>
              <w:ind w:right="2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Pennsylvania</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3"/>
        </w:trPr>
        <w:tc>
          <w:tcPr>
            <w:tcW w:w="7540" w:type="dxa"/>
            <w:vAlign w:val="bottom"/>
          </w:tcPr>
          <w:p>
            <w:pPr>
              <w:ind w:left="440"/>
              <w:spacing w:after="0"/>
              <w:rPr>
                <w:sz w:val="20"/>
                <w:szCs w:val="20"/>
                <w:color w:val="auto"/>
              </w:rPr>
            </w:pPr>
            <w:r>
              <w:rPr>
                <w:rFonts w:ascii="Arial" w:cs="Arial" w:eastAsia="Arial" w:hAnsi="Arial"/>
                <w:sz w:val="17"/>
                <w:szCs w:val="17"/>
                <w:color w:val="auto"/>
              </w:rPr>
              <w:t>Massachusetts</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1,113,000</w:t>
            </w:r>
          </w:p>
        </w:tc>
        <w:tc>
          <w:tcPr>
            <w:tcW w:w="1340" w:type="dxa"/>
            <w:vAlign w:val="bottom"/>
            <w:gridSpan w:val="3"/>
          </w:tcPr>
          <w:p>
            <w:pPr>
              <w:jc w:val="right"/>
              <w:ind w:right="2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New York</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3"/>
        </w:trPr>
        <w:tc>
          <w:tcPr>
            <w:tcW w:w="7540" w:type="dxa"/>
            <w:vAlign w:val="bottom"/>
          </w:tcPr>
          <w:p>
            <w:pPr>
              <w:ind w:left="440"/>
              <w:spacing w:after="0"/>
              <w:rPr>
                <w:sz w:val="20"/>
                <w:szCs w:val="20"/>
                <w:color w:val="auto"/>
              </w:rPr>
            </w:pPr>
            <w:r>
              <w:rPr>
                <w:rFonts w:ascii="Arial" w:cs="Arial" w:eastAsia="Arial" w:hAnsi="Arial"/>
                <w:sz w:val="17"/>
                <w:szCs w:val="17"/>
                <w:color w:val="auto"/>
              </w:rPr>
              <w:t>Illinois</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756,000</w:t>
            </w:r>
          </w:p>
        </w:tc>
        <w:tc>
          <w:tcPr>
            <w:tcW w:w="1340" w:type="dxa"/>
            <w:vAlign w:val="bottom"/>
            <w:gridSpan w:val="3"/>
          </w:tcPr>
          <w:p>
            <w:pPr>
              <w:jc w:val="right"/>
              <w:ind w:right="2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Connecticut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7540" w:type="dxa"/>
            <w:vAlign w:val="bottom"/>
          </w:tcPr>
          <w:p>
            <w:pPr>
              <w:ind w:left="440"/>
              <w:spacing w:after="0"/>
              <w:rPr>
                <w:sz w:val="20"/>
                <w:szCs w:val="20"/>
                <w:color w:val="auto"/>
              </w:rPr>
            </w:pPr>
            <w:r>
              <w:rPr>
                <w:rFonts w:ascii="Arial" w:cs="Arial" w:eastAsia="Arial" w:hAnsi="Arial"/>
                <w:sz w:val="17"/>
                <w:szCs w:val="17"/>
                <w:color w:val="auto"/>
              </w:rPr>
              <w:t>Michigan</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217,000</w:t>
            </w:r>
          </w:p>
        </w:tc>
        <w:tc>
          <w:tcPr>
            <w:tcW w:w="1340" w:type="dxa"/>
            <w:vAlign w:val="bottom"/>
            <w:gridSpan w:val="3"/>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District of Columbia</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3"/>
        </w:trPr>
        <w:tc>
          <w:tcPr>
            <w:tcW w:w="7540" w:type="dxa"/>
            <w:vAlign w:val="bottom"/>
          </w:tcPr>
          <w:p>
            <w:pPr>
              <w:ind w:left="440"/>
              <w:spacing w:after="0"/>
              <w:rPr>
                <w:sz w:val="20"/>
                <w:szCs w:val="20"/>
                <w:color w:val="auto"/>
              </w:rPr>
            </w:pPr>
            <w:r>
              <w:rPr>
                <w:rFonts w:ascii="Arial" w:cs="Arial" w:eastAsia="Arial" w:hAnsi="Arial"/>
                <w:sz w:val="17"/>
                <w:szCs w:val="17"/>
                <w:color w:val="auto"/>
              </w:rPr>
              <w:t>North Carolina</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157,000</w:t>
            </w:r>
          </w:p>
        </w:tc>
        <w:tc>
          <w:tcPr>
            <w:tcW w:w="5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5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East region</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14,941,000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19"/>
        </w:trPr>
        <w:tc>
          <w:tcPr>
            <w:tcW w:w="7540" w:type="dxa"/>
            <w:vAlign w:val="bottom"/>
          </w:tcPr>
          <w:p>
            <w:pPr>
              <w:spacing w:after="0"/>
              <w:rPr>
                <w:sz w:val="20"/>
                <w:szCs w:val="20"/>
                <w:color w:val="auto"/>
              </w:rPr>
            </w:pPr>
            <w:r>
              <w:rPr>
                <w:rFonts w:ascii="Arial" w:cs="Arial" w:eastAsia="Arial" w:hAnsi="Arial"/>
                <w:sz w:val="17"/>
                <w:szCs w:val="17"/>
                <w:b w:val="1"/>
                <w:bCs w:val="1"/>
                <w:color w:val="auto"/>
              </w:rPr>
              <w:t>West region</w:t>
            </w:r>
          </w:p>
        </w:tc>
        <w:tc>
          <w:tcPr>
            <w:tcW w:w="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California</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3"/>
        </w:trPr>
        <w:tc>
          <w:tcPr>
            <w:tcW w:w="7540" w:type="dxa"/>
            <w:vAlign w:val="bottom"/>
          </w:tcPr>
          <w:p>
            <w:pPr>
              <w:ind w:left="440"/>
              <w:spacing w:after="0"/>
              <w:rPr>
                <w:sz w:val="20"/>
                <w:szCs w:val="20"/>
                <w:color w:val="auto"/>
              </w:rPr>
            </w:pPr>
            <w:r>
              <w:rPr>
                <w:rFonts w:ascii="Arial" w:cs="Arial" w:eastAsia="Arial" w:hAnsi="Arial"/>
                <w:sz w:val="17"/>
                <w:szCs w:val="17"/>
                <w:color w:val="auto"/>
              </w:rPr>
              <w:t>Texas</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171,000</w:t>
            </w:r>
          </w:p>
        </w:tc>
        <w:tc>
          <w:tcPr>
            <w:tcW w:w="5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5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West region</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2,610,000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b w:val="1"/>
                <w:bCs w:val="1"/>
                <w:color w:val="auto"/>
              </w:rPr>
              <w:t>Total all regions</w:t>
            </w:r>
          </w:p>
        </w:tc>
        <w:tc>
          <w:tcPr>
            <w:tcW w:w="5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104</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17,551,000</w:t>
            </w:r>
          </w:p>
        </w:tc>
        <w:tc>
          <w:tcPr>
            <w:tcW w:w="52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Lease Terms and Lease Expirations</w:t>
      </w:r>
    </w:p>
    <w:p>
      <w:pPr>
        <w:spacing w:after="0" w:line="103"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reduce our exposure to higher costs caused by inflation and allow us to participate in improved tenant sales.</w:t>
      </w:r>
    </w:p>
    <w:p>
      <w:pPr>
        <w:spacing w:after="0" w:line="128"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Commercial property leases generally range from 3 to 10 years; however, certain leases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2005, represented approximately 1.9% of total revenues.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19" w:name="page20"/>
    <w:bookmarkEnd w:id="19"/>
    <w:p>
      <w:pPr>
        <w:ind w:right="34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The following table sets forth the schedule of lease expirations for our commercial leases in place as of December 31, 2005 for (i) each of the 10 years beginning with 2006 and (ii) after 2015 in the aggregate, in both cases, assuming that none of the tenants exercise future renewal options. Annualized base rents reflect in-place contractual rents as of December 31, 2005.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89"/>
              </w:rPr>
              <w:t>Leased</w:t>
            </w: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Percentage of</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Annualized</w:t>
            </w: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auto"/>
                <w:w w:val="90"/>
              </w:rPr>
              <w:t>Square</w:t>
            </w:r>
          </w:p>
        </w:tc>
        <w:tc>
          <w:tcPr>
            <w:tcW w:w="1340" w:type="dxa"/>
            <w:vAlign w:val="bottom"/>
            <w:gridSpan w:val="2"/>
          </w:tcPr>
          <w:p>
            <w:pPr>
              <w:jc w:val="center"/>
              <w:ind w:right="500"/>
              <w:spacing w:after="0" w:line="146" w:lineRule="exact"/>
              <w:rPr>
                <w:sz w:val="20"/>
                <w:szCs w:val="20"/>
                <w:color w:val="auto"/>
              </w:rPr>
            </w:pPr>
            <w:r>
              <w:rPr>
                <w:rFonts w:ascii="Arial" w:cs="Arial" w:eastAsia="Arial" w:hAnsi="Arial"/>
                <w:sz w:val="13"/>
                <w:szCs w:val="13"/>
                <w:b w:val="1"/>
                <w:bCs w:val="1"/>
                <w:color w:val="auto"/>
                <w:w w:val="90"/>
              </w:rPr>
              <w:t>Leased Square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Base Rent</w:t>
            </w:r>
          </w:p>
        </w:tc>
        <w:tc>
          <w:tcPr>
            <w:tcW w:w="720" w:type="dxa"/>
            <w:vAlign w:val="bottom"/>
          </w:tcPr>
          <w:p>
            <w:pPr>
              <w:spacing w:after="0"/>
              <w:rPr>
                <w:sz w:val="12"/>
                <w:szCs w:val="12"/>
                <w:color w:val="auto"/>
              </w:rPr>
            </w:pPr>
          </w:p>
        </w:tc>
        <w:tc>
          <w:tcPr>
            <w:tcW w:w="16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Percentage of Annualized</w:t>
            </w:r>
          </w:p>
        </w:tc>
        <w:tc>
          <w:tcPr>
            <w:tcW w:w="0" w:type="dxa"/>
            <w:vAlign w:val="bottom"/>
          </w:tcPr>
          <w:p>
            <w:pPr>
              <w:spacing w:after="0"/>
              <w:rPr>
                <w:sz w:val="1"/>
                <w:szCs w:val="1"/>
                <w:color w:val="auto"/>
              </w:rPr>
            </w:pPr>
          </w:p>
        </w:tc>
      </w:tr>
      <w:tr>
        <w:trPr>
          <w:trHeight w:val="146"/>
        </w:trPr>
        <w:tc>
          <w:tcPr>
            <w:tcW w:w="422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Year of Lease</w:t>
            </w:r>
          </w:p>
        </w:tc>
        <w:tc>
          <w:tcPr>
            <w:tcW w:w="720" w:type="dxa"/>
            <w:vAlign w:val="bottom"/>
          </w:tcPr>
          <w:p>
            <w:pPr>
              <w:spacing w:after="0"/>
              <w:rPr>
                <w:sz w:val="12"/>
                <w:szCs w:val="12"/>
                <w:color w:val="auto"/>
              </w:rPr>
            </w:pPr>
          </w:p>
        </w:tc>
        <w:tc>
          <w:tcPr>
            <w:tcW w:w="1500" w:type="dxa"/>
            <w:vAlign w:val="bottom"/>
            <w:gridSpan w:val="2"/>
          </w:tcPr>
          <w:p>
            <w:pPr>
              <w:jc w:val="center"/>
              <w:ind w:right="720"/>
              <w:spacing w:after="0" w:line="146" w:lineRule="exact"/>
              <w:rPr>
                <w:sz w:val="20"/>
                <w:szCs w:val="20"/>
                <w:color w:val="auto"/>
              </w:rPr>
            </w:pPr>
            <w:r>
              <w:rPr>
                <w:rFonts w:ascii="Arial" w:cs="Arial" w:eastAsia="Arial" w:hAnsi="Arial"/>
                <w:sz w:val="13"/>
                <w:szCs w:val="13"/>
                <w:b w:val="1"/>
                <w:bCs w:val="1"/>
                <w:color w:val="auto"/>
                <w:w w:val="90"/>
              </w:rPr>
              <w:t>Footage</w:t>
            </w:r>
          </w:p>
        </w:tc>
        <w:tc>
          <w:tcPr>
            <w:tcW w:w="1340" w:type="dxa"/>
            <w:vAlign w:val="bottom"/>
            <w:gridSpan w:val="2"/>
          </w:tcPr>
          <w:p>
            <w:pPr>
              <w:jc w:val="center"/>
              <w:ind w:right="480"/>
              <w:spacing w:after="0" w:line="146" w:lineRule="exact"/>
              <w:rPr>
                <w:sz w:val="20"/>
                <w:szCs w:val="20"/>
                <w:color w:val="auto"/>
              </w:rPr>
            </w:pPr>
            <w:r>
              <w:rPr>
                <w:rFonts w:ascii="Arial" w:cs="Arial" w:eastAsia="Arial" w:hAnsi="Arial"/>
                <w:sz w:val="13"/>
                <w:szCs w:val="13"/>
                <w:b w:val="1"/>
                <w:bCs w:val="1"/>
                <w:color w:val="auto"/>
                <w:w w:val="90"/>
              </w:rPr>
              <w:t>Footage</w:t>
            </w:r>
          </w:p>
        </w:tc>
        <w:tc>
          <w:tcPr>
            <w:tcW w:w="360" w:type="dxa"/>
            <w:vAlign w:val="bottom"/>
          </w:tcPr>
          <w:p>
            <w:pPr>
              <w:spacing w:after="0"/>
              <w:rPr>
                <w:sz w:val="12"/>
                <w:szCs w:val="12"/>
                <w:color w:val="auto"/>
              </w:rPr>
            </w:pPr>
          </w:p>
        </w:tc>
        <w:tc>
          <w:tcPr>
            <w:tcW w:w="9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0"/>
              </w:rPr>
              <w:t>Represented by</w:t>
            </w:r>
          </w:p>
        </w:tc>
        <w:tc>
          <w:tcPr>
            <w:tcW w:w="720" w:type="dxa"/>
            <w:vAlign w:val="bottom"/>
          </w:tcPr>
          <w:p>
            <w:pPr>
              <w:spacing w:after="0"/>
              <w:rPr>
                <w:sz w:val="12"/>
                <w:szCs w:val="12"/>
                <w:color w:val="auto"/>
              </w:rPr>
            </w:pPr>
          </w:p>
        </w:tc>
        <w:tc>
          <w:tcPr>
            <w:tcW w:w="16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9"/>
              </w:rPr>
              <w:t>Base Rent Represented</w:t>
            </w:r>
          </w:p>
        </w:tc>
        <w:tc>
          <w:tcPr>
            <w:tcW w:w="0" w:type="dxa"/>
            <w:vAlign w:val="bottom"/>
          </w:tcPr>
          <w:p>
            <w:pPr>
              <w:spacing w:after="0"/>
              <w:rPr>
                <w:sz w:val="1"/>
                <w:szCs w:val="1"/>
                <w:color w:val="auto"/>
              </w:rPr>
            </w:pPr>
          </w:p>
        </w:tc>
      </w:tr>
      <w:tr>
        <w:trPr>
          <w:trHeight w:val="159"/>
        </w:trPr>
        <w:tc>
          <w:tcPr>
            <w:tcW w:w="4220" w:type="dxa"/>
            <w:vAlign w:val="bottom"/>
            <w:gridSpan w:val="2"/>
          </w:tcPr>
          <w:p>
            <w:pPr>
              <w:spacing w:after="0"/>
              <w:rPr>
                <w:sz w:val="20"/>
                <w:szCs w:val="20"/>
                <w:color w:val="auto"/>
              </w:rPr>
            </w:pPr>
            <w:r>
              <w:rPr>
                <w:rFonts w:ascii="Arial" w:cs="Arial" w:eastAsia="Arial" w:hAnsi="Arial"/>
                <w:sz w:val="13"/>
                <w:szCs w:val="13"/>
                <w:b w:val="1"/>
                <w:bCs w:val="1"/>
                <w:color w:val="auto"/>
              </w:rPr>
              <w:t>Expiration</w:t>
            </w:r>
          </w:p>
        </w:tc>
        <w:tc>
          <w:tcPr>
            <w:tcW w:w="720" w:type="dxa"/>
            <w:vAlign w:val="bottom"/>
          </w:tcPr>
          <w:p>
            <w:pPr>
              <w:spacing w:after="0"/>
              <w:rPr>
                <w:sz w:val="13"/>
                <w:szCs w:val="13"/>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6"/>
              </w:rPr>
              <w:t>Expiring</w:t>
            </w:r>
          </w:p>
        </w:tc>
        <w:tc>
          <w:tcPr>
            <w:tcW w:w="13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6"/>
              </w:rPr>
              <w:t>Expiring</w:t>
            </w:r>
          </w:p>
        </w:tc>
        <w:tc>
          <w:tcPr>
            <w:tcW w:w="3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Expiring Leases</w:t>
            </w:r>
          </w:p>
        </w:tc>
        <w:tc>
          <w:tcPr>
            <w:tcW w:w="720" w:type="dxa"/>
            <w:vAlign w:val="bottom"/>
          </w:tcPr>
          <w:p>
            <w:pPr>
              <w:spacing w:after="0"/>
              <w:rPr>
                <w:sz w:val="13"/>
                <w:szCs w:val="13"/>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by Expiring Leases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815,000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17,413,000</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2007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1,887,000</w:t>
            </w:r>
          </w:p>
        </w:tc>
        <w:tc>
          <w:tcPr>
            <w:tcW w:w="7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33,029,000</w:t>
            </w:r>
          </w:p>
        </w:tc>
        <w:tc>
          <w:tcPr>
            <w:tcW w:w="2320" w:type="dxa"/>
            <w:vAlign w:val="bottom"/>
            <w:gridSpan w:val="3"/>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1,821,000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31,900,000</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2009</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2,118,000</w:t>
            </w:r>
          </w:p>
        </w:tc>
        <w:tc>
          <w:tcPr>
            <w:tcW w:w="7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39,637,000</w:t>
            </w:r>
          </w:p>
        </w:tc>
        <w:tc>
          <w:tcPr>
            <w:tcW w:w="2320" w:type="dxa"/>
            <w:vAlign w:val="bottom"/>
            <w:gridSpan w:val="3"/>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1,564,000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30,931,000</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2011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1,304,000</w:t>
            </w:r>
          </w:p>
        </w:tc>
        <w:tc>
          <w:tcPr>
            <w:tcW w:w="7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29,560,000</w:t>
            </w:r>
          </w:p>
        </w:tc>
        <w:tc>
          <w:tcPr>
            <w:tcW w:w="2320" w:type="dxa"/>
            <w:vAlign w:val="bottom"/>
            <w:gridSpan w:val="3"/>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1,096,000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21,181,000</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2013</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891,000</w:t>
            </w:r>
          </w:p>
        </w:tc>
        <w:tc>
          <w:tcPr>
            <w:tcW w:w="7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17,998,000</w:t>
            </w:r>
          </w:p>
        </w:tc>
        <w:tc>
          <w:tcPr>
            <w:tcW w:w="2320" w:type="dxa"/>
            <w:vAlign w:val="bottom"/>
            <w:gridSpan w:val="3"/>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926,000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21,426,000</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2015</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847,000</w:t>
            </w:r>
          </w:p>
        </w:tc>
        <w:tc>
          <w:tcPr>
            <w:tcW w:w="7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16,623,000</w:t>
            </w:r>
          </w:p>
        </w:tc>
        <w:tc>
          <w:tcPr>
            <w:tcW w:w="2320" w:type="dxa"/>
            <w:vAlign w:val="bottom"/>
            <w:gridSpan w:val="3"/>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3,344,000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49,965,000</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16,613,000</w:t>
            </w:r>
          </w:p>
        </w:tc>
        <w:tc>
          <w:tcPr>
            <w:tcW w:w="72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100%</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309,663,000</w:t>
            </w:r>
          </w:p>
        </w:tc>
        <w:tc>
          <w:tcPr>
            <w:tcW w:w="232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and Residential Properties</w:t>
      </w:r>
    </w:p>
    <w:p>
      <w:pPr>
        <w:spacing w:after="0" w:line="103"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color w:val="auto"/>
        </w:rPr>
        <w:t>The following table sets forth information concerning all properties in which we own an equity interest or have a leasehold interest and are consolidated as of December 31, 2005. Except as otherwise noted, we are the sole owner of our retail properties. Principal tenants are the largest tenants in the property based on square feet leased or are tenants important to a property’s success due to their ability to attract retail customers.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Square Feet (1)</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62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6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620" w:type="dxa"/>
            <w:vAlign w:val="bottom"/>
          </w:tcPr>
          <w:p>
            <w:pPr>
              <w:spacing w:after="0"/>
              <w:rPr>
                <w:sz w:val="12"/>
                <w:szCs w:val="12"/>
                <w:color w:val="auto"/>
              </w:rPr>
            </w:pPr>
          </w:p>
        </w:tc>
        <w:tc>
          <w:tcPr>
            <w:tcW w:w="640" w:type="dxa"/>
            <w:vAlign w:val="bottom"/>
          </w:tcPr>
          <w:p>
            <w:pPr>
              <w:spacing w:after="0" w:line="146" w:lineRule="exact"/>
              <w:rPr>
                <w:sz w:val="20"/>
                <w:szCs w:val="20"/>
                <w:color w:val="auto"/>
              </w:rPr>
            </w:pPr>
            <w:r>
              <w:rPr>
                <w:rFonts w:ascii="Arial" w:cs="Arial" w:eastAsia="Arial" w:hAnsi="Arial"/>
                <w:sz w:val="13"/>
                <w:szCs w:val="13"/>
                <w:b w:val="1"/>
                <w:bCs w:val="1"/>
                <w:color w:val="auto"/>
                <w:w w:val="88"/>
              </w:rPr>
              <w:t>Percentage</w:t>
            </w: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6"/>
        </w:trPr>
        <w:tc>
          <w:tcPr>
            <w:tcW w:w="4480" w:type="dxa"/>
            <w:vAlign w:val="bottom"/>
            <w:gridSpan w:val="2"/>
          </w:tcPr>
          <w:p>
            <w:pPr>
              <w:spacing w:after="0"/>
              <w:rPr>
                <w:sz w:val="20"/>
                <w:szCs w:val="20"/>
                <w:color w:val="auto"/>
              </w:rPr>
            </w:pPr>
            <w:r>
              <w:rPr>
                <w:rFonts w:ascii="Arial" w:cs="Arial" w:eastAsia="Arial" w:hAnsi="Arial"/>
                <w:sz w:val="13"/>
                <w:szCs w:val="13"/>
                <w:b w:val="1"/>
                <w:bCs w:val="1"/>
                <w:color w:val="auto"/>
              </w:rPr>
              <w:t>EAST REGION</w:t>
            </w:r>
          </w:p>
        </w:tc>
        <w:tc>
          <w:tcPr>
            <w:tcW w:w="6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6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6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3"/>
                <w:szCs w:val="13"/>
                <w:b w:val="1"/>
                <w:bCs w:val="1"/>
                <w:color w:val="auto"/>
                <w:w w:val="93"/>
              </w:rPr>
              <w:t>Leased (2)</w:t>
            </w:r>
          </w:p>
        </w:tc>
        <w:tc>
          <w:tcPr>
            <w:tcW w:w="6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3"/>
                <w:szCs w:val="13"/>
                <w:b w:val="1"/>
                <w:bCs w:val="1"/>
                <w:color w:val="auto"/>
                <w:w w:val="93"/>
              </w:rPr>
              <w:t>Principal Tenant(s)</w:t>
            </w:r>
          </w:p>
        </w:tc>
      </w:tr>
      <w:tr>
        <w:trPr>
          <w:trHeight w:val="138"/>
        </w:trPr>
        <w:tc>
          <w:tcPr>
            <w:tcW w:w="20" w:type="dxa"/>
            <w:vAlign w:val="bottom"/>
          </w:tcPr>
          <w:p>
            <w:pPr>
              <w:spacing w:after="0"/>
              <w:rPr>
                <w:sz w:val="11"/>
                <w:szCs w:val="11"/>
                <w:color w:val="auto"/>
              </w:rPr>
            </w:pPr>
          </w:p>
        </w:tc>
        <w:tc>
          <w:tcPr>
            <w:tcW w:w="446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Allwood</w:t>
            </w:r>
          </w:p>
        </w:tc>
        <w:tc>
          <w:tcPr>
            <w:tcW w:w="6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1958</w:t>
            </w:r>
          </w:p>
        </w:tc>
        <w:tc>
          <w:tcPr>
            <w:tcW w:w="6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1988</w:t>
            </w:r>
          </w:p>
        </w:tc>
        <w:tc>
          <w:tcPr>
            <w:tcW w:w="6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50,000</w:t>
            </w:r>
          </w:p>
        </w:tc>
        <w:tc>
          <w:tcPr>
            <w:tcW w:w="6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100%</w:t>
            </w:r>
          </w:p>
        </w:tc>
        <w:tc>
          <w:tcPr>
            <w:tcW w:w="620" w:type="dxa"/>
            <w:vAlign w:val="bottom"/>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Clifton, NJ 07013 (3)</w:t>
            </w: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Stop &amp; Shop</w:t>
            </w:r>
          </w:p>
        </w:tc>
      </w:tr>
      <w:tr>
        <w:trPr>
          <w:trHeight w:val="138"/>
        </w:trPr>
        <w:tc>
          <w:tcPr>
            <w:tcW w:w="20" w:type="dxa"/>
            <w:vAlign w:val="bottom"/>
          </w:tcPr>
          <w:p>
            <w:pPr>
              <w:spacing w:after="0"/>
              <w:rPr>
                <w:sz w:val="11"/>
                <w:szCs w:val="11"/>
                <w:color w:val="auto"/>
              </w:rPr>
            </w:pPr>
          </w:p>
        </w:tc>
        <w:tc>
          <w:tcPr>
            <w:tcW w:w="4460" w:type="dxa"/>
            <w:vAlign w:val="bottom"/>
          </w:tcPr>
          <w:p>
            <w:pPr>
              <w:spacing w:after="0" w:line="138" w:lineRule="exact"/>
              <w:rPr>
                <w:sz w:val="20"/>
                <w:szCs w:val="20"/>
                <w:color w:val="auto"/>
              </w:rPr>
            </w:pPr>
            <w:r>
              <w:rPr>
                <w:rFonts w:ascii="Arial" w:cs="Arial" w:eastAsia="Arial" w:hAnsi="Arial"/>
                <w:sz w:val="13"/>
                <w:szCs w:val="13"/>
                <w:color w:val="auto"/>
              </w:rPr>
              <w:t>Andorra</w:t>
            </w:r>
          </w:p>
        </w:tc>
        <w:tc>
          <w:tcPr>
            <w:tcW w:w="124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89"/>
              </w:rPr>
              <w:t>1953</w:t>
            </w:r>
          </w:p>
        </w:tc>
        <w:tc>
          <w:tcPr>
            <w:tcW w:w="116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89"/>
              </w:rPr>
              <w:t>1988</w:t>
            </w:r>
          </w:p>
        </w:tc>
        <w:tc>
          <w:tcPr>
            <w:tcW w:w="150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93"/>
              </w:rPr>
              <w:t>267,000</w:t>
            </w:r>
          </w:p>
        </w:tc>
        <w:tc>
          <w:tcPr>
            <w:tcW w:w="126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92"/>
              </w:rPr>
              <w:t>99%</w:t>
            </w:r>
          </w:p>
        </w:tc>
        <w:tc>
          <w:tcPr>
            <w:tcW w:w="62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Acme Markets</w:t>
            </w:r>
          </w:p>
        </w:tc>
      </w:tr>
      <w:tr>
        <w:trPr>
          <w:trHeight w:val="146"/>
        </w:trPr>
        <w:tc>
          <w:tcPr>
            <w:tcW w:w="20" w:type="dxa"/>
            <w:vAlign w:val="bottom"/>
          </w:tcPr>
          <w:p>
            <w:pPr>
              <w:spacing w:after="0"/>
              <w:rPr>
                <w:sz w:val="12"/>
                <w:szCs w:val="12"/>
                <w:color w:val="auto"/>
              </w:rPr>
            </w:pPr>
          </w:p>
        </w:tc>
        <w:tc>
          <w:tcPr>
            <w:tcW w:w="4460" w:type="dxa"/>
            <w:vAlign w:val="bottom"/>
          </w:tcPr>
          <w:p>
            <w:pPr>
              <w:ind w:left="200"/>
              <w:spacing w:after="0" w:line="146" w:lineRule="exact"/>
              <w:rPr>
                <w:sz w:val="20"/>
                <w:szCs w:val="20"/>
                <w:color w:val="auto"/>
              </w:rPr>
            </w:pPr>
            <w:r>
              <w:rPr>
                <w:rFonts w:ascii="Arial" w:cs="Arial" w:eastAsia="Arial" w:hAnsi="Arial"/>
                <w:sz w:val="13"/>
                <w:szCs w:val="13"/>
                <w:color w:val="auto"/>
              </w:rPr>
              <w:t>Philadelphia, PA 19128</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Kohl’s</w:t>
            </w:r>
          </w:p>
        </w:tc>
      </w:tr>
      <w:tr>
        <w:trPr>
          <w:trHeight w:val="146"/>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Staples</w:t>
            </w:r>
          </w:p>
        </w:tc>
      </w:tr>
      <w:tr>
        <w:trPr>
          <w:trHeight w:val="155"/>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 Fitness</w:t>
            </w:r>
          </w:p>
        </w:tc>
      </w:tr>
      <w:tr>
        <w:trPr>
          <w:trHeight w:val="138"/>
        </w:trPr>
        <w:tc>
          <w:tcPr>
            <w:tcW w:w="20" w:type="dxa"/>
            <w:vAlign w:val="bottom"/>
          </w:tcPr>
          <w:p>
            <w:pPr>
              <w:spacing w:after="0"/>
              <w:rPr>
                <w:sz w:val="11"/>
                <w:szCs w:val="11"/>
                <w:color w:val="auto"/>
              </w:rPr>
            </w:pPr>
          </w:p>
        </w:tc>
        <w:tc>
          <w:tcPr>
            <w:tcW w:w="44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Assembly Square/Sturtevant</w:t>
            </w:r>
          </w:p>
        </w:tc>
        <w:tc>
          <w:tcPr>
            <w:tcW w:w="124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89"/>
              </w:rPr>
              <w:t>2005</w:t>
            </w:r>
          </w:p>
        </w:tc>
        <w:tc>
          <w:tcPr>
            <w:tcW w:w="116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89"/>
              </w:rPr>
              <w:t>2005</w:t>
            </w:r>
          </w:p>
        </w:tc>
        <w:tc>
          <w:tcPr>
            <w:tcW w:w="150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93"/>
              </w:rPr>
              <w:t>552,000</w:t>
            </w:r>
          </w:p>
        </w:tc>
        <w:tc>
          <w:tcPr>
            <w:tcW w:w="126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96"/>
              </w:rPr>
              <w:t>100%</w:t>
            </w:r>
          </w:p>
        </w:tc>
        <w:tc>
          <w:tcPr>
            <w:tcW w:w="6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7"/>
              </w:rPr>
              <w:t>Bed, Bath &amp; Beyond</w:t>
            </w:r>
          </w:p>
        </w:tc>
      </w:tr>
      <w:tr>
        <w:trPr>
          <w:trHeight w:val="146"/>
        </w:trPr>
        <w:tc>
          <w:tcPr>
            <w:tcW w:w="20" w:type="dxa"/>
            <w:vAlign w:val="bottom"/>
          </w:tcPr>
          <w:p>
            <w:pPr>
              <w:spacing w:after="0"/>
              <w:rPr>
                <w:sz w:val="12"/>
                <w:szCs w:val="12"/>
                <w:color w:val="auto"/>
              </w:rPr>
            </w:pPr>
          </w:p>
        </w:tc>
        <w:tc>
          <w:tcPr>
            <w:tcW w:w="446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Somerville, MA 02145</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88"/>
              </w:rPr>
              <w:t>Christmas Tree Shops</w:t>
            </w:r>
          </w:p>
        </w:tc>
      </w:tr>
      <w:tr>
        <w:trPr>
          <w:trHeight w:val="146"/>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Kmart</w:t>
            </w:r>
          </w:p>
        </w:tc>
      </w:tr>
      <w:tr>
        <w:trPr>
          <w:trHeight w:val="146"/>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Staples</w:t>
            </w: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r>
      <w:tr>
        <w:trPr>
          <w:trHeight w:val="138"/>
        </w:trPr>
        <w:tc>
          <w:tcPr>
            <w:tcW w:w="20" w:type="dxa"/>
            <w:vAlign w:val="bottom"/>
          </w:tcPr>
          <w:p>
            <w:pPr>
              <w:spacing w:after="0"/>
              <w:rPr>
                <w:sz w:val="11"/>
                <w:szCs w:val="11"/>
                <w:color w:val="auto"/>
              </w:rPr>
            </w:pPr>
          </w:p>
        </w:tc>
        <w:tc>
          <w:tcPr>
            <w:tcW w:w="4460" w:type="dxa"/>
            <w:vAlign w:val="bottom"/>
          </w:tcPr>
          <w:p>
            <w:pPr>
              <w:spacing w:after="0" w:line="138" w:lineRule="exact"/>
              <w:rPr>
                <w:sz w:val="20"/>
                <w:szCs w:val="20"/>
                <w:color w:val="auto"/>
              </w:rPr>
            </w:pPr>
            <w:r>
              <w:rPr>
                <w:rFonts w:ascii="Arial" w:cs="Arial" w:eastAsia="Arial" w:hAnsi="Arial"/>
                <w:sz w:val="13"/>
                <w:szCs w:val="13"/>
                <w:color w:val="auto"/>
              </w:rPr>
              <w:t>Bala Cynwyd</w:t>
            </w:r>
          </w:p>
        </w:tc>
        <w:tc>
          <w:tcPr>
            <w:tcW w:w="124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89"/>
              </w:rPr>
              <w:t>1955</w:t>
            </w:r>
          </w:p>
        </w:tc>
        <w:tc>
          <w:tcPr>
            <w:tcW w:w="116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89"/>
              </w:rPr>
              <w:t>1993</w:t>
            </w:r>
          </w:p>
        </w:tc>
        <w:tc>
          <w:tcPr>
            <w:tcW w:w="150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93"/>
              </w:rPr>
              <w:t>280,000</w:t>
            </w:r>
          </w:p>
        </w:tc>
        <w:tc>
          <w:tcPr>
            <w:tcW w:w="1260" w:type="dxa"/>
            <w:vAlign w:val="bottom"/>
            <w:gridSpan w:val="2"/>
          </w:tcPr>
          <w:p>
            <w:pPr>
              <w:jc w:val="center"/>
              <w:ind w:left="553"/>
              <w:spacing w:after="0" w:line="138" w:lineRule="exact"/>
              <w:rPr>
                <w:sz w:val="20"/>
                <w:szCs w:val="20"/>
                <w:color w:val="auto"/>
              </w:rPr>
            </w:pPr>
            <w:r>
              <w:rPr>
                <w:rFonts w:ascii="Arial" w:cs="Arial" w:eastAsia="Arial" w:hAnsi="Arial"/>
                <w:sz w:val="13"/>
                <w:szCs w:val="13"/>
                <w:color w:val="auto"/>
                <w:w w:val="96"/>
              </w:rPr>
              <w:t>100%</w:t>
            </w:r>
          </w:p>
        </w:tc>
        <w:tc>
          <w:tcPr>
            <w:tcW w:w="62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Acme Markets</w:t>
            </w:r>
          </w:p>
        </w:tc>
      </w:tr>
      <w:tr>
        <w:trPr>
          <w:trHeight w:val="146"/>
        </w:trPr>
        <w:tc>
          <w:tcPr>
            <w:tcW w:w="20" w:type="dxa"/>
            <w:vAlign w:val="bottom"/>
          </w:tcPr>
          <w:p>
            <w:pPr>
              <w:spacing w:after="0"/>
              <w:rPr>
                <w:sz w:val="12"/>
                <w:szCs w:val="12"/>
                <w:color w:val="auto"/>
              </w:rPr>
            </w:pPr>
          </w:p>
        </w:tc>
        <w:tc>
          <w:tcPr>
            <w:tcW w:w="4460" w:type="dxa"/>
            <w:vAlign w:val="bottom"/>
          </w:tcPr>
          <w:p>
            <w:pPr>
              <w:ind w:left="200"/>
              <w:spacing w:after="0" w:line="146" w:lineRule="exact"/>
              <w:rPr>
                <w:sz w:val="20"/>
                <w:szCs w:val="20"/>
                <w:color w:val="auto"/>
              </w:rPr>
            </w:pPr>
            <w:r>
              <w:rPr>
                <w:rFonts w:ascii="Arial" w:cs="Arial" w:eastAsia="Arial" w:hAnsi="Arial"/>
                <w:sz w:val="13"/>
                <w:szCs w:val="13"/>
                <w:color w:val="auto"/>
              </w:rPr>
              <w:t>Bala Cynwyd, PA 19004</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Lord &amp; Taylor</w:t>
            </w:r>
          </w:p>
        </w:tc>
      </w:tr>
      <w:tr>
        <w:trPr>
          <w:trHeight w:val="155"/>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 Fitness</w:t>
            </w:r>
          </w:p>
        </w:tc>
      </w:tr>
      <w:tr>
        <w:trPr>
          <w:trHeight w:val="138"/>
        </w:trPr>
        <w:tc>
          <w:tcPr>
            <w:tcW w:w="20" w:type="dxa"/>
            <w:vAlign w:val="bottom"/>
          </w:tcPr>
          <w:p>
            <w:pPr>
              <w:spacing w:after="0"/>
              <w:rPr>
                <w:sz w:val="11"/>
                <w:szCs w:val="11"/>
                <w:color w:val="auto"/>
              </w:rPr>
            </w:pPr>
          </w:p>
        </w:tc>
        <w:tc>
          <w:tcPr>
            <w:tcW w:w="44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Barracks Road</w:t>
            </w:r>
          </w:p>
        </w:tc>
        <w:tc>
          <w:tcPr>
            <w:tcW w:w="124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89"/>
              </w:rPr>
              <w:t>1958</w:t>
            </w:r>
          </w:p>
        </w:tc>
        <w:tc>
          <w:tcPr>
            <w:tcW w:w="116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89"/>
              </w:rPr>
              <w:t>1985</w:t>
            </w:r>
          </w:p>
        </w:tc>
        <w:tc>
          <w:tcPr>
            <w:tcW w:w="150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93"/>
              </w:rPr>
              <w:t>483,000</w:t>
            </w:r>
          </w:p>
        </w:tc>
        <w:tc>
          <w:tcPr>
            <w:tcW w:w="1260" w:type="dxa"/>
            <w:vAlign w:val="bottom"/>
            <w:gridSpan w:val="2"/>
            <w:shd w:val="clear" w:color="auto" w:fill="CCEEFF"/>
          </w:tcPr>
          <w:p>
            <w:pPr>
              <w:jc w:val="center"/>
              <w:ind w:left="553"/>
              <w:spacing w:after="0" w:line="138" w:lineRule="exact"/>
              <w:rPr>
                <w:sz w:val="20"/>
                <w:szCs w:val="20"/>
                <w:color w:val="auto"/>
              </w:rPr>
            </w:pPr>
            <w:r>
              <w:rPr>
                <w:rFonts w:ascii="Arial" w:cs="Arial" w:eastAsia="Arial" w:hAnsi="Arial"/>
                <w:sz w:val="13"/>
                <w:szCs w:val="13"/>
                <w:color w:val="auto"/>
                <w:w w:val="96"/>
              </w:rPr>
              <w:t>100%</w:t>
            </w:r>
          </w:p>
        </w:tc>
        <w:tc>
          <w:tcPr>
            <w:tcW w:w="6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7"/>
              </w:rPr>
              <w:t>Bed, Bath &amp; Beyond</w:t>
            </w:r>
          </w:p>
        </w:tc>
      </w:tr>
      <w:tr>
        <w:trPr>
          <w:trHeight w:val="146"/>
        </w:trPr>
        <w:tc>
          <w:tcPr>
            <w:tcW w:w="20" w:type="dxa"/>
            <w:vAlign w:val="bottom"/>
          </w:tcPr>
          <w:p>
            <w:pPr>
              <w:spacing w:after="0"/>
              <w:rPr>
                <w:sz w:val="12"/>
                <w:szCs w:val="12"/>
                <w:color w:val="auto"/>
              </w:rPr>
            </w:pPr>
          </w:p>
        </w:tc>
        <w:tc>
          <w:tcPr>
            <w:tcW w:w="446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Charlottesville, VA 22905</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Harris Teeter</w:t>
            </w:r>
          </w:p>
        </w:tc>
      </w:tr>
      <w:tr>
        <w:trPr>
          <w:trHeight w:val="146"/>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Kroger</w:t>
            </w:r>
          </w:p>
        </w:tc>
      </w:tr>
      <w:tr>
        <w:trPr>
          <w:trHeight w:val="146"/>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Barnes &amp; Noble</w:t>
            </w: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Old Navy</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7"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Retail and Residential Properties—continued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Square Feet (1)</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5600" w:type="dxa"/>
            <w:vAlign w:val="bottom"/>
          </w:tcPr>
          <w:p>
            <w:pPr>
              <w:spacing w:after="0"/>
              <w:rPr>
                <w:sz w:val="12"/>
                <w:szCs w:val="12"/>
                <w:color w:val="auto"/>
              </w:rPr>
            </w:pPr>
          </w:p>
        </w:tc>
        <w:tc>
          <w:tcPr>
            <w:tcW w:w="64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Year</w:t>
            </w:r>
          </w:p>
        </w:tc>
        <w:tc>
          <w:tcPr>
            <w:tcW w:w="4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/Apartment</w:t>
            </w:r>
          </w:p>
        </w:tc>
        <w:tc>
          <w:tcPr>
            <w:tcW w:w="4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Percentage</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2"/>
        </w:trPr>
        <w:tc>
          <w:tcPr>
            <w:tcW w:w="560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Completed</w:t>
            </w:r>
          </w:p>
        </w:tc>
        <w:tc>
          <w:tcPr>
            <w:tcW w:w="4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Leased (2)</w:t>
            </w:r>
          </w:p>
        </w:tc>
        <w:tc>
          <w:tcPr>
            <w:tcW w:w="460" w:type="dxa"/>
            <w:vAlign w:val="bottom"/>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3"/>
              </w:rPr>
              <w:t>Principal Tenant(s)</w:t>
            </w:r>
          </w:p>
        </w:tc>
      </w:tr>
      <w:tr>
        <w:trPr>
          <w:trHeight w:val="131"/>
        </w:trPr>
        <w:tc>
          <w:tcPr>
            <w:tcW w:w="56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Bethesda Row</w:t>
            </w: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w w:val="90"/>
              </w:rPr>
              <w:t>1945-1991</w:t>
            </w:r>
          </w:p>
        </w:tc>
        <w:tc>
          <w:tcPr>
            <w:tcW w:w="1080" w:type="dxa"/>
            <w:vAlign w:val="bottom"/>
            <w:gridSpan w:val="2"/>
            <w:shd w:val="clear" w:color="auto" w:fill="CCEEFF"/>
          </w:tcPr>
          <w:p>
            <w:pPr>
              <w:jc w:val="center"/>
              <w:ind w:left="393"/>
              <w:spacing w:after="0" w:line="131" w:lineRule="exact"/>
              <w:rPr>
                <w:sz w:val="20"/>
                <w:szCs w:val="20"/>
                <w:color w:val="auto"/>
              </w:rPr>
            </w:pPr>
            <w:r>
              <w:rPr>
                <w:rFonts w:ascii="Arial" w:cs="Arial" w:eastAsia="Arial" w:hAnsi="Arial"/>
                <w:sz w:val="13"/>
                <w:szCs w:val="13"/>
                <w:color w:val="auto"/>
                <w:w w:val="93"/>
              </w:rPr>
              <w:t>1993-1998</w:t>
            </w:r>
          </w:p>
        </w:tc>
        <w:tc>
          <w:tcPr>
            <w:tcW w:w="136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93"/>
              </w:rPr>
              <w:t>440,000</w:t>
            </w:r>
          </w:p>
        </w:tc>
        <w:tc>
          <w:tcPr>
            <w:tcW w:w="112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92"/>
              </w:rPr>
              <w:t>98%</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Barnes &amp; Noble</w:t>
            </w:r>
          </w:p>
        </w:tc>
      </w:tr>
      <w:tr>
        <w:trPr>
          <w:trHeight w:val="146"/>
        </w:trPr>
        <w:tc>
          <w:tcPr>
            <w:tcW w:w="56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Bethesda, MD 20814 (8)</w:t>
            </w:r>
          </w:p>
        </w:tc>
        <w:tc>
          <w:tcPr>
            <w:tcW w:w="64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6"/>
              </w:rPr>
              <w:t>2001</w:t>
            </w: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Giant Food</w:t>
            </w:r>
          </w:p>
        </w:tc>
      </w:tr>
      <w:tr>
        <w:trPr>
          <w:trHeight w:val="155"/>
        </w:trPr>
        <w:tc>
          <w:tcPr>
            <w:tcW w:w="5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Landmark Theater</w:t>
            </w: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Blue Star</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1959</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1988</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410,000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Shop Rite</w:t>
            </w:r>
          </w:p>
        </w:tc>
      </w:tr>
      <w:tr>
        <w:trPr>
          <w:trHeight w:val="146"/>
        </w:trPr>
        <w:tc>
          <w:tcPr>
            <w:tcW w:w="5600" w:type="dxa"/>
            <w:vAlign w:val="bottom"/>
          </w:tcPr>
          <w:p>
            <w:pPr>
              <w:ind w:left="220"/>
              <w:spacing w:after="0" w:line="146" w:lineRule="exact"/>
              <w:rPr>
                <w:sz w:val="20"/>
                <w:szCs w:val="20"/>
                <w:color w:val="auto"/>
              </w:rPr>
            </w:pPr>
            <w:r>
              <w:rPr>
                <w:rFonts w:ascii="Arial" w:cs="Arial" w:eastAsia="Arial" w:hAnsi="Arial"/>
                <w:sz w:val="13"/>
                <w:szCs w:val="13"/>
                <w:color w:val="auto"/>
              </w:rPr>
              <w:t>Watchung, NJ 07060 (3)</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Kohl’s</w:t>
            </w:r>
          </w:p>
        </w:tc>
      </w:tr>
      <w:tr>
        <w:trPr>
          <w:trHeight w:val="146"/>
        </w:trPr>
        <w:tc>
          <w:tcPr>
            <w:tcW w:w="5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Michaels</w:t>
            </w:r>
          </w:p>
        </w:tc>
      </w:tr>
      <w:tr>
        <w:trPr>
          <w:trHeight w:val="146"/>
        </w:trPr>
        <w:tc>
          <w:tcPr>
            <w:tcW w:w="5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Toys R Us</w:t>
            </w:r>
          </w:p>
        </w:tc>
      </w:tr>
      <w:tr>
        <w:trPr>
          <w:trHeight w:val="155"/>
        </w:trPr>
        <w:tc>
          <w:tcPr>
            <w:tcW w:w="5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Marshalls</w:t>
            </w: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Brick Plaza</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1958</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1989</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409,000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A&amp;P Supermarket</w:t>
            </w:r>
          </w:p>
        </w:tc>
      </w:tr>
      <w:tr>
        <w:trPr>
          <w:trHeight w:val="146"/>
        </w:trPr>
        <w:tc>
          <w:tcPr>
            <w:tcW w:w="56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Brick Township, NJ 08723 (7)</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Barnes &amp; Noble</w:t>
            </w:r>
          </w:p>
        </w:tc>
      </w:tr>
      <w:tr>
        <w:trPr>
          <w:trHeight w:val="146"/>
        </w:trPr>
        <w:tc>
          <w:tcPr>
            <w:tcW w:w="5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Loews Theatres</w:t>
            </w:r>
          </w:p>
        </w:tc>
      </w:tr>
      <w:tr>
        <w:trPr>
          <w:trHeight w:val="155"/>
        </w:trPr>
        <w:tc>
          <w:tcPr>
            <w:tcW w:w="5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Sports Authority</w:t>
            </w: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Bristol</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1959</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277,000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95%</w:t>
            </w:r>
          </w:p>
        </w:tc>
        <w:tc>
          <w:tcPr>
            <w:tcW w:w="46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Stop &amp; Shop</w:t>
            </w:r>
          </w:p>
        </w:tc>
      </w:tr>
      <w:tr>
        <w:trPr>
          <w:trHeight w:val="168"/>
        </w:trPr>
        <w:tc>
          <w:tcPr>
            <w:tcW w:w="5600" w:type="dxa"/>
            <w:vAlign w:val="bottom"/>
          </w:tcPr>
          <w:p>
            <w:pPr>
              <w:ind w:left="220"/>
              <w:spacing w:after="0"/>
              <w:rPr>
                <w:sz w:val="20"/>
                <w:szCs w:val="20"/>
                <w:color w:val="auto"/>
              </w:rPr>
            </w:pPr>
            <w:r>
              <w:rPr>
                <w:rFonts w:ascii="Arial" w:cs="Arial" w:eastAsia="Arial" w:hAnsi="Arial"/>
                <w:sz w:val="13"/>
                <w:szCs w:val="13"/>
                <w:color w:val="auto"/>
              </w:rPr>
              <w:t>Bristol, CT 06010</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TJ Maxx</w:t>
            </w: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Brunswick</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1957</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1988</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303,000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96%</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A&amp;P Supermarket</w:t>
            </w:r>
          </w:p>
        </w:tc>
      </w:tr>
      <w:tr>
        <w:trPr>
          <w:trHeight w:val="146"/>
        </w:trPr>
        <w:tc>
          <w:tcPr>
            <w:tcW w:w="56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North Brunswick, NJ 08902 (3)</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A.J.Wright</w:t>
            </w:r>
          </w:p>
        </w:tc>
      </w:tr>
      <w:tr>
        <w:trPr>
          <w:trHeight w:val="155"/>
        </w:trPr>
        <w:tc>
          <w:tcPr>
            <w:tcW w:w="5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L.A. Fitness</w:t>
            </w: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Congressional Plaza</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1965</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1965</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338,000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Buy Buy Baby</w:t>
            </w:r>
          </w:p>
        </w:tc>
      </w:tr>
      <w:tr>
        <w:trPr>
          <w:trHeight w:val="146"/>
        </w:trPr>
        <w:tc>
          <w:tcPr>
            <w:tcW w:w="5600" w:type="dxa"/>
            <w:vAlign w:val="bottom"/>
          </w:tcPr>
          <w:p>
            <w:pPr>
              <w:ind w:left="220"/>
              <w:spacing w:after="0" w:line="146" w:lineRule="exact"/>
              <w:rPr>
                <w:sz w:val="20"/>
                <w:szCs w:val="20"/>
                <w:color w:val="auto"/>
              </w:rPr>
            </w:pPr>
            <w:r>
              <w:rPr>
                <w:rFonts w:ascii="Arial" w:cs="Arial" w:eastAsia="Arial" w:hAnsi="Arial"/>
                <w:sz w:val="13"/>
                <w:szCs w:val="13"/>
                <w:color w:val="auto"/>
              </w:rPr>
              <w:t>Rockville, MD 20852 (5)</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Whole Foods</w:t>
            </w:r>
          </w:p>
        </w:tc>
      </w:tr>
      <w:tr>
        <w:trPr>
          <w:trHeight w:val="146"/>
        </w:trPr>
        <w:tc>
          <w:tcPr>
            <w:tcW w:w="5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Tower Records</w:t>
            </w:r>
          </w:p>
        </w:tc>
      </w:tr>
      <w:tr>
        <w:trPr>
          <w:trHeight w:val="155"/>
        </w:trPr>
        <w:tc>
          <w:tcPr>
            <w:tcW w:w="5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Container Store</w:t>
            </w: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Congressional Plaza Residential</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2003</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1965</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146 units</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95%</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8"/>
        </w:trPr>
        <w:tc>
          <w:tcPr>
            <w:tcW w:w="5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Rockville, MD 20852 (5)</w:t>
            </w: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Courthouse Center</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1970</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1997</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0"/>
              </w:rPr>
              <w:t>38,000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8"/>
        </w:trPr>
        <w:tc>
          <w:tcPr>
            <w:tcW w:w="5600" w:type="dxa"/>
            <w:vAlign w:val="bottom"/>
          </w:tcPr>
          <w:p>
            <w:pPr>
              <w:ind w:left="220"/>
              <w:spacing w:after="0"/>
              <w:rPr>
                <w:sz w:val="20"/>
                <w:szCs w:val="20"/>
                <w:color w:val="auto"/>
              </w:rPr>
            </w:pPr>
            <w:r>
              <w:rPr>
                <w:rFonts w:ascii="Arial" w:cs="Arial" w:eastAsia="Arial" w:hAnsi="Arial"/>
                <w:sz w:val="13"/>
                <w:szCs w:val="13"/>
                <w:color w:val="auto"/>
              </w:rPr>
              <w:t>Rockville, MD 20852 (6)</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Clifton</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1959</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1988</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0"/>
              </w:rPr>
              <w:t>80,000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Drug Fair</w:t>
            </w:r>
          </w:p>
        </w:tc>
      </w:tr>
      <w:tr>
        <w:trPr>
          <w:trHeight w:val="168"/>
        </w:trPr>
        <w:tc>
          <w:tcPr>
            <w:tcW w:w="5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Clifton, NJ 07013 (3)</w:t>
            </w: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Dollar Express</w:t>
            </w: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Crossroads</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1959</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173,000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96%</w:t>
            </w:r>
          </w:p>
        </w:tc>
        <w:tc>
          <w:tcPr>
            <w:tcW w:w="46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Comp USA</w:t>
            </w:r>
          </w:p>
        </w:tc>
      </w:tr>
      <w:tr>
        <w:trPr>
          <w:trHeight w:val="146"/>
        </w:trPr>
        <w:tc>
          <w:tcPr>
            <w:tcW w:w="5600" w:type="dxa"/>
            <w:vAlign w:val="bottom"/>
          </w:tcPr>
          <w:p>
            <w:pPr>
              <w:ind w:left="220"/>
              <w:spacing w:after="0" w:line="146" w:lineRule="exact"/>
              <w:rPr>
                <w:sz w:val="20"/>
                <w:szCs w:val="20"/>
                <w:color w:val="auto"/>
              </w:rPr>
            </w:pPr>
            <w:r>
              <w:rPr>
                <w:rFonts w:ascii="Arial" w:cs="Arial" w:eastAsia="Arial" w:hAnsi="Arial"/>
                <w:sz w:val="13"/>
                <w:szCs w:val="13"/>
                <w:color w:val="auto"/>
              </w:rPr>
              <w:t>Highland Park, IL 60035</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3"/>
                <w:szCs w:val="13"/>
                <w:color w:val="auto"/>
              </w:rPr>
              <w:t>Golfsmith</w:t>
            </w:r>
          </w:p>
        </w:tc>
      </w:tr>
      <w:tr>
        <w:trPr>
          <w:trHeight w:val="155"/>
        </w:trPr>
        <w:tc>
          <w:tcPr>
            <w:tcW w:w="5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Guitar Center</w:t>
            </w: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Dedham</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1959</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241,000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93%</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Pier 1 Imports</w:t>
            </w:r>
          </w:p>
        </w:tc>
      </w:tr>
      <w:tr>
        <w:trPr>
          <w:trHeight w:val="168"/>
        </w:trPr>
        <w:tc>
          <w:tcPr>
            <w:tcW w:w="5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Dedham, MA 02026</w:t>
            </w: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Star Market</w:t>
            </w: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Eastgate</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1963</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1986</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157,000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88%</w:t>
            </w:r>
          </w:p>
        </w:tc>
        <w:tc>
          <w:tcPr>
            <w:tcW w:w="46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Earth Fare</w:t>
            </w:r>
          </w:p>
        </w:tc>
      </w:tr>
      <w:tr>
        <w:trPr>
          <w:trHeight w:val="168"/>
        </w:trPr>
        <w:tc>
          <w:tcPr>
            <w:tcW w:w="5600" w:type="dxa"/>
            <w:vAlign w:val="bottom"/>
          </w:tcPr>
          <w:p>
            <w:pPr>
              <w:ind w:left="220"/>
              <w:spacing w:after="0"/>
              <w:rPr>
                <w:sz w:val="20"/>
                <w:szCs w:val="20"/>
                <w:color w:val="auto"/>
              </w:rPr>
            </w:pPr>
            <w:r>
              <w:rPr>
                <w:rFonts w:ascii="Arial" w:cs="Arial" w:eastAsia="Arial" w:hAnsi="Arial"/>
                <w:sz w:val="13"/>
                <w:szCs w:val="13"/>
                <w:color w:val="auto"/>
              </w:rPr>
              <w:t>Chapel Hill, NC 27514</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Stein Mart</w:t>
            </w: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Ellisburg Circle</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1959</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1992</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267,000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Genuardi’s</w:t>
            </w:r>
          </w:p>
        </w:tc>
      </w:tr>
      <w:tr>
        <w:trPr>
          <w:trHeight w:val="146"/>
        </w:trPr>
        <w:tc>
          <w:tcPr>
            <w:tcW w:w="56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Cherry Hill, NJ 08034</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7"/>
              </w:rPr>
              <w:t>Bed, Bath &amp; Beyond</w:t>
            </w:r>
          </w:p>
        </w:tc>
      </w:tr>
      <w:tr>
        <w:trPr>
          <w:trHeight w:val="155"/>
        </w:trPr>
        <w:tc>
          <w:tcPr>
            <w:tcW w:w="5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Stein Mart</w:t>
            </w: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Falls Plaza</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1962</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1967</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0"/>
              </w:rPr>
              <w:t>73,000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Giant Food</w:t>
            </w:r>
          </w:p>
        </w:tc>
      </w:tr>
      <w:tr>
        <w:trPr>
          <w:trHeight w:val="168"/>
        </w:trPr>
        <w:tc>
          <w:tcPr>
            <w:tcW w:w="5600" w:type="dxa"/>
            <w:vAlign w:val="bottom"/>
          </w:tcPr>
          <w:p>
            <w:pPr>
              <w:ind w:left="220"/>
              <w:spacing w:after="0"/>
              <w:rPr>
                <w:sz w:val="20"/>
                <w:szCs w:val="20"/>
                <w:color w:val="auto"/>
              </w:rPr>
            </w:pPr>
            <w:r>
              <w:rPr>
                <w:rFonts w:ascii="Arial" w:cs="Arial" w:eastAsia="Arial" w:hAnsi="Arial"/>
                <w:sz w:val="13"/>
                <w:szCs w:val="13"/>
                <w:color w:val="auto"/>
              </w:rPr>
              <w:t>Falls Church, VA 22046</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Falls Plaza – East</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1960</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1972</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0"/>
              </w:rPr>
              <w:t>71,000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CVS</w:t>
            </w:r>
          </w:p>
        </w:tc>
      </w:tr>
      <w:tr>
        <w:trPr>
          <w:trHeight w:val="168"/>
        </w:trPr>
        <w:tc>
          <w:tcPr>
            <w:tcW w:w="5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Falls Church, VA 22046</w:t>
            </w: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Staples</w:t>
            </w:r>
          </w:p>
        </w:tc>
      </w:tr>
      <w:tr>
        <w:trPr>
          <w:trHeight w:val="138"/>
        </w:trPr>
        <w:tc>
          <w:tcPr>
            <w:tcW w:w="5600" w:type="dxa"/>
            <w:vAlign w:val="bottom"/>
          </w:tcPr>
          <w:p>
            <w:pPr>
              <w:spacing w:after="0" w:line="138" w:lineRule="exact"/>
              <w:rPr>
                <w:sz w:val="20"/>
                <w:szCs w:val="20"/>
                <w:color w:val="auto"/>
              </w:rPr>
            </w:pPr>
            <w:r>
              <w:rPr>
                <w:rFonts w:ascii="Arial" w:cs="Arial" w:eastAsia="Arial" w:hAnsi="Arial"/>
                <w:sz w:val="13"/>
                <w:szCs w:val="13"/>
                <w:color w:val="auto"/>
              </w:rPr>
              <w:t>Feasterville</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1958</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6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111,000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3"/>
                <w:szCs w:val="13"/>
                <w:color w:val="auto"/>
              </w:rPr>
              <w:t>Genuardi’s</w:t>
            </w:r>
          </w:p>
        </w:tc>
      </w:tr>
      <w:tr>
        <w:trPr>
          <w:trHeight w:val="168"/>
        </w:trPr>
        <w:tc>
          <w:tcPr>
            <w:tcW w:w="5600" w:type="dxa"/>
            <w:vAlign w:val="bottom"/>
          </w:tcPr>
          <w:p>
            <w:pPr>
              <w:ind w:left="220"/>
              <w:spacing w:after="0"/>
              <w:rPr>
                <w:sz w:val="20"/>
                <w:szCs w:val="20"/>
                <w:color w:val="auto"/>
              </w:rPr>
            </w:pPr>
            <w:r>
              <w:rPr>
                <w:rFonts w:ascii="Arial" w:cs="Arial" w:eastAsia="Arial" w:hAnsi="Arial"/>
                <w:sz w:val="13"/>
                <w:szCs w:val="13"/>
                <w:color w:val="auto"/>
              </w:rPr>
              <w:t>Feasterville, PA 19047</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OfficeMax</w:t>
            </w:r>
          </w:p>
        </w:tc>
      </w:tr>
      <w:tr>
        <w:trPr>
          <w:trHeight w:val="138"/>
        </w:trPr>
        <w:tc>
          <w:tcPr>
            <w:tcW w:w="5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Federal Plaza</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1970</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1989</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247,000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Comp USA</w:t>
            </w:r>
          </w:p>
        </w:tc>
      </w:tr>
      <w:tr>
        <w:trPr>
          <w:trHeight w:val="146"/>
        </w:trPr>
        <w:tc>
          <w:tcPr>
            <w:tcW w:w="56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Rockville, MD 20852</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3"/>
              </w:rPr>
              <w:t>Ross Dress For Less</w:t>
            </w:r>
          </w:p>
        </w:tc>
      </w:tr>
      <w:tr>
        <w:trPr>
          <w:trHeight w:val="155"/>
        </w:trPr>
        <w:tc>
          <w:tcPr>
            <w:tcW w:w="5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r>
      <w:tr>
        <w:trPr>
          <w:trHeight w:val="358"/>
        </w:trPr>
        <w:tc>
          <w:tcPr>
            <w:tcW w:w="56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21</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277"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Retail and Residential Properties—continued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Square Feet (1)</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3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60" w:type="dxa"/>
            <w:vAlign w:val="bottom"/>
          </w:tcPr>
          <w:p>
            <w:pPr>
              <w:spacing w:after="0"/>
              <w:rPr>
                <w:sz w:val="12"/>
                <w:szCs w:val="12"/>
                <w:color w:val="auto"/>
              </w:rPr>
            </w:pPr>
          </w:p>
        </w:tc>
        <w:tc>
          <w:tcPr>
            <w:tcW w:w="5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/Apartment</w:t>
            </w:r>
          </w:p>
        </w:tc>
        <w:tc>
          <w:tcPr>
            <w:tcW w:w="4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Percentage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2"/>
        </w:trPr>
        <w:tc>
          <w:tcPr>
            <w:tcW w:w="3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Leased (2)</w:t>
            </w:r>
          </w:p>
        </w:tc>
        <w:tc>
          <w:tcPr>
            <w:tcW w:w="440" w:type="dxa"/>
            <w:vAlign w:val="bottom"/>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3"/>
              </w:rPr>
              <w:t>Principal Tenant(s)</w:t>
            </w:r>
          </w:p>
        </w:tc>
      </w:tr>
      <w:tr>
        <w:trPr>
          <w:trHeight w:val="131"/>
        </w:trPr>
        <w:tc>
          <w:tcPr>
            <w:tcW w:w="36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Finley Square</w:t>
            </w:r>
          </w:p>
        </w:tc>
        <w:tc>
          <w:tcPr>
            <w:tcW w:w="2680" w:type="dxa"/>
            <w:vAlign w:val="bottom"/>
            <w:gridSpan w:val="2"/>
            <w:shd w:val="clear" w:color="auto" w:fill="CCEEFF"/>
          </w:tcPr>
          <w:p>
            <w:pPr>
              <w:jc w:val="center"/>
              <w:ind w:left="1992"/>
              <w:spacing w:after="0" w:line="131" w:lineRule="exact"/>
              <w:rPr>
                <w:sz w:val="20"/>
                <w:szCs w:val="20"/>
                <w:color w:val="auto"/>
              </w:rPr>
            </w:pPr>
            <w:r>
              <w:rPr>
                <w:rFonts w:ascii="Arial" w:cs="Arial" w:eastAsia="Arial" w:hAnsi="Arial"/>
                <w:sz w:val="13"/>
                <w:szCs w:val="13"/>
                <w:color w:val="auto"/>
                <w:w w:val="89"/>
              </w:rPr>
              <w:t>1974</w:t>
            </w:r>
          </w:p>
        </w:tc>
        <w:tc>
          <w:tcPr>
            <w:tcW w:w="1040" w:type="dxa"/>
            <w:vAlign w:val="bottom"/>
            <w:gridSpan w:val="2"/>
            <w:shd w:val="clear" w:color="auto" w:fill="CCEEFF"/>
          </w:tcPr>
          <w:p>
            <w:pPr>
              <w:jc w:val="center"/>
              <w:ind w:left="393"/>
              <w:spacing w:after="0" w:line="131" w:lineRule="exact"/>
              <w:rPr>
                <w:sz w:val="20"/>
                <w:szCs w:val="20"/>
                <w:color w:val="auto"/>
              </w:rPr>
            </w:pPr>
            <w:r>
              <w:rPr>
                <w:rFonts w:ascii="Arial" w:cs="Arial" w:eastAsia="Arial" w:hAnsi="Arial"/>
                <w:sz w:val="13"/>
                <w:szCs w:val="13"/>
                <w:color w:val="auto"/>
                <w:w w:val="89"/>
              </w:rPr>
              <w:t>1995</w:t>
            </w:r>
          </w:p>
        </w:tc>
        <w:tc>
          <w:tcPr>
            <w:tcW w:w="1340" w:type="dxa"/>
            <w:vAlign w:val="bottom"/>
            <w:gridSpan w:val="2"/>
            <w:shd w:val="clear" w:color="auto" w:fill="CCEEFF"/>
          </w:tcPr>
          <w:p>
            <w:pPr>
              <w:jc w:val="center"/>
              <w:ind w:left="393"/>
              <w:spacing w:after="0" w:line="131" w:lineRule="exact"/>
              <w:rPr>
                <w:sz w:val="20"/>
                <w:szCs w:val="20"/>
                <w:color w:val="auto"/>
              </w:rPr>
            </w:pPr>
            <w:r>
              <w:rPr>
                <w:rFonts w:ascii="Arial" w:cs="Arial" w:eastAsia="Arial" w:hAnsi="Arial"/>
                <w:sz w:val="13"/>
                <w:szCs w:val="13"/>
                <w:color w:val="auto"/>
                <w:w w:val="93"/>
              </w:rPr>
              <w:t>314,000</w:t>
            </w:r>
          </w:p>
        </w:tc>
        <w:tc>
          <w:tcPr>
            <w:tcW w:w="112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92"/>
              </w:rPr>
              <w:t>99%</w:t>
            </w:r>
          </w:p>
        </w:tc>
        <w:tc>
          <w:tcPr>
            <w:tcW w:w="1600" w:type="dxa"/>
            <w:vAlign w:val="bottom"/>
            <w:gridSpan w:val="2"/>
            <w:shd w:val="clear" w:color="auto" w:fill="CCEEFF"/>
          </w:tcPr>
          <w:p>
            <w:pPr>
              <w:ind w:left="440"/>
              <w:spacing w:after="0" w:line="131" w:lineRule="exact"/>
              <w:rPr>
                <w:sz w:val="20"/>
                <w:szCs w:val="20"/>
                <w:color w:val="auto"/>
              </w:rPr>
            </w:pPr>
            <w:r>
              <w:rPr>
                <w:rFonts w:ascii="Arial" w:cs="Arial" w:eastAsia="Arial" w:hAnsi="Arial"/>
                <w:sz w:val="13"/>
                <w:szCs w:val="13"/>
                <w:color w:val="auto"/>
                <w:w w:val="97"/>
              </w:rPr>
              <w:t>Bed, Bath &amp; Beyond</w:t>
            </w:r>
          </w:p>
        </w:tc>
      </w:tr>
      <w:tr>
        <w:trPr>
          <w:trHeight w:val="155"/>
        </w:trPr>
        <w:tc>
          <w:tcPr>
            <w:tcW w:w="3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Downers Grove, IL 60515</w:t>
            </w: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Sports Authority</w:t>
            </w: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Flourtown</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1957</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187,000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54%</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Genuardi’s</w:t>
            </w:r>
          </w:p>
        </w:tc>
      </w:tr>
      <w:tr>
        <w:trPr>
          <w:trHeight w:val="155"/>
        </w:trPr>
        <w:tc>
          <w:tcPr>
            <w:tcW w:w="3640" w:type="dxa"/>
            <w:vAlign w:val="bottom"/>
          </w:tcPr>
          <w:p>
            <w:pPr>
              <w:ind w:left="220"/>
              <w:spacing w:after="0"/>
              <w:rPr>
                <w:sz w:val="20"/>
                <w:szCs w:val="20"/>
                <w:color w:val="auto"/>
              </w:rPr>
            </w:pPr>
            <w:r>
              <w:rPr>
                <w:rFonts w:ascii="Arial" w:cs="Arial" w:eastAsia="Arial" w:hAnsi="Arial"/>
                <w:sz w:val="13"/>
                <w:szCs w:val="13"/>
                <w:color w:val="auto"/>
              </w:rPr>
              <w:t>Flourtown, PA 19031</w:t>
            </w: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Forest Hills</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93"/>
              </w:rPr>
              <w:t>1937-1987</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1997</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86,000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Midway Theatre</w:t>
            </w:r>
          </w:p>
        </w:tc>
      </w:tr>
      <w:tr>
        <w:trPr>
          <w:trHeight w:val="146"/>
        </w:trPr>
        <w:tc>
          <w:tcPr>
            <w:tcW w:w="36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Forest Hills, NY</w:t>
            </w:r>
          </w:p>
        </w:tc>
        <w:tc>
          <w:tcPr>
            <w:tcW w:w="2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Duane Reade</w:t>
            </w:r>
          </w:p>
        </w:tc>
      </w:tr>
      <w:tr>
        <w:trPr>
          <w:trHeight w:val="155"/>
        </w:trPr>
        <w:tc>
          <w:tcPr>
            <w:tcW w:w="36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Gap</w:t>
            </w: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Friendship Center</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1998</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2001</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119,000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Maggiano’s</w:t>
            </w:r>
          </w:p>
        </w:tc>
      </w:tr>
      <w:tr>
        <w:trPr>
          <w:trHeight w:val="146"/>
        </w:trPr>
        <w:tc>
          <w:tcPr>
            <w:tcW w:w="3640" w:type="dxa"/>
            <w:vAlign w:val="bottom"/>
          </w:tcPr>
          <w:p>
            <w:pPr>
              <w:ind w:left="220"/>
              <w:spacing w:after="0" w:line="146" w:lineRule="exact"/>
              <w:rPr>
                <w:sz w:val="20"/>
                <w:szCs w:val="20"/>
                <w:color w:val="auto"/>
              </w:rPr>
            </w:pPr>
            <w:r>
              <w:rPr>
                <w:rFonts w:ascii="Arial" w:cs="Arial" w:eastAsia="Arial" w:hAnsi="Arial"/>
                <w:sz w:val="13"/>
                <w:szCs w:val="13"/>
                <w:color w:val="auto"/>
              </w:rPr>
              <w:t>Washington, D.C 20015</w:t>
            </w: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Borders Books</w:t>
            </w:r>
          </w:p>
        </w:tc>
      </w:tr>
      <w:tr>
        <w:trPr>
          <w:trHeight w:val="155"/>
        </w:trPr>
        <w:tc>
          <w:tcPr>
            <w:tcW w:w="3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rPr>
              <w:t>Linens ‘n Things</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Fresh Meadows</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1949</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1997</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403,000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95%</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Cineplex Odeon</w:t>
            </w:r>
          </w:p>
        </w:tc>
      </w:tr>
      <w:tr>
        <w:trPr>
          <w:trHeight w:val="146"/>
        </w:trPr>
        <w:tc>
          <w:tcPr>
            <w:tcW w:w="36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Queens, NY 11365</w:t>
            </w:r>
          </w:p>
        </w:tc>
        <w:tc>
          <w:tcPr>
            <w:tcW w:w="2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Filene’s Basement</w:t>
            </w:r>
          </w:p>
        </w:tc>
      </w:tr>
      <w:tr>
        <w:trPr>
          <w:trHeight w:val="155"/>
        </w:trPr>
        <w:tc>
          <w:tcPr>
            <w:tcW w:w="36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Kohl’s</w:t>
            </w: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Gaithersburg Square</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1966</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196,000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95%</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w w:val="97"/>
              </w:rPr>
              <w:t>Bed, Bath &amp; Beyond</w:t>
            </w:r>
          </w:p>
        </w:tc>
      </w:tr>
      <w:tr>
        <w:trPr>
          <w:trHeight w:val="146"/>
        </w:trPr>
        <w:tc>
          <w:tcPr>
            <w:tcW w:w="3640" w:type="dxa"/>
            <w:vAlign w:val="bottom"/>
          </w:tcPr>
          <w:p>
            <w:pPr>
              <w:ind w:left="220"/>
              <w:spacing w:after="0" w:line="146" w:lineRule="exact"/>
              <w:rPr>
                <w:sz w:val="20"/>
                <w:szCs w:val="20"/>
                <w:color w:val="auto"/>
              </w:rPr>
            </w:pPr>
            <w:r>
              <w:rPr>
                <w:rFonts w:ascii="Arial" w:cs="Arial" w:eastAsia="Arial" w:hAnsi="Arial"/>
                <w:sz w:val="13"/>
                <w:szCs w:val="13"/>
                <w:color w:val="auto"/>
              </w:rPr>
              <w:t>Gaithersburg, MD 20878</w:t>
            </w: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Borders Books and</w:t>
            </w:r>
          </w:p>
        </w:tc>
      </w:tr>
      <w:tr>
        <w:trPr>
          <w:trHeight w:val="146"/>
        </w:trPr>
        <w:tc>
          <w:tcPr>
            <w:tcW w:w="3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Music</w:t>
            </w:r>
          </w:p>
        </w:tc>
      </w:tr>
      <w:tr>
        <w:trPr>
          <w:trHeight w:val="155"/>
        </w:trPr>
        <w:tc>
          <w:tcPr>
            <w:tcW w:w="3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w w:val="93"/>
              </w:rPr>
              <w:t>Ross Dress For Less</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Garden Market</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1958</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1994</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140,000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96%</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Dominick’s</w:t>
            </w:r>
          </w:p>
        </w:tc>
      </w:tr>
      <w:tr>
        <w:trPr>
          <w:trHeight w:val="155"/>
        </w:trPr>
        <w:tc>
          <w:tcPr>
            <w:tcW w:w="3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Western Springs, IL 60558</w:t>
            </w: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Walgreens</w:t>
            </w: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Governor Plaza</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1963</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1985</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268,000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80%</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Office Depot</w:t>
            </w:r>
          </w:p>
        </w:tc>
      </w:tr>
      <w:tr>
        <w:trPr>
          <w:trHeight w:val="146"/>
        </w:trPr>
        <w:tc>
          <w:tcPr>
            <w:tcW w:w="3640" w:type="dxa"/>
            <w:vAlign w:val="bottom"/>
          </w:tcPr>
          <w:p>
            <w:pPr>
              <w:ind w:left="220"/>
              <w:spacing w:after="0" w:line="146" w:lineRule="exact"/>
              <w:rPr>
                <w:sz w:val="20"/>
                <w:szCs w:val="20"/>
                <w:color w:val="auto"/>
              </w:rPr>
            </w:pPr>
            <w:r>
              <w:rPr>
                <w:rFonts w:ascii="Arial" w:cs="Arial" w:eastAsia="Arial" w:hAnsi="Arial"/>
                <w:sz w:val="13"/>
                <w:szCs w:val="13"/>
                <w:color w:val="auto"/>
              </w:rPr>
              <w:t>Glen Burnie, MD 21961</w:t>
            </w: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Comp USA</w:t>
            </w:r>
          </w:p>
        </w:tc>
      </w:tr>
      <w:tr>
        <w:trPr>
          <w:trHeight w:val="155"/>
        </w:trPr>
        <w:tc>
          <w:tcPr>
            <w:tcW w:w="3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w w:val="98"/>
              </w:rPr>
              <w:t>Bally’s Total Fitness</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Gratiot Plaza</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1964</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1973</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217,000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w w:val="97"/>
              </w:rPr>
              <w:t>Bed, Bath &amp; Beyond</w:t>
            </w:r>
          </w:p>
        </w:tc>
      </w:tr>
      <w:tr>
        <w:trPr>
          <w:trHeight w:val="146"/>
        </w:trPr>
        <w:tc>
          <w:tcPr>
            <w:tcW w:w="36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Roseville, MI 48066</w:t>
            </w:r>
          </w:p>
        </w:tc>
        <w:tc>
          <w:tcPr>
            <w:tcW w:w="2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Best Buy</w:t>
            </w:r>
          </w:p>
        </w:tc>
      </w:tr>
      <w:tr>
        <w:trPr>
          <w:trHeight w:val="146"/>
        </w:trPr>
        <w:tc>
          <w:tcPr>
            <w:tcW w:w="36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Farmer Jacks</w:t>
            </w:r>
          </w:p>
        </w:tc>
      </w:tr>
      <w:tr>
        <w:trPr>
          <w:trHeight w:val="155"/>
        </w:trPr>
        <w:tc>
          <w:tcPr>
            <w:tcW w:w="36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DSW</w:t>
            </w: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Greenlawn Plaza</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1975</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2000</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102,000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Waldbaum’s</w:t>
            </w:r>
          </w:p>
        </w:tc>
      </w:tr>
      <w:tr>
        <w:trPr>
          <w:trHeight w:val="155"/>
        </w:trPr>
        <w:tc>
          <w:tcPr>
            <w:tcW w:w="3640" w:type="dxa"/>
            <w:vAlign w:val="bottom"/>
          </w:tcPr>
          <w:p>
            <w:pPr>
              <w:ind w:left="220"/>
              <w:spacing w:after="0"/>
              <w:rPr>
                <w:sz w:val="20"/>
                <w:szCs w:val="20"/>
                <w:color w:val="auto"/>
              </w:rPr>
            </w:pPr>
            <w:r>
              <w:rPr>
                <w:rFonts w:ascii="Arial" w:cs="Arial" w:eastAsia="Arial" w:hAnsi="Arial"/>
                <w:sz w:val="13"/>
                <w:szCs w:val="13"/>
                <w:color w:val="auto"/>
              </w:rPr>
              <w:t>Greenlawn, NY 11740</w:t>
            </w: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Greenwich Avenue</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1995</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1994-1996</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42,000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Saks Fifth Avenue</w:t>
            </w:r>
          </w:p>
        </w:tc>
      </w:tr>
      <w:tr>
        <w:trPr>
          <w:trHeight w:val="155"/>
        </w:trPr>
        <w:tc>
          <w:tcPr>
            <w:tcW w:w="3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Greenwich Avenue, CT</w:t>
            </w: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Hamilton</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1961</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1988</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190,000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94%</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Shop Rite</w:t>
            </w:r>
          </w:p>
        </w:tc>
      </w:tr>
      <w:tr>
        <w:trPr>
          <w:trHeight w:val="146"/>
        </w:trPr>
        <w:tc>
          <w:tcPr>
            <w:tcW w:w="3640" w:type="dxa"/>
            <w:vAlign w:val="bottom"/>
          </w:tcPr>
          <w:p>
            <w:pPr>
              <w:ind w:left="220"/>
              <w:spacing w:after="0" w:line="146" w:lineRule="exact"/>
              <w:rPr>
                <w:sz w:val="20"/>
                <w:szCs w:val="20"/>
                <w:color w:val="auto"/>
              </w:rPr>
            </w:pPr>
            <w:r>
              <w:rPr>
                <w:rFonts w:ascii="Arial" w:cs="Arial" w:eastAsia="Arial" w:hAnsi="Arial"/>
                <w:sz w:val="13"/>
                <w:szCs w:val="13"/>
                <w:color w:val="auto"/>
              </w:rPr>
              <w:t>Hamilton, NJ 08690 (3)</w:t>
            </w: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Stevens Furniture</w:t>
            </w:r>
          </w:p>
        </w:tc>
      </w:tr>
      <w:tr>
        <w:trPr>
          <w:trHeight w:val="155"/>
        </w:trPr>
        <w:tc>
          <w:tcPr>
            <w:tcW w:w="3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rPr>
              <w:t>A.C. Moore</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Hauppauge</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1963</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1998</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131,000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Shop Rite</w:t>
            </w:r>
          </w:p>
        </w:tc>
      </w:tr>
      <w:tr>
        <w:trPr>
          <w:trHeight w:val="155"/>
        </w:trPr>
        <w:tc>
          <w:tcPr>
            <w:tcW w:w="3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Hauppauge, NY 11788</w:t>
            </w: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A.C. Moore</w:t>
            </w: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Huntington</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1962</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1988</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279,000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Barnes &amp; Noble</w:t>
            </w:r>
          </w:p>
        </w:tc>
      </w:tr>
      <w:tr>
        <w:trPr>
          <w:trHeight w:val="146"/>
        </w:trPr>
        <w:tc>
          <w:tcPr>
            <w:tcW w:w="3640" w:type="dxa"/>
            <w:vAlign w:val="bottom"/>
          </w:tcPr>
          <w:p>
            <w:pPr>
              <w:ind w:left="220"/>
              <w:spacing w:after="0" w:line="146" w:lineRule="exact"/>
              <w:rPr>
                <w:sz w:val="20"/>
                <w:szCs w:val="20"/>
                <w:color w:val="auto"/>
              </w:rPr>
            </w:pPr>
            <w:r>
              <w:rPr>
                <w:rFonts w:ascii="Arial" w:cs="Arial" w:eastAsia="Arial" w:hAnsi="Arial"/>
                <w:sz w:val="13"/>
                <w:szCs w:val="13"/>
                <w:color w:val="auto"/>
              </w:rPr>
              <w:t>Huntington, NY 11746 (3)</w:t>
            </w: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w w:val="97"/>
              </w:rPr>
              <w:t>Bed, Bath &amp; Beyond</w:t>
            </w:r>
          </w:p>
        </w:tc>
      </w:tr>
      <w:tr>
        <w:trPr>
          <w:trHeight w:val="146"/>
        </w:trPr>
        <w:tc>
          <w:tcPr>
            <w:tcW w:w="3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Buy Buy Baby</w:t>
            </w:r>
          </w:p>
        </w:tc>
      </w:tr>
      <w:tr>
        <w:trPr>
          <w:trHeight w:val="155"/>
        </w:trPr>
        <w:tc>
          <w:tcPr>
            <w:tcW w:w="3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rPr>
              <w:t>Toys R Us</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Idylwood Plaza</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1991</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1994</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73,000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Whole Foods</w:t>
            </w:r>
          </w:p>
        </w:tc>
      </w:tr>
      <w:tr>
        <w:trPr>
          <w:trHeight w:val="155"/>
        </w:trPr>
        <w:tc>
          <w:tcPr>
            <w:tcW w:w="3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Falls Church, VA 22030</w:t>
            </w: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Lancaster</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1958</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107,000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Giant Food</w:t>
            </w:r>
          </w:p>
        </w:tc>
      </w:tr>
      <w:tr>
        <w:trPr>
          <w:trHeight w:val="155"/>
        </w:trPr>
        <w:tc>
          <w:tcPr>
            <w:tcW w:w="3640" w:type="dxa"/>
            <w:vAlign w:val="bottom"/>
          </w:tcPr>
          <w:p>
            <w:pPr>
              <w:ind w:left="220"/>
              <w:spacing w:after="0"/>
              <w:rPr>
                <w:sz w:val="20"/>
                <w:szCs w:val="20"/>
                <w:color w:val="auto"/>
              </w:rPr>
            </w:pPr>
            <w:r>
              <w:rPr>
                <w:rFonts w:ascii="Arial" w:cs="Arial" w:eastAsia="Arial" w:hAnsi="Arial"/>
                <w:sz w:val="13"/>
                <w:szCs w:val="13"/>
                <w:color w:val="auto"/>
              </w:rPr>
              <w:t>Lancaster, PA 17601 (3)</w:t>
            </w: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rPr>
              <w:t>Michaels</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Langhorne Square</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1966</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1985</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216,000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89%</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Marshalls</w:t>
            </w:r>
          </w:p>
        </w:tc>
      </w:tr>
      <w:tr>
        <w:trPr>
          <w:trHeight w:val="155"/>
        </w:trPr>
        <w:tc>
          <w:tcPr>
            <w:tcW w:w="3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Levittown, PA 19056</w:t>
            </w: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Redner’s Market</w:t>
            </w: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Laurel Centre</w:t>
            </w:r>
          </w:p>
        </w:tc>
        <w:tc>
          <w:tcPr>
            <w:tcW w:w="2680" w:type="dxa"/>
            <w:vAlign w:val="bottom"/>
            <w:gridSpan w:val="2"/>
          </w:tcPr>
          <w:p>
            <w:pPr>
              <w:jc w:val="center"/>
              <w:ind w:left="1992"/>
              <w:spacing w:after="0" w:line="138" w:lineRule="exact"/>
              <w:rPr>
                <w:sz w:val="20"/>
                <w:szCs w:val="20"/>
                <w:color w:val="auto"/>
              </w:rPr>
            </w:pPr>
            <w:r>
              <w:rPr>
                <w:rFonts w:ascii="Arial" w:cs="Arial" w:eastAsia="Arial" w:hAnsi="Arial"/>
                <w:sz w:val="13"/>
                <w:szCs w:val="13"/>
                <w:color w:val="auto"/>
                <w:w w:val="89"/>
              </w:rPr>
              <w:t>1956</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1986</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387,000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97%</w:t>
            </w: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Giant Food</w:t>
            </w:r>
          </w:p>
        </w:tc>
      </w:tr>
      <w:tr>
        <w:trPr>
          <w:trHeight w:val="146"/>
        </w:trPr>
        <w:tc>
          <w:tcPr>
            <w:tcW w:w="3640" w:type="dxa"/>
            <w:vAlign w:val="bottom"/>
          </w:tcPr>
          <w:p>
            <w:pPr>
              <w:ind w:left="220"/>
              <w:spacing w:after="0" w:line="146" w:lineRule="exact"/>
              <w:rPr>
                <w:sz w:val="20"/>
                <w:szCs w:val="20"/>
                <w:color w:val="auto"/>
              </w:rPr>
            </w:pPr>
            <w:r>
              <w:rPr>
                <w:rFonts w:ascii="Arial" w:cs="Arial" w:eastAsia="Arial" w:hAnsi="Arial"/>
                <w:sz w:val="13"/>
                <w:szCs w:val="13"/>
                <w:color w:val="auto"/>
              </w:rPr>
              <w:t>Laurel, MD 20707</w:t>
            </w: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ind w:left="440"/>
              <w:spacing w:after="0" w:line="146" w:lineRule="exact"/>
              <w:rPr>
                <w:sz w:val="20"/>
                <w:szCs w:val="20"/>
                <w:color w:val="auto"/>
              </w:rPr>
            </w:pPr>
            <w:r>
              <w:rPr>
                <w:rFonts w:ascii="Arial" w:cs="Arial" w:eastAsia="Arial" w:hAnsi="Arial"/>
                <w:sz w:val="13"/>
                <w:szCs w:val="13"/>
                <w:color w:val="auto"/>
              </w:rPr>
              <w:t>Marshalls</w:t>
            </w:r>
          </w:p>
        </w:tc>
      </w:tr>
      <w:tr>
        <w:trPr>
          <w:trHeight w:val="155"/>
        </w:trPr>
        <w:tc>
          <w:tcPr>
            <w:tcW w:w="3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Arial" w:cs="Arial" w:eastAsia="Arial" w:hAnsi="Arial"/>
                <w:sz w:val="13"/>
                <w:szCs w:val="13"/>
                <w:color w:val="auto"/>
              </w:rPr>
              <w:t>Toys R Us</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Lawrence Park</w:t>
            </w:r>
          </w:p>
        </w:tc>
        <w:tc>
          <w:tcPr>
            <w:tcW w:w="2680" w:type="dxa"/>
            <w:vAlign w:val="bottom"/>
            <w:gridSpan w:val="2"/>
            <w:shd w:val="clear" w:color="auto" w:fill="CCEEFF"/>
          </w:tcPr>
          <w:p>
            <w:pPr>
              <w:jc w:val="center"/>
              <w:ind w:left="1992"/>
              <w:spacing w:after="0" w:line="138" w:lineRule="exact"/>
              <w:rPr>
                <w:sz w:val="20"/>
                <w:szCs w:val="20"/>
                <w:color w:val="auto"/>
              </w:rPr>
            </w:pPr>
            <w:r>
              <w:rPr>
                <w:rFonts w:ascii="Arial" w:cs="Arial" w:eastAsia="Arial" w:hAnsi="Arial"/>
                <w:sz w:val="13"/>
                <w:szCs w:val="13"/>
                <w:color w:val="auto"/>
                <w:w w:val="89"/>
              </w:rPr>
              <w:t>1972</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354,000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16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Acme Markets</w:t>
            </w:r>
          </w:p>
        </w:tc>
      </w:tr>
      <w:tr>
        <w:trPr>
          <w:trHeight w:val="146"/>
        </w:trPr>
        <w:tc>
          <w:tcPr>
            <w:tcW w:w="36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Broomall, PA 19008</w:t>
            </w:r>
          </w:p>
        </w:tc>
        <w:tc>
          <w:tcPr>
            <w:tcW w:w="2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TJ Maxx</w:t>
            </w:r>
          </w:p>
        </w:tc>
      </w:tr>
      <w:tr>
        <w:trPr>
          <w:trHeight w:val="146"/>
        </w:trPr>
        <w:tc>
          <w:tcPr>
            <w:tcW w:w="36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440"/>
              <w:spacing w:after="0" w:line="146" w:lineRule="exact"/>
              <w:rPr>
                <w:sz w:val="20"/>
                <w:szCs w:val="20"/>
                <w:color w:val="auto"/>
              </w:rPr>
            </w:pPr>
            <w:r>
              <w:rPr>
                <w:rFonts w:ascii="Arial" w:cs="Arial" w:eastAsia="Arial" w:hAnsi="Arial"/>
                <w:sz w:val="13"/>
                <w:szCs w:val="13"/>
                <w:color w:val="auto"/>
              </w:rPr>
              <w:t>CHI</w:t>
            </w:r>
          </w:p>
        </w:tc>
      </w:tr>
      <w:tr>
        <w:trPr>
          <w:trHeight w:val="155"/>
        </w:trPr>
        <w:tc>
          <w:tcPr>
            <w:tcW w:w="36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CVS</w:t>
            </w:r>
          </w:p>
        </w:tc>
      </w:tr>
      <w:tr>
        <w:trPr>
          <w:trHeight w:val="358"/>
        </w:trPr>
        <w:tc>
          <w:tcPr>
            <w:tcW w:w="3640" w:type="dxa"/>
            <w:vAlign w:val="bottom"/>
          </w:tcPr>
          <w:p>
            <w:pPr>
              <w:spacing w:after="0"/>
              <w:rPr>
                <w:sz w:val="24"/>
                <w:szCs w:val="24"/>
                <w:color w:val="auto"/>
              </w:rPr>
            </w:pPr>
          </w:p>
        </w:tc>
        <w:tc>
          <w:tcPr>
            <w:tcW w:w="2680" w:type="dxa"/>
            <w:vAlign w:val="bottom"/>
            <w:gridSpan w:val="2"/>
          </w:tcPr>
          <w:p>
            <w:pPr>
              <w:jc w:val="right"/>
              <w:ind w:right="453"/>
              <w:spacing w:after="0"/>
              <w:rPr>
                <w:sz w:val="20"/>
                <w:szCs w:val="20"/>
                <w:color w:val="auto"/>
              </w:rPr>
            </w:pPr>
            <w:r>
              <w:rPr>
                <w:rFonts w:ascii="Arial" w:cs="Arial" w:eastAsia="Arial" w:hAnsi="Arial"/>
                <w:sz w:val="17"/>
                <w:szCs w:val="17"/>
                <w:color w:val="auto"/>
              </w:rPr>
              <w:t>22</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277" w:right="239" w:bottom="1440" w:gutter="0" w:footer="0" w:header="0"/>
        </w:sectPr>
      </w:pPr>
    </w:p>
    <w:bookmarkStart w:id="22" w:name="page23"/>
    <w:bookmarkEnd w:id="2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Retail and Residential Properties—continued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Square</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46"/>
        </w:trPr>
        <w:tc>
          <w:tcPr>
            <w:tcW w:w="3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Feet (1)</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6"/>
        </w:trPr>
        <w:tc>
          <w:tcPr>
            <w:tcW w:w="3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Year</w:t>
            </w:r>
          </w:p>
        </w:tc>
        <w:tc>
          <w:tcPr>
            <w:tcW w:w="46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4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Percentage</w:t>
            </w: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2"/>
        </w:trPr>
        <w:tc>
          <w:tcPr>
            <w:tcW w:w="3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Completed</w:t>
            </w:r>
          </w:p>
        </w:tc>
        <w:tc>
          <w:tcPr>
            <w:tcW w:w="4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Leased (2)</w:t>
            </w:r>
          </w:p>
        </w:tc>
        <w:tc>
          <w:tcPr>
            <w:tcW w:w="460" w:type="dxa"/>
            <w:vAlign w:val="bottom"/>
          </w:tcPr>
          <w:p>
            <w:pPr>
              <w:spacing w:after="0"/>
              <w:rPr>
                <w:sz w:val="14"/>
                <w:szCs w:val="14"/>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Principal Tenant(s)</w:t>
            </w:r>
          </w:p>
        </w:tc>
      </w:tr>
      <w:tr>
        <w:trPr>
          <w:trHeight w:val="131"/>
        </w:trPr>
        <w:tc>
          <w:tcPr>
            <w:tcW w:w="37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Leesburg Plaza</w:t>
            </w:r>
          </w:p>
        </w:tc>
        <w:tc>
          <w:tcPr>
            <w:tcW w:w="2620" w:type="dxa"/>
            <w:vAlign w:val="bottom"/>
            <w:gridSpan w:val="2"/>
            <w:shd w:val="clear" w:color="auto" w:fill="CCEEFF"/>
          </w:tcPr>
          <w:p>
            <w:pPr>
              <w:jc w:val="center"/>
              <w:ind w:left="1912"/>
              <w:spacing w:after="0" w:line="131" w:lineRule="exact"/>
              <w:rPr>
                <w:sz w:val="20"/>
                <w:szCs w:val="20"/>
                <w:color w:val="auto"/>
              </w:rPr>
            </w:pPr>
            <w:r>
              <w:rPr>
                <w:rFonts w:ascii="Arial" w:cs="Arial" w:eastAsia="Arial" w:hAnsi="Arial"/>
                <w:sz w:val="13"/>
                <w:szCs w:val="13"/>
                <w:color w:val="auto"/>
                <w:w w:val="96"/>
              </w:rPr>
              <w:t>1967</w:t>
            </w:r>
          </w:p>
        </w:tc>
        <w:tc>
          <w:tcPr>
            <w:tcW w:w="1000" w:type="dxa"/>
            <w:vAlign w:val="bottom"/>
            <w:gridSpan w:val="2"/>
            <w:shd w:val="clear" w:color="auto" w:fill="CCEEFF"/>
          </w:tcPr>
          <w:p>
            <w:pPr>
              <w:jc w:val="center"/>
              <w:ind w:left="393"/>
              <w:spacing w:after="0" w:line="131" w:lineRule="exact"/>
              <w:rPr>
                <w:sz w:val="20"/>
                <w:szCs w:val="20"/>
                <w:color w:val="auto"/>
              </w:rPr>
            </w:pPr>
            <w:r>
              <w:rPr>
                <w:rFonts w:ascii="Arial" w:cs="Arial" w:eastAsia="Arial" w:hAnsi="Arial"/>
                <w:sz w:val="13"/>
                <w:szCs w:val="13"/>
                <w:color w:val="auto"/>
                <w:w w:val="89"/>
              </w:rPr>
              <w:t>1998</w:t>
            </w:r>
          </w:p>
        </w:tc>
        <w:tc>
          <w:tcPr>
            <w:tcW w:w="1140" w:type="dxa"/>
            <w:vAlign w:val="bottom"/>
            <w:gridSpan w:val="2"/>
            <w:shd w:val="clear" w:color="auto" w:fill="CCEEFF"/>
          </w:tcPr>
          <w:p>
            <w:pPr>
              <w:jc w:val="center"/>
              <w:ind w:left="393"/>
              <w:spacing w:after="0" w:line="131" w:lineRule="exact"/>
              <w:rPr>
                <w:sz w:val="20"/>
                <w:szCs w:val="20"/>
                <w:color w:val="auto"/>
              </w:rPr>
            </w:pPr>
            <w:r>
              <w:rPr>
                <w:rFonts w:ascii="Arial" w:cs="Arial" w:eastAsia="Arial" w:hAnsi="Arial"/>
                <w:sz w:val="13"/>
                <w:szCs w:val="13"/>
                <w:color w:val="auto"/>
                <w:w w:val="93"/>
              </w:rPr>
              <w:t>236,000</w:t>
            </w:r>
          </w:p>
        </w:tc>
        <w:tc>
          <w:tcPr>
            <w:tcW w:w="112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92"/>
              </w:rPr>
              <w:t>95%</w:t>
            </w:r>
          </w:p>
        </w:tc>
        <w:tc>
          <w:tcPr>
            <w:tcW w:w="1820" w:type="dxa"/>
            <w:vAlign w:val="bottom"/>
            <w:gridSpan w:val="2"/>
            <w:shd w:val="clear" w:color="auto" w:fill="CCEEFF"/>
          </w:tcPr>
          <w:p>
            <w:pPr>
              <w:ind w:left="460"/>
              <w:spacing w:after="0" w:line="131" w:lineRule="exact"/>
              <w:rPr>
                <w:sz w:val="20"/>
                <w:szCs w:val="20"/>
                <w:color w:val="auto"/>
              </w:rPr>
            </w:pPr>
            <w:r>
              <w:rPr>
                <w:rFonts w:ascii="Arial" w:cs="Arial" w:eastAsia="Arial" w:hAnsi="Arial"/>
                <w:sz w:val="13"/>
                <w:szCs w:val="13"/>
                <w:color w:val="auto"/>
              </w:rPr>
              <w:t>Giant Food</w:t>
            </w:r>
          </w:p>
        </w:tc>
      </w:tr>
      <w:tr>
        <w:trPr>
          <w:trHeight w:val="146"/>
        </w:trPr>
        <w:tc>
          <w:tcPr>
            <w:tcW w:w="37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Leesburg, VA 20176 (6)</w:t>
            </w: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Pier 1 Imports</w:t>
            </w:r>
          </w:p>
        </w:tc>
      </w:tr>
      <w:tr>
        <w:trPr>
          <w:trHeight w:val="155"/>
        </w:trPr>
        <w:tc>
          <w:tcPr>
            <w:tcW w:w="37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Office Depot</w:t>
            </w: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Loehmann’s Plaza</w:t>
            </w:r>
          </w:p>
        </w:tc>
        <w:tc>
          <w:tcPr>
            <w:tcW w:w="2620" w:type="dxa"/>
            <w:vAlign w:val="bottom"/>
            <w:gridSpan w:val="2"/>
          </w:tcPr>
          <w:p>
            <w:pPr>
              <w:jc w:val="center"/>
              <w:ind w:left="1912"/>
              <w:spacing w:after="0" w:line="138" w:lineRule="exact"/>
              <w:rPr>
                <w:sz w:val="20"/>
                <w:szCs w:val="20"/>
                <w:color w:val="auto"/>
              </w:rPr>
            </w:pPr>
            <w:r>
              <w:rPr>
                <w:rFonts w:ascii="Arial" w:cs="Arial" w:eastAsia="Arial" w:hAnsi="Arial"/>
                <w:sz w:val="13"/>
                <w:szCs w:val="13"/>
                <w:color w:val="auto"/>
                <w:w w:val="96"/>
              </w:rPr>
              <w:t>1971</w:t>
            </w:r>
          </w:p>
        </w:tc>
        <w:tc>
          <w:tcPr>
            <w:tcW w:w="10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1983</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251,000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98%</w:t>
            </w:r>
          </w:p>
        </w:tc>
        <w:tc>
          <w:tcPr>
            <w:tcW w:w="1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Bally’s Total Fitness</w:t>
            </w:r>
          </w:p>
        </w:tc>
      </w:tr>
      <w:tr>
        <w:trPr>
          <w:trHeight w:val="146"/>
        </w:trPr>
        <w:tc>
          <w:tcPr>
            <w:tcW w:w="3720" w:type="dxa"/>
            <w:vAlign w:val="bottom"/>
          </w:tcPr>
          <w:p>
            <w:pPr>
              <w:ind w:left="220"/>
              <w:spacing w:after="0" w:line="146" w:lineRule="exact"/>
              <w:rPr>
                <w:sz w:val="20"/>
                <w:szCs w:val="20"/>
                <w:color w:val="auto"/>
              </w:rPr>
            </w:pPr>
            <w:r>
              <w:rPr>
                <w:rFonts w:ascii="Arial" w:cs="Arial" w:eastAsia="Arial" w:hAnsi="Arial"/>
                <w:sz w:val="13"/>
                <w:szCs w:val="13"/>
                <w:color w:val="auto"/>
              </w:rPr>
              <w:t>Fairfax, VA 22042</w:t>
            </w: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Loehmann’s Dress</w:t>
            </w:r>
          </w:p>
        </w:tc>
      </w:tr>
      <w:tr>
        <w:trPr>
          <w:trHeight w:val="155"/>
        </w:trPr>
        <w:tc>
          <w:tcPr>
            <w:tcW w:w="3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2"/>
          </w:tcPr>
          <w:p>
            <w:pPr>
              <w:ind w:left="460"/>
              <w:spacing w:after="0"/>
              <w:rPr>
                <w:sz w:val="20"/>
                <w:szCs w:val="20"/>
                <w:color w:val="auto"/>
              </w:rPr>
            </w:pPr>
            <w:r>
              <w:rPr>
                <w:rFonts w:ascii="Arial" w:cs="Arial" w:eastAsia="Arial" w:hAnsi="Arial"/>
                <w:sz w:val="13"/>
                <w:szCs w:val="13"/>
                <w:color w:val="auto"/>
              </w:rPr>
              <w:t>Shop</w:t>
            </w: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Mercer Mall</w:t>
            </w:r>
          </w:p>
        </w:tc>
        <w:tc>
          <w:tcPr>
            <w:tcW w:w="2620" w:type="dxa"/>
            <w:vAlign w:val="bottom"/>
            <w:gridSpan w:val="2"/>
            <w:shd w:val="clear" w:color="auto" w:fill="CCEEFF"/>
          </w:tcPr>
          <w:p>
            <w:pPr>
              <w:jc w:val="center"/>
              <w:ind w:left="1912"/>
              <w:spacing w:after="0" w:line="138" w:lineRule="exact"/>
              <w:rPr>
                <w:sz w:val="20"/>
                <w:szCs w:val="20"/>
                <w:color w:val="auto"/>
              </w:rPr>
            </w:pPr>
            <w:r>
              <w:rPr>
                <w:rFonts w:ascii="Arial" w:cs="Arial" w:eastAsia="Arial" w:hAnsi="Arial"/>
                <w:sz w:val="13"/>
                <w:szCs w:val="13"/>
                <w:color w:val="auto"/>
                <w:w w:val="96"/>
              </w:rPr>
              <w:t>1975</w:t>
            </w:r>
          </w:p>
        </w:tc>
        <w:tc>
          <w:tcPr>
            <w:tcW w:w="10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2003</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499,000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96%</w:t>
            </w:r>
          </w:p>
        </w:tc>
        <w:tc>
          <w:tcPr>
            <w:tcW w:w="1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Raymour &amp; Flanigan</w:t>
            </w:r>
          </w:p>
        </w:tc>
      </w:tr>
      <w:tr>
        <w:trPr>
          <w:trHeight w:val="146"/>
        </w:trPr>
        <w:tc>
          <w:tcPr>
            <w:tcW w:w="37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Lawrenceville, NJ 08648 (3)</w:t>
            </w: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Bed, Bath &amp; Beyond</w:t>
            </w:r>
          </w:p>
        </w:tc>
      </w:tr>
      <w:tr>
        <w:trPr>
          <w:trHeight w:val="146"/>
        </w:trPr>
        <w:tc>
          <w:tcPr>
            <w:tcW w:w="37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DSW</w:t>
            </w:r>
          </w:p>
        </w:tc>
      </w:tr>
      <w:tr>
        <w:trPr>
          <w:trHeight w:val="146"/>
        </w:trPr>
        <w:tc>
          <w:tcPr>
            <w:tcW w:w="37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TJ Maxx</w:t>
            </w:r>
          </w:p>
        </w:tc>
      </w:tr>
      <w:tr>
        <w:trPr>
          <w:trHeight w:val="155"/>
        </w:trPr>
        <w:tc>
          <w:tcPr>
            <w:tcW w:w="37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Shop Rite</w:t>
            </w: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Mid-Pike Plaza</w:t>
            </w:r>
          </w:p>
        </w:tc>
        <w:tc>
          <w:tcPr>
            <w:tcW w:w="2620" w:type="dxa"/>
            <w:vAlign w:val="bottom"/>
            <w:gridSpan w:val="2"/>
          </w:tcPr>
          <w:p>
            <w:pPr>
              <w:jc w:val="center"/>
              <w:ind w:left="1912"/>
              <w:spacing w:after="0" w:line="138" w:lineRule="exact"/>
              <w:rPr>
                <w:sz w:val="20"/>
                <w:szCs w:val="20"/>
                <w:color w:val="auto"/>
              </w:rPr>
            </w:pPr>
            <w:r>
              <w:rPr>
                <w:rFonts w:ascii="Arial" w:cs="Arial" w:eastAsia="Arial" w:hAnsi="Arial"/>
                <w:sz w:val="13"/>
                <w:szCs w:val="13"/>
                <w:color w:val="auto"/>
                <w:w w:val="96"/>
              </w:rPr>
              <w:t>1963</w:t>
            </w:r>
          </w:p>
        </w:tc>
        <w:tc>
          <w:tcPr>
            <w:tcW w:w="10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1982</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309,000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Bally’s Total Fitness</w:t>
            </w:r>
          </w:p>
        </w:tc>
      </w:tr>
      <w:tr>
        <w:trPr>
          <w:trHeight w:val="146"/>
        </w:trPr>
        <w:tc>
          <w:tcPr>
            <w:tcW w:w="3720" w:type="dxa"/>
            <w:vAlign w:val="bottom"/>
          </w:tcPr>
          <w:p>
            <w:pPr>
              <w:ind w:left="220"/>
              <w:spacing w:after="0" w:line="146" w:lineRule="exact"/>
              <w:rPr>
                <w:sz w:val="20"/>
                <w:szCs w:val="20"/>
                <w:color w:val="auto"/>
              </w:rPr>
            </w:pPr>
            <w:r>
              <w:rPr>
                <w:rFonts w:ascii="Arial" w:cs="Arial" w:eastAsia="Arial" w:hAnsi="Arial"/>
                <w:sz w:val="13"/>
                <w:szCs w:val="13"/>
                <w:color w:val="auto"/>
              </w:rPr>
              <w:t>Rockville, MD 20852 (3)</w:t>
            </w: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Linens ‘n Things</w:t>
            </w:r>
          </w:p>
        </w:tc>
      </w:tr>
      <w:tr>
        <w:trPr>
          <w:trHeight w:val="146"/>
        </w:trPr>
        <w:tc>
          <w:tcPr>
            <w:tcW w:w="3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Toys R Us</w:t>
            </w:r>
          </w:p>
        </w:tc>
      </w:tr>
      <w:tr>
        <w:trPr>
          <w:trHeight w:val="146"/>
        </w:trPr>
        <w:tc>
          <w:tcPr>
            <w:tcW w:w="3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A.C. Moore</w:t>
            </w:r>
          </w:p>
        </w:tc>
      </w:tr>
      <w:tr>
        <w:trPr>
          <w:trHeight w:val="155"/>
        </w:trPr>
        <w:tc>
          <w:tcPr>
            <w:tcW w:w="3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2"/>
          </w:tcPr>
          <w:p>
            <w:pPr>
              <w:ind w:left="460"/>
              <w:spacing w:after="0"/>
              <w:rPr>
                <w:sz w:val="20"/>
                <w:szCs w:val="20"/>
                <w:color w:val="auto"/>
              </w:rPr>
            </w:pPr>
            <w:r>
              <w:rPr>
                <w:rFonts w:ascii="Arial" w:cs="Arial" w:eastAsia="Arial" w:hAnsi="Arial"/>
                <w:sz w:val="13"/>
                <w:szCs w:val="13"/>
                <w:color w:val="auto"/>
              </w:rPr>
              <w:t>Filene’s Basement</w:t>
            </w: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Mount Vernon Plaza</w:t>
            </w:r>
          </w:p>
        </w:tc>
        <w:tc>
          <w:tcPr>
            <w:tcW w:w="2620" w:type="dxa"/>
            <w:vAlign w:val="bottom"/>
            <w:gridSpan w:val="2"/>
            <w:shd w:val="clear" w:color="auto" w:fill="CCEEFF"/>
          </w:tcPr>
          <w:p>
            <w:pPr>
              <w:jc w:val="center"/>
              <w:ind w:left="1912"/>
              <w:spacing w:after="0" w:line="138" w:lineRule="exact"/>
              <w:rPr>
                <w:sz w:val="20"/>
                <w:szCs w:val="20"/>
                <w:color w:val="auto"/>
              </w:rPr>
            </w:pPr>
            <w:r>
              <w:rPr>
                <w:rFonts w:ascii="Arial" w:cs="Arial" w:eastAsia="Arial" w:hAnsi="Arial"/>
                <w:sz w:val="13"/>
                <w:szCs w:val="13"/>
                <w:color w:val="auto"/>
                <w:w w:val="96"/>
              </w:rPr>
              <w:t>1972</w:t>
            </w:r>
          </w:p>
        </w:tc>
        <w:tc>
          <w:tcPr>
            <w:tcW w:w="10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2003</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277,000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Shoppers Food</w:t>
            </w:r>
          </w:p>
        </w:tc>
      </w:tr>
      <w:tr>
        <w:trPr>
          <w:trHeight w:val="146"/>
        </w:trPr>
        <w:tc>
          <w:tcPr>
            <w:tcW w:w="37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Alexandria, VA 22306 (6) (7)</w:t>
            </w: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Warehouse</w:t>
            </w:r>
          </w:p>
        </w:tc>
      </w:tr>
      <w:tr>
        <w:trPr>
          <w:trHeight w:val="146"/>
        </w:trPr>
        <w:tc>
          <w:tcPr>
            <w:tcW w:w="37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Bed, Bath &amp; Beyond</w:t>
            </w:r>
          </w:p>
        </w:tc>
      </w:tr>
      <w:tr>
        <w:trPr>
          <w:trHeight w:val="155"/>
        </w:trPr>
        <w:tc>
          <w:tcPr>
            <w:tcW w:w="37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Michaels</w:t>
            </w: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Northeast</w:t>
            </w:r>
          </w:p>
        </w:tc>
        <w:tc>
          <w:tcPr>
            <w:tcW w:w="2620" w:type="dxa"/>
            <w:vAlign w:val="bottom"/>
            <w:gridSpan w:val="2"/>
          </w:tcPr>
          <w:p>
            <w:pPr>
              <w:jc w:val="center"/>
              <w:ind w:left="1912"/>
              <w:spacing w:after="0" w:line="138" w:lineRule="exact"/>
              <w:rPr>
                <w:sz w:val="20"/>
                <w:szCs w:val="20"/>
                <w:color w:val="auto"/>
              </w:rPr>
            </w:pPr>
            <w:r>
              <w:rPr>
                <w:rFonts w:ascii="Arial" w:cs="Arial" w:eastAsia="Arial" w:hAnsi="Arial"/>
                <w:sz w:val="13"/>
                <w:szCs w:val="13"/>
                <w:color w:val="auto"/>
                <w:w w:val="96"/>
              </w:rPr>
              <w:t>1959</w:t>
            </w:r>
          </w:p>
        </w:tc>
        <w:tc>
          <w:tcPr>
            <w:tcW w:w="10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1983</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287,000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92%</w:t>
            </w:r>
          </w:p>
        </w:tc>
        <w:tc>
          <w:tcPr>
            <w:tcW w:w="1820" w:type="dxa"/>
            <w:vAlign w:val="bottom"/>
            <w:gridSpan w:val="2"/>
          </w:tcPr>
          <w:p>
            <w:pPr>
              <w:ind w:left="460"/>
              <w:spacing w:after="0" w:line="138" w:lineRule="exact"/>
              <w:rPr>
                <w:sz w:val="20"/>
                <w:szCs w:val="20"/>
                <w:color w:val="auto"/>
              </w:rPr>
            </w:pPr>
            <w:r>
              <w:rPr>
                <w:rFonts w:ascii="Arial" w:cs="Arial" w:eastAsia="Arial" w:hAnsi="Arial"/>
                <w:sz w:val="13"/>
                <w:szCs w:val="13"/>
                <w:color w:val="auto"/>
                <w:w w:val="98"/>
              </w:rPr>
              <w:t>Burlington Coat Factory</w:t>
            </w:r>
          </w:p>
        </w:tc>
      </w:tr>
      <w:tr>
        <w:trPr>
          <w:trHeight w:val="146"/>
        </w:trPr>
        <w:tc>
          <w:tcPr>
            <w:tcW w:w="3720" w:type="dxa"/>
            <w:vAlign w:val="bottom"/>
          </w:tcPr>
          <w:p>
            <w:pPr>
              <w:ind w:left="220"/>
              <w:spacing w:after="0" w:line="146" w:lineRule="exact"/>
              <w:rPr>
                <w:sz w:val="20"/>
                <w:szCs w:val="20"/>
                <w:color w:val="auto"/>
              </w:rPr>
            </w:pPr>
            <w:r>
              <w:rPr>
                <w:rFonts w:ascii="Arial" w:cs="Arial" w:eastAsia="Arial" w:hAnsi="Arial"/>
                <w:sz w:val="13"/>
                <w:szCs w:val="13"/>
                <w:color w:val="auto"/>
              </w:rPr>
              <w:t>Philadelphia, PA 19114</w:t>
            </w: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Marshalls</w:t>
            </w:r>
          </w:p>
        </w:tc>
      </w:tr>
      <w:tr>
        <w:trPr>
          <w:trHeight w:val="155"/>
        </w:trPr>
        <w:tc>
          <w:tcPr>
            <w:tcW w:w="3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2"/>
          </w:tcPr>
          <w:p>
            <w:pPr>
              <w:ind w:left="460"/>
              <w:spacing w:after="0"/>
              <w:rPr>
                <w:sz w:val="20"/>
                <w:szCs w:val="20"/>
                <w:color w:val="auto"/>
              </w:rPr>
            </w:pPr>
            <w:r>
              <w:rPr>
                <w:rFonts w:ascii="Arial" w:cs="Arial" w:eastAsia="Arial" w:hAnsi="Arial"/>
                <w:sz w:val="13"/>
                <w:szCs w:val="13"/>
                <w:color w:val="auto"/>
              </w:rPr>
              <w:t>Tower Records</w:t>
            </w: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North Lake Commons</w:t>
            </w:r>
          </w:p>
        </w:tc>
        <w:tc>
          <w:tcPr>
            <w:tcW w:w="2620" w:type="dxa"/>
            <w:vAlign w:val="bottom"/>
            <w:gridSpan w:val="2"/>
            <w:shd w:val="clear" w:color="auto" w:fill="CCEEFF"/>
          </w:tcPr>
          <w:p>
            <w:pPr>
              <w:jc w:val="center"/>
              <w:ind w:left="1912"/>
              <w:spacing w:after="0" w:line="138" w:lineRule="exact"/>
              <w:rPr>
                <w:sz w:val="20"/>
                <w:szCs w:val="20"/>
                <w:color w:val="auto"/>
              </w:rPr>
            </w:pPr>
            <w:r>
              <w:rPr>
                <w:rFonts w:ascii="Arial" w:cs="Arial" w:eastAsia="Arial" w:hAnsi="Arial"/>
                <w:sz w:val="13"/>
                <w:szCs w:val="13"/>
                <w:color w:val="auto"/>
                <w:w w:val="96"/>
              </w:rPr>
              <w:t>1989</w:t>
            </w:r>
          </w:p>
        </w:tc>
        <w:tc>
          <w:tcPr>
            <w:tcW w:w="10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1994</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129,000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96%</w:t>
            </w:r>
          </w:p>
        </w:tc>
        <w:tc>
          <w:tcPr>
            <w:tcW w:w="1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Dominick’s</w:t>
            </w:r>
          </w:p>
        </w:tc>
      </w:tr>
      <w:tr>
        <w:trPr>
          <w:trHeight w:val="155"/>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Lake Zurich, IL 60047</w:t>
            </w: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Old Keene Mill</w:t>
            </w:r>
          </w:p>
        </w:tc>
        <w:tc>
          <w:tcPr>
            <w:tcW w:w="2620" w:type="dxa"/>
            <w:vAlign w:val="bottom"/>
            <w:gridSpan w:val="2"/>
          </w:tcPr>
          <w:p>
            <w:pPr>
              <w:jc w:val="center"/>
              <w:ind w:left="1912"/>
              <w:spacing w:after="0" w:line="138" w:lineRule="exact"/>
              <w:rPr>
                <w:sz w:val="20"/>
                <w:szCs w:val="20"/>
                <w:color w:val="auto"/>
              </w:rPr>
            </w:pPr>
            <w:r>
              <w:rPr>
                <w:rFonts w:ascii="Arial" w:cs="Arial" w:eastAsia="Arial" w:hAnsi="Arial"/>
                <w:sz w:val="13"/>
                <w:szCs w:val="13"/>
                <w:color w:val="auto"/>
                <w:w w:val="96"/>
              </w:rPr>
              <w:t>1968</w:t>
            </w:r>
          </w:p>
        </w:tc>
        <w:tc>
          <w:tcPr>
            <w:tcW w:w="10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1976</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92,000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97%</w:t>
            </w:r>
          </w:p>
        </w:tc>
        <w:tc>
          <w:tcPr>
            <w:tcW w:w="1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Whole Foods</w:t>
            </w:r>
          </w:p>
        </w:tc>
      </w:tr>
      <w:tr>
        <w:trPr>
          <w:trHeight w:val="155"/>
        </w:trPr>
        <w:tc>
          <w:tcPr>
            <w:tcW w:w="3720" w:type="dxa"/>
            <w:vAlign w:val="bottom"/>
          </w:tcPr>
          <w:p>
            <w:pPr>
              <w:ind w:left="220"/>
              <w:spacing w:after="0"/>
              <w:rPr>
                <w:sz w:val="20"/>
                <w:szCs w:val="20"/>
                <w:color w:val="auto"/>
              </w:rPr>
            </w:pPr>
            <w:r>
              <w:rPr>
                <w:rFonts w:ascii="Arial" w:cs="Arial" w:eastAsia="Arial" w:hAnsi="Arial"/>
                <w:sz w:val="13"/>
                <w:szCs w:val="13"/>
                <w:color w:val="auto"/>
              </w:rPr>
              <w:t>Springfield, VA 22152</w:t>
            </w: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Pan Am</w:t>
            </w:r>
          </w:p>
        </w:tc>
        <w:tc>
          <w:tcPr>
            <w:tcW w:w="2620" w:type="dxa"/>
            <w:vAlign w:val="bottom"/>
            <w:gridSpan w:val="2"/>
            <w:shd w:val="clear" w:color="auto" w:fill="CCEEFF"/>
          </w:tcPr>
          <w:p>
            <w:pPr>
              <w:jc w:val="center"/>
              <w:ind w:left="1912"/>
              <w:spacing w:after="0" w:line="138" w:lineRule="exact"/>
              <w:rPr>
                <w:sz w:val="20"/>
                <w:szCs w:val="20"/>
                <w:color w:val="auto"/>
              </w:rPr>
            </w:pPr>
            <w:r>
              <w:rPr>
                <w:rFonts w:ascii="Arial" w:cs="Arial" w:eastAsia="Arial" w:hAnsi="Arial"/>
                <w:sz w:val="13"/>
                <w:szCs w:val="13"/>
                <w:color w:val="auto"/>
                <w:w w:val="96"/>
              </w:rPr>
              <w:t>1979</w:t>
            </w:r>
          </w:p>
        </w:tc>
        <w:tc>
          <w:tcPr>
            <w:tcW w:w="10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227,000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Michaels</w:t>
            </w:r>
          </w:p>
        </w:tc>
      </w:tr>
      <w:tr>
        <w:trPr>
          <w:trHeight w:val="146"/>
        </w:trPr>
        <w:tc>
          <w:tcPr>
            <w:tcW w:w="37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Fairfax, VA 22031</w:t>
            </w: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Micro Center</w:t>
            </w:r>
          </w:p>
        </w:tc>
      </w:tr>
      <w:tr>
        <w:trPr>
          <w:trHeight w:val="155"/>
        </w:trPr>
        <w:tc>
          <w:tcPr>
            <w:tcW w:w="37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Safeway</w:t>
            </w: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Pentagon Row</w:t>
            </w:r>
          </w:p>
        </w:tc>
        <w:tc>
          <w:tcPr>
            <w:tcW w:w="2620" w:type="dxa"/>
            <w:vAlign w:val="bottom"/>
            <w:gridSpan w:val="2"/>
          </w:tcPr>
          <w:p>
            <w:pPr>
              <w:jc w:val="center"/>
              <w:ind w:left="1912"/>
              <w:spacing w:after="0" w:line="138" w:lineRule="exact"/>
              <w:rPr>
                <w:sz w:val="20"/>
                <w:szCs w:val="20"/>
                <w:color w:val="auto"/>
              </w:rPr>
            </w:pPr>
            <w:r>
              <w:rPr>
                <w:rFonts w:ascii="Arial" w:cs="Arial" w:eastAsia="Arial" w:hAnsi="Arial"/>
                <w:sz w:val="13"/>
                <w:szCs w:val="13"/>
                <w:color w:val="auto"/>
                <w:w w:val="90"/>
              </w:rPr>
              <w:t>2001-2002</w:t>
            </w:r>
          </w:p>
        </w:tc>
        <w:tc>
          <w:tcPr>
            <w:tcW w:w="10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1999</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296,000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1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Harris Teeter</w:t>
            </w:r>
          </w:p>
        </w:tc>
      </w:tr>
      <w:tr>
        <w:trPr>
          <w:trHeight w:val="146"/>
        </w:trPr>
        <w:tc>
          <w:tcPr>
            <w:tcW w:w="3720" w:type="dxa"/>
            <w:vAlign w:val="bottom"/>
          </w:tcPr>
          <w:p>
            <w:pPr>
              <w:ind w:left="220"/>
              <w:spacing w:after="0" w:line="146" w:lineRule="exact"/>
              <w:rPr>
                <w:sz w:val="20"/>
                <w:szCs w:val="20"/>
                <w:color w:val="auto"/>
              </w:rPr>
            </w:pPr>
            <w:r>
              <w:rPr>
                <w:rFonts w:ascii="Arial" w:cs="Arial" w:eastAsia="Arial" w:hAnsi="Arial"/>
                <w:sz w:val="13"/>
                <w:szCs w:val="13"/>
                <w:color w:val="auto"/>
              </w:rPr>
              <w:t>Arlington, VA 22202 (7)</w:t>
            </w: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Bed, Bath &amp; Beyond</w:t>
            </w:r>
          </w:p>
        </w:tc>
      </w:tr>
      <w:tr>
        <w:trPr>
          <w:trHeight w:val="146"/>
        </w:trPr>
        <w:tc>
          <w:tcPr>
            <w:tcW w:w="3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w w:val="98"/>
              </w:rPr>
              <w:t>Cost Plus World Market</w:t>
            </w:r>
          </w:p>
        </w:tc>
      </w:tr>
      <w:tr>
        <w:trPr>
          <w:trHeight w:val="146"/>
        </w:trPr>
        <w:tc>
          <w:tcPr>
            <w:tcW w:w="3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Bally’s Total Fitness</w:t>
            </w:r>
          </w:p>
        </w:tc>
      </w:tr>
      <w:tr>
        <w:trPr>
          <w:trHeight w:val="155"/>
        </w:trPr>
        <w:tc>
          <w:tcPr>
            <w:tcW w:w="3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2"/>
          </w:tcPr>
          <w:p>
            <w:pPr>
              <w:ind w:left="460"/>
              <w:spacing w:after="0"/>
              <w:rPr>
                <w:sz w:val="20"/>
                <w:szCs w:val="20"/>
                <w:color w:val="auto"/>
              </w:rPr>
            </w:pPr>
            <w:r>
              <w:rPr>
                <w:rFonts w:ascii="Arial" w:cs="Arial" w:eastAsia="Arial" w:hAnsi="Arial"/>
                <w:sz w:val="13"/>
                <w:szCs w:val="13"/>
                <w:color w:val="auto"/>
              </w:rPr>
              <w:t>DSW</w:t>
            </w: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Perring Plaza</w:t>
            </w:r>
          </w:p>
        </w:tc>
        <w:tc>
          <w:tcPr>
            <w:tcW w:w="2620" w:type="dxa"/>
            <w:vAlign w:val="bottom"/>
            <w:gridSpan w:val="2"/>
            <w:shd w:val="clear" w:color="auto" w:fill="CCEEFF"/>
          </w:tcPr>
          <w:p>
            <w:pPr>
              <w:jc w:val="center"/>
              <w:ind w:left="1912"/>
              <w:spacing w:after="0" w:line="138" w:lineRule="exact"/>
              <w:rPr>
                <w:sz w:val="20"/>
                <w:szCs w:val="20"/>
                <w:color w:val="auto"/>
              </w:rPr>
            </w:pPr>
            <w:r>
              <w:rPr>
                <w:rFonts w:ascii="Arial" w:cs="Arial" w:eastAsia="Arial" w:hAnsi="Arial"/>
                <w:sz w:val="13"/>
                <w:szCs w:val="13"/>
                <w:color w:val="auto"/>
                <w:w w:val="96"/>
              </w:rPr>
              <w:t>1963</w:t>
            </w:r>
          </w:p>
        </w:tc>
        <w:tc>
          <w:tcPr>
            <w:tcW w:w="10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1985</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401,000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w w:val="98"/>
              </w:rPr>
              <w:t>Burlington Coat Factory</w:t>
            </w:r>
          </w:p>
        </w:tc>
      </w:tr>
      <w:tr>
        <w:trPr>
          <w:trHeight w:val="146"/>
        </w:trPr>
        <w:tc>
          <w:tcPr>
            <w:tcW w:w="37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Baltimore, MD 21134</w:t>
            </w: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Home Depot</w:t>
            </w:r>
          </w:p>
        </w:tc>
      </w:tr>
      <w:tr>
        <w:trPr>
          <w:trHeight w:val="146"/>
        </w:trPr>
        <w:tc>
          <w:tcPr>
            <w:tcW w:w="37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Shoppers Food</w:t>
            </w:r>
          </w:p>
        </w:tc>
      </w:tr>
      <w:tr>
        <w:trPr>
          <w:trHeight w:val="146"/>
        </w:trPr>
        <w:tc>
          <w:tcPr>
            <w:tcW w:w="37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Warehouse</w:t>
            </w:r>
          </w:p>
        </w:tc>
      </w:tr>
      <w:tr>
        <w:trPr>
          <w:trHeight w:val="155"/>
        </w:trPr>
        <w:tc>
          <w:tcPr>
            <w:tcW w:w="37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Jo-Ann Stores</w:t>
            </w: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Pike 7 Plaza</w:t>
            </w:r>
          </w:p>
        </w:tc>
        <w:tc>
          <w:tcPr>
            <w:tcW w:w="2620" w:type="dxa"/>
            <w:vAlign w:val="bottom"/>
            <w:gridSpan w:val="2"/>
          </w:tcPr>
          <w:p>
            <w:pPr>
              <w:jc w:val="center"/>
              <w:ind w:left="1912"/>
              <w:spacing w:after="0" w:line="138" w:lineRule="exact"/>
              <w:rPr>
                <w:sz w:val="20"/>
                <w:szCs w:val="20"/>
                <w:color w:val="auto"/>
              </w:rPr>
            </w:pPr>
            <w:r>
              <w:rPr>
                <w:rFonts w:ascii="Arial" w:cs="Arial" w:eastAsia="Arial" w:hAnsi="Arial"/>
                <w:sz w:val="13"/>
                <w:szCs w:val="13"/>
                <w:color w:val="auto"/>
                <w:w w:val="96"/>
              </w:rPr>
              <w:t>1968</w:t>
            </w:r>
          </w:p>
        </w:tc>
        <w:tc>
          <w:tcPr>
            <w:tcW w:w="10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1997</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164,000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Staples</w:t>
            </w:r>
          </w:p>
        </w:tc>
      </w:tr>
      <w:tr>
        <w:trPr>
          <w:trHeight w:val="146"/>
        </w:trPr>
        <w:tc>
          <w:tcPr>
            <w:tcW w:w="3720" w:type="dxa"/>
            <w:vAlign w:val="bottom"/>
          </w:tcPr>
          <w:p>
            <w:pPr>
              <w:ind w:left="220"/>
              <w:spacing w:after="0" w:line="146" w:lineRule="exact"/>
              <w:rPr>
                <w:sz w:val="20"/>
                <w:szCs w:val="20"/>
                <w:color w:val="auto"/>
              </w:rPr>
            </w:pPr>
            <w:r>
              <w:rPr>
                <w:rFonts w:ascii="Arial" w:cs="Arial" w:eastAsia="Arial" w:hAnsi="Arial"/>
                <w:sz w:val="13"/>
                <w:szCs w:val="13"/>
                <w:color w:val="auto"/>
              </w:rPr>
              <w:t>Vienna, VA 22180 (6)</w:t>
            </w: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TJ Maxx</w:t>
            </w:r>
          </w:p>
        </w:tc>
      </w:tr>
      <w:tr>
        <w:trPr>
          <w:trHeight w:val="155"/>
        </w:trPr>
        <w:tc>
          <w:tcPr>
            <w:tcW w:w="3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2"/>
          </w:tcPr>
          <w:p>
            <w:pPr>
              <w:ind w:left="460"/>
              <w:spacing w:after="0"/>
              <w:rPr>
                <w:sz w:val="20"/>
                <w:szCs w:val="20"/>
                <w:color w:val="auto"/>
              </w:rPr>
            </w:pPr>
            <w:r>
              <w:rPr>
                <w:rFonts w:ascii="Arial" w:cs="Arial" w:eastAsia="Arial" w:hAnsi="Arial"/>
                <w:sz w:val="13"/>
                <w:szCs w:val="13"/>
                <w:color w:val="auto"/>
              </w:rPr>
              <w:t>Tower Records</w:t>
            </w: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Queen Anne Plaza</w:t>
            </w:r>
          </w:p>
        </w:tc>
        <w:tc>
          <w:tcPr>
            <w:tcW w:w="2620" w:type="dxa"/>
            <w:vAlign w:val="bottom"/>
            <w:gridSpan w:val="2"/>
            <w:shd w:val="clear" w:color="auto" w:fill="CCEEFF"/>
          </w:tcPr>
          <w:p>
            <w:pPr>
              <w:jc w:val="center"/>
              <w:ind w:left="1912"/>
              <w:spacing w:after="0" w:line="138" w:lineRule="exact"/>
              <w:rPr>
                <w:sz w:val="20"/>
                <w:szCs w:val="20"/>
                <w:color w:val="auto"/>
              </w:rPr>
            </w:pPr>
            <w:r>
              <w:rPr>
                <w:rFonts w:ascii="Arial" w:cs="Arial" w:eastAsia="Arial" w:hAnsi="Arial"/>
                <w:sz w:val="13"/>
                <w:szCs w:val="13"/>
                <w:color w:val="auto"/>
                <w:w w:val="96"/>
              </w:rPr>
              <w:t>1967</w:t>
            </w:r>
          </w:p>
        </w:tc>
        <w:tc>
          <w:tcPr>
            <w:tcW w:w="10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1994</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149,000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1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TJ Maxx</w:t>
            </w:r>
          </w:p>
        </w:tc>
      </w:tr>
      <w:tr>
        <w:trPr>
          <w:trHeight w:val="155"/>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Norwell, MA 02061</w:t>
            </w: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Victory Supermarket</w:t>
            </w: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Quince Orchard</w:t>
            </w:r>
          </w:p>
        </w:tc>
        <w:tc>
          <w:tcPr>
            <w:tcW w:w="2620" w:type="dxa"/>
            <w:vAlign w:val="bottom"/>
            <w:gridSpan w:val="2"/>
          </w:tcPr>
          <w:p>
            <w:pPr>
              <w:jc w:val="center"/>
              <w:ind w:left="1912"/>
              <w:spacing w:after="0" w:line="138" w:lineRule="exact"/>
              <w:rPr>
                <w:sz w:val="20"/>
                <w:szCs w:val="20"/>
                <w:color w:val="auto"/>
              </w:rPr>
            </w:pPr>
            <w:r>
              <w:rPr>
                <w:rFonts w:ascii="Arial" w:cs="Arial" w:eastAsia="Arial" w:hAnsi="Arial"/>
                <w:sz w:val="13"/>
                <w:szCs w:val="13"/>
                <w:color w:val="auto"/>
                <w:w w:val="96"/>
              </w:rPr>
              <w:t>1975</w:t>
            </w:r>
          </w:p>
        </w:tc>
        <w:tc>
          <w:tcPr>
            <w:tcW w:w="10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252,000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1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Circuit City</w:t>
            </w:r>
          </w:p>
        </w:tc>
      </w:tr>
      <w:tr>
        <w:trPr>
          <w:trHeight w:val="146"/>
        </w:trPr>
        <w:tc>
          <w:tcPr>
            <w:tcW w:w="3720" w:type="dxa"/>
            <w:vAlign w:val="bottom"/>
          </w:tcPr>
          <w:p>
            <w:pPr>
              <w:ind w:left="220"/>
              <w:spacing w:after="0" w:line="146" w:lineRule="exact"/>
              <w:rPr>
                <w:sz w:val="20"/>
                <w:szCs w:val="20"/>
                <w:color w:val="auto"/>
              </w:rPr>
            </w:pPr>
            <w:r>
              <w:rPr>
                <w:rFonts w:ascii="Arial" w:cs="Arial" w:eastAsia="Arial" w:hAnsi="Arial"/>
                <w:sz w:val="13"/>
                <w:szCs w:val="13"/>
                <w:color w:val="auto"/>
              </w:rPr>
              <w:t>Gaithersburg, MD 20877 (7)</w:t>
            </w: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Magruders</w:t>
            </w:r>
          </w:p>
        </w:tc>
      </w:tr>
      <w:tr>
        <w:trPr>
          <w:trHeight w:val="155"/>
        </w:trPr>
        <w:tc>
          <w:tcPr>
            <w:tcW w:w="3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2"/>
          </w:tcPr>
          <w:p>
            <w:pPr>
              <w:ind w:left="460"/>
              <w:spacing w:after="0"/>
              <w:rPr>
                <w:sz w:val="20"/>
                <w:szCs w:val="20"/>
                <w:color w:val="auto"/>
              </w:rPr>
            </w:pPr>
            <w:r>
              <w:rPr>
                <w:rFonts w:ascii="Arial" w:cs="Arial" w:eastAsia="Arial" w:hAnsi="Arial"/>
                <w:sz w:val="13"/>
                <w:szCs w:val="13"/>
                <w:color w:val="auto"/>
              </w:rPr>
              <w:t>Staples</w:t>
            </w: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Rollingwood Apartments</w:t>
            </w:r>
          </w:p>
        </w:tc>
        <w:tc>
          <w:tcPr>
            <w:tcW w:w="2620" w:type="dxa"/>
            <w:vAlign w:val="bottom"/>
            <w:gridSpan w:val="2"/>
            <w:shd w:val="clear" w:color="auto" w:fill="CCEEFF"/>
          </w:tcPr>
          <w:p>
            <w:pPr>
              <w:jc w:val="center"/>
              <w:ind w:left="1912"/>
              <w:spacing w:after="0" w:line="138" w:lineRule="exact"/>
              <w:rPr>
                <w:sz w:val="20"/>
                <w:szCs w:val="20"/>
                <w:color w:val="auto"/>
              </w:rPr>
            </w:pPr>
            <w:r>
              <w:rPr>
                <w:rFonts w:ascii="Arial" w:cs="Arial" w:eastAsia="Arial" w:hAnsi="Arial"/>
                <w:sz w:val="13"/>
                <w:szCs w:val="13"/>
                <w:color w:val="auto"/>
                <w:w w:val="96"/>
              </w:rPr>
              <w:t>1960</w:t>
            </w:r>
          </w:p>
        </w:tc>
        <w:tc>
          <w:tcPr>
            <w:tcW w:w="10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1971</w:t>
            </w: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282 units</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94%</w:t>
            </w:r>
          </w:p>
        </w:tc>
        <w:tc>
          <w:tcPr>
            <w:tcW w:w="4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146"/>
        </w:trPr>
        <w:tc>
          <w:tcPr>
            <w:tcW w:w="37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Silver Spring, MD 20910</w:t>
            </w:r>
          </w:p>
        </w:tc>
        <w:tc>
          <w:tcPr>
            <w:tcW w:w="1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55"/>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9 three-story buildings</w:t>
            </w:r>
          </w:p>
        </w:tc>
        <w:tc>
          <w:tcPr>
            <w:tcW w:w="1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358"/>
        </w:trPr>
        <w:tc>
          <w:tcPr>
            <w:tcW w:w="3720" w:type="dxa"/>
            <w:vAlign w:val="bottom"/>
          </w:tcPr>
          <w:p>
            <w:pPr>
              <w:spacing w:after="0"/>
              <w:rPr>
                <w:sz w:val="24"/>
                <w:szCs w:val="24"/>
                <w:color w:val="auto"/>
              </w:rPr>
            </w:pPr>
          </w:p>
        </w:tc>
        <w:tc>
          <w:tcPr>
            <w:tcW w:w="2620" w:type="dxa"/>
            <w:vAlign w:val="bottom"/>
            <w:gridSpan w:val="2"/>
          </w:tcPr>
          <w:p>
            <w:pPr>
              <w:jc w:val="right"/>
              <w:ind w:right="473"/>
              <w:spacing w:after="0"/>
              <w:rPr>
                <w:sz w:val="20"/>
                <w:szCs w:val="20"/>
                <w:color w:val="auto"/>
              </w:rPr>
            </w:pPr>
            <w:r>
              <w:rPr>
                <w:rFonts w:ascii="Arial" w:cs="Arial" w:eastAsia="Arial" w:hAnsi="Arial"/>
                <w:sz w:val="17"/>
                <w:szCs w:val="17"/>
                <w:color w:val="auto"/>
              </w:rPr>
              <w:t>23</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277"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Retail and Residential Properties—continued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1"/>
              </w:rPr>
              <w:t>Square Feet (1)</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Year</w:t>
            </w:r>
          </w:p>
        </w:tc>
        <w:tc>
          <w:tcPr>
            <w:tcW w:w="4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4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Percentage</w:t>
            </w:r>
          </w:p>
        </w:tc>
        <w:tc>
          <w:tcPr>
            <w:tcW w:w="460" w:type="dxa"/>
            <w:vAlign w:val="bottom"/>
          </w:tcPr>
          <w:p>
            <w:pPr>
              <w:spacing w:after="0"/>
              <w:rPr>
                <w:sz w:val="12"/>
                <w:szCs w:val="12"/>
                <w:color w:val="auto"/>
              </w:rPr>
            </w:pPr>
          </w:p>
        </w:tc>
        <w:tc>
          <w:tcPr>
            <w:tcW w:w="1140" w:type="dxa"/>
            <w:vAlign w:val="bottom"/>
          </w:tcPr>
          <w:p>
            <w:pPr>
              <w:ind w:left="300"/>
              <w:spacing w:after="0" w:line="146" w:lineRule="exact"/>
              <w:rPr>
                <w:sz w:val="20"/>
                <w:szCs w:val="20"/>
                <w:color w:val="auto"/>
              </w:rPr>
            </w:pPr>
            <w:r>
              <w:rPr>
                <w:rFonts w:ascii="Arial" w:cs="Arial" w:eastAsia="Arial" w:hAnsi="Arial"/>
                <w:sz w:val="13"/>
                <w:szCs w:val="13"/>
                <w:b w:val="1"/>
                <w:bCs w:val="1"/>
                <w:color w:val="auto"/>
              </w:rPr>
              <w:t>Principal</w:t>
            </w:r>
          </w:p>
        </w:tc>
      </w:tr>
      <w:tr>
        <w:trPr>
          <w:trHeight w:val="17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Completed</w:t>
            </w:r>
          </w:p>
        </w:tc>
        <w:tc>
          <w:tcPr>
            <w:tcW w:w="4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Leased (2)</w:t>
            </w:r>
          </w:p>
        </w:tc>
        <w:tc>
          <w:tcPr>
            <w:tcW w:w="460" w:type="dxa"/>
            <w:vAlign w:val="bottom"/>
          </w:tcPr>
          <w:p>
            <w:pPr>
              <w:spacing w:after="0"/>
              <w:rPr>
                <w:sz w:val="14"/>
                <w:szCs w:val="14"/>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Tenant(s)</w:t>
            </w:r>
          </w:p>
        </w:tc>
      </w:tr>
      <w:tr>
        <w:trPr>
          <w:trHeight w:val="131"/>
        </w:trPr>
        <w:tc>
          <w:tcPr>
            <w:tcW w:w="20" w:type="dxa"/>
            <w:vAlign w:val="bottom"/>
          </w:tcPr>
          <w:p>
            <w:pPr>
              <w:spacing w:after="0"/>
              <w:rPr>
                <w:sz w:val="11"/>
                <w:szCs w:val="11"/>
                <w:color w:val="auto"/>
              </w:rPr>
            </w:pPr>
          </w:p>
        </w:tc>
        <w:tc>
          <w:tcPr>
            <w:tcW w:w="55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Rutgers</w:t>
            </w: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1973</w:t>
            </w:r>
          </w:p>
        </w:tc>
        <w:tc>
          <w:tcPr>
            <w:tcW w:w="1080" w:type="dxa"/>
            <w:vAlign w:val="bottom"/>
            <w:gridSpan w:val="2"/>
            <w:shd w:val="clear" w:color="auto" w:fill="CCEEFF"/>
          </w:tcPr>
          <w:p>
            <w:pPr>
              <w:jc w:val="center"/>
              <w:ind w:left="393"/>
              <w:spacing w:after="0" w:line="131" w:lineRule="exact"/>
              <w:rPr>
                <w:sz w:val="20"/>
                <w:szCs w:val="20"/>
                <w:color w:val="auto"/>
              </w:rPr>
            </w:pPr>
            <w:r>
              <w:rPr>
                <w:rFonts w:ascii="Arial" w:cs="Arial" w:eastAsia="Arial" w:hAnsi="Arial"/>
                <w:sz w:val="13"/>
                <w:szCs w:val="13"/>
                <w:color w:val="auto"/>
                <w:w w:val="89"/>
              </w:rPr>
              <w:t>1988</w:t>
            </w:r>
          </w:p>
        </w:tc>
        <w:tc>
          <w:tcPr>
            <w:tcW w:w="138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89"/>
              </w:rPr>
              <w:t>267,000</w:t>
            </w:r>
          </w:p>
        </w:tc>
        <w:tc>
          <w:tcPr>
            <w:tcW w:w="112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92"/>
              </w:rPr>
              <w:t>97%</w:t>
            </w: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Stop &amp; Shop</w:t>
            </w:r>
          </w:p>
        </w:tc>
      </w:tr>
      <w:tr>
        <w:trPr>
          <w:trHeight w:val="155"/>
        </w:trPr>
        <w:tc>
          <w:tcPr>
            <w:tcW w:w="20" w:type="dxa"/>
            <w:vAlign w:val="bottom"/>
          </w:tcPr>
          <w:p>
            <w:pPr>
              <w:spacing w:after="0"/>
              <w:rPr>
                <w:sz w:val="13"/>
                <w:szCs w:val="13"/>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Franklin, N.J. 08873 (3)</w:t>
            </w: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Kmart</w:t>
            </w: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3"/>
                <w:szCs w:val="13"/>
                <w:color w:val="auto"/>
              </w:rPr>
              <w:t>Sam’s Park &amp; Shop</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1930</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5"/>
              </w:rPr>
              <w:t>51,000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3"/>
                <w:szCs w:val="13"/>
                <w:color w:val="auto"/>
              </w:rPr>
              <w:t>Petco</w:t>
            </w:r>
          </w:p>
        </w:tc>
      </w:tr>
      <w:tr>
        <w:trPr>
          <w:trHeight w:val="155"/>
        </w:trPr>
        <w:tc>
          <w:tcPr>
            <w:tcW w:w="20" w:type="dxa"/>
            <w:vAlign w:val="bottom"/>
          </w:tcPr>
          <w:p>
            <w:pPr>
              <w:spacing w:after="0"/>
              <w:rPr>
                <w:sz w:val="13"/>
                <w:szCs w:val="13"/>
                <w:color w:val="auto"/>
              </w:rPr>
            </w:pPr>
          </w:p>
        </w:tc>
        <w:tc>
          <w:tcPr>
            <w:tcW w:w="5580" w:type="dxa"/>
            <w:vAlign w:val="bottom"/>
          </w:tcPr>
          <w:p>
            <w:pPr>
              <w:ind w:left="200"/>
              <w:spacing w:after="0"/>
              <w:rPr>
                <w:sz w:val="20"/>
                <w:szCs w:val="20"/>
                <w:color w:val="auto"/>
              </w:rPr>
            </w:pPr>
            <w:r>
              <w:rPr>
                <w:rFonts w:ascii="Arial" w:cs="Arial" w:eastAsia="Arial" w:hAnsi="Arial"/>
                <w:sz w:val="13"/>
                <w:szCs w:val="13"/>
                <w:color w:val="auto"/>
              </w:rPr>
              <w:t>Washington, DC 20008</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Saugus Plaza</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1976</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1996</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171,000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Kmart</w:t>
            </w:r>
          </w:p>
        </w:tc>
      </w:tr>
      <w:tr>
        <w:trPr>
          <w:trHeight w:val="155"/>
        </w:trPr>
        <w:tc>
          <w:tcPr>
            <w:tcW w:w="20" w:type="dxa"/>
            <w:vAlign w:val="bottom"/>
          </w:tcPr>
          <w:p>
            <w:pPr>
              <w:spacing w:after="0"/>
              <w:rPr>
                <w:sz w:val="13"/>
                <w:szCs w:val="13"/>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Saugus, MA 01906</w:t>
            </w: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Stop &amp; Shop</w:t>
            </w: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3"/>
                <w:szCs w:val="13"/>
                <w:color w:val="auto"/>
              </w:rPr>
              <w:t>Shirlington</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1940</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201,000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6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3"/>
                <w:szCs w:val="13"/>
                <w:color w:val="auto"/>
              </w:rPr>
              <w:t>Carlyle Grand Café</w:t>
            </w:r>
          </w:p>
        </w:tc>
      </w:tr>
      <w:tr>
        <w:trPr>
          <w:trHeight w:val="155"/>
        </w:trPr>
        <w:tc>
          <w:tcPr>
            <w:tcW w:w="20" w:type="dxa"/>
            <w:vAlign w:val="bottom"/>
          </w:tcPr>
          <w:p>
            <w:pPr>
              <w:spacing w:after="0"/>
              <w:rPr>
                <w:sz w:val="13"/>
                <w:szCs w:val="13"/>
                <w:color w:val="auto"/>
              </w:rPr>
            </w:pPr>
          </w:p>
        </w:tc>
        <w:tc>
          <w:tcPr>
            <w:tcW w:w="5580" w:type="dxa"/>
            <w:vAlign w:val="bottom"/>
          </w:tcPr>
          <w:p>
            <w:pPr>
              <w:ind w:left="200"/>
              <w:spacing w:after="0"/>
              <w:rPr>
                <w:sz w:val="20"/>
                <w:szCs w:val="20"/>
                <w:color w:val="auto"/>
              </w:rPr>
            </w:pPr>
            <w:r>
              <w:rPr>
                <w:rFonts w:ascii="Arial" w:cs="Arial" w:eastAsia="Arial" w:hAnsi="Arial"/>
                <w:sz w:val="13"/>
                <w:szCs w:val="13"/>
                <w:color w:val="auto"/>
              </w:rPr>
              <w:t>Arlington, VA 22206</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Cineplex Odeon</w:t>
            </w:r>
          </w:p>
        </w:tc>
      </w:tr>
      <w:tr>
        <w:trPr>
          <w:trHeight w:val="138"/>
        </w:trPr>
        <w:tc>
          <w:tcPr>
            <w:tcW w:w="20" w:type="dxa"/>
            <w:vAlign w:val="bottom"/>
          </w:tcPr>
          <w:p>
            <w:pPr>
              <w:spacing w:after="0"/>
              <w:rPr>
                <w:sz w:val="11"/>
                <w:szCs w:val="11"/>
                <w:color w:val="auto"/>
              </w:rPr>
            </w:pPr>
          </w:p>
        </w:tc>
        <w:tc>
          <w:tcPr>
            <w:tcW w:w="5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South Valley Shopping Center</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1966</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2003</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221,000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95%</w:t>
            </w: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Home Depot</w:t>
            </w:r>
          </w:p>
        </w:tc>
      </w:tr>
      <w:tr>
        <w:trPr>
          <w:trHeight w:val="155"/>
        </w:trPr>
        <w:tc>
          <w:tcPr>
            <w:tcW w:w="20" w:type="dxa"/>
            <w:vAlign w:val="bottom"/>
          </w:tcPr>
          <w:p>
            <w:pPr>
              <w:spacing w:after="0"/>
              <w:rPr>
                <w:sz w:val="13"/>
                <w:szCs w:val="13"/>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Alexandria, VA 22306 (6)</w:t>
            </w: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3"/>
                <w:szCs w:val="13"/>
                <w:color w:val="auto"/>
              </w:rPr>
              <w:t>Tower Shopping Center</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1960</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1998</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109,000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90%</w:t>
            </w:r>
          </w:p>
        </w:tc>
        <w:tc>
          <w:tcPr>
            <w:tcW w:w="46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3"/>
                <w:szCs w:val="13"/>
                <w:color w:val="auto"/>
              </w:rPr>
              <w:t>Virginia Fine Wine</w:t>
            </w:r>
          </w:p>
        </w:tc>
      </w:tr>
      <w:tr>
        <w:trPr>
          <w:trHeight w:val="155"/>
        </w:trPr>
        <w:tc>
          <w:tcPr>
            <w:tcW w:w="20" w:type="dxa"/>
            <w:vAlign w:val="bottom"/>
          </w:tcPr>
          <w:p>
            <w:pPr>
              <w:spacing w:after="0"/>
              <w:rPr>
                <w:sz w:val="13"/>
                <w:szCs w:val="13"/>
                <w:color w:val="auto"/>
              </w:rPr>
            </w:pPr>
          </w:p>
        </w:tc>
        <w:tc>
          <w:tcPr>
            <w:tcW w:w="5580" w:type="dxa"/>
            <w:vAlign w:val="bottom"/>
          </w:tcPr>
          <w:p>
            <w:pPr>
              <w:ind w:left="200"/>
              <w:spacing w:after="0"/>
              <w:rPr>
                <w:sz w:val="20"/>
                <w:szCs w:val="20"/>
                <w:color w:val="auto"/>
              </w:rPr>
            </w:pPr>
            <w:r>
              <w:rPr>
                <w:rFonts w:ascii="Arial" w:cs="Arial" w:eastAsia="Arial" w:hAnsi="Arial"/>
                <w:sz w:val="13"/>
                <w:szCs w:val="13"/>
                <w:color w:val="auto"/>
              </w:rPr>
              <w:t>Springfield, VA 22150</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Talbots</w:t>
            </w:r>
          </w:p>
        </w:tc>
      </w:tr>
      <w:tr>
        <w:trPr>
          <w:trHeight w:val="138"/>
        </w:trPr>
        <w:tc>
          <w:tcPr>
            <w:tcW w:w="20" w:type="dxa"/>
            <w:vAlign w:val="bottom"/>
          </w:tcPr>
          <w:p>
            <w:pPr>
              <w:spacing w:after="0"/>
              <w:rPr>
                <w:sz w:val="11"/>
                <w:szCs w:val="11"/>
                <w:color w:val="auto"/>
              </w:rPr>
            </w:pPr>
          </w:p>
        </w:tc>
        <w:tc>
          <w:tcPr>
            <w:tcW w:w="5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Troy</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1966</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202,000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Comp USA</w:t>
            </w:r>
          </w:p>
        </w:tc>
      </w:tr>
      <w:tr>
        <w:trPr>
          <w:trHeight w:val="146"/>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Parsippany-Troy, NJ 07054</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Pathmark</w:t>
            </w:r>
          </w:p>
        </w:tc>
      </w:tr>
      <w:tr>
        <w:trPr>
          <w:trHeight w:val="146"/>
        </w:trPr>
        <w:tc>
          <w:tcPr>
            <w:tcW w:w="20" w:type="dxa"/>
            <w:vAlign w:val="bottom"/>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Toys R Us</w:t>
            </w:r>
          </w:p>
        </w:tc>
      </w:tr>
      <w:tr>
        <w:trPr>
          <w:trHeight w:val="155"/>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 C. Moore</w:t>
            </w: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3"/>
                <w:szCs w:val="13"/>
                <w:color w:val="auto"/>
              </w:rPr>
              <w:t>Tysons Station</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1954</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1978</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5"/>
              </w:rPr>
              <w:t>50,000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97%</w:t>
            </w:r>
          </w:p>
        </w:tc>
        <w:tc>
          <w:tcPr>
            <w:tcW w:w="46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3"/>
                <w:szCs w:val="13"/>
                <w:color w:val="auto"/>
              </w:rPr>
              <w:t>Trader Joe’s</w:t>
            </w:r>
          </w:p>
        </w:tc>
      </w:tr>
      <w:tr>
        <w:trPr>
          <w:trHeight w:val="155"/>
        </w:trPr>
        <w:tc>
          <w:tcPr>
            <w:tcW w:w="20" w:type="dxa"/>
            <w:vAlign w:val="bottom"/>
          </w:tcPr>
          <w:p>
            <w:pPr>
              <w:spacing w:after="0"/>
              <w:rPr>
                <w:sz w:val="13"/>
                <w:szCs w:val="13"/>
                <w:color w:val="auto"/>
              </w:rPr>
            </w:pPr>
          </w:p>
        </w:tc>
        <w:tc>
          <w:tcPr>
            <w:tcW w:w="5580" w:type="dxa"/>
            <w:vAlign w:val="bottom"/>
          </w:tcPr>
          <w:p>
            <w:pPr>
              <w:ind w:left="200"/>
              <w:spacing w:after="0"/>
              <w:rPr>
                <w:sz w:val="20"/>
                <w:szCs w:val="20"/>
                <w:color w:val="auto"/>
              </w:rPr>
            </w:pPr>
            <w:r>
              <w:rPr>
                <w:rFonts w:ascii="Arial" w:cs="Arial" w:eastAsia="Arial" w:hAnsi="Arial"/>
                <w:sz w:val="13"/>
                <w:szCs w:val="13"/>
                <w:color w:val="auto"/>
              </w:rPr>
              <w:t>Falls Church, VA 22043</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Wildwood</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1958</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1969</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5"/>
              </w:rPr>
              <w:t>85,000</w:t>
            </w:r>
          </w:p>
        </w:tc>
        <w:tc>
          <w:tcPr>
            <w:tcW w:w="11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CVS</w:t>
            </w:r>
          </w:p>
        </w:tc>
      </w:tr>
      <w:tr>
        <w:trPr>
          <w:trHeight w:val="155"/>
        </w:trPr>
        <w:tc>
          <w:tcPr>
            <w:tcW w:w="20" w:type="dxa"/>
            <w:vAlign w:val="bottom"/>
          </w:tcPr>
          <w:p>
            <w:pPr>
              <w:spacing w:after="0"/>
              <w:rPr>
                <w:sz w:val="13"/>
                <w:szCs w:val="13"/>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Bethesda, MD 20814</w:t>
            </w: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Balducci’s</w:t>
            </w: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3"/>
                <w:szCs w:val="13"/>
                <w:color w:val="auto"/>
              </w:rPr>
              <w:t>Willow Grove</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1953</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1984</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215,000</w:t>
            </w:r>
          </w:p>
        </w:tc>
        <w:tc>
          <w:tcPr>
            <w:tcW w:w="11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46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3"/>
                <w:szCs w:val="13"/>
                <w:color w:val="auto"/>
              </w:rPr>
              <w:t>Barnes &amp; Noble</w:t>
            </w:r>
          </w:p>
        </w:tc>
      </w:tr>
      <w:tr>
        <w:trPr>
          <w:trHeight w:val="146"/>
        </w:trPr>
        <w:tc>
          <w:tcPr>
            <w:tcW w:w="20" w:type="dxa"/>
            <w:vAlign w:val="bottom"/>
          </w:tcPr>
          <w:p>
            <w:pPr>
              <w:spacing w:after="0"/>
              <w:rPr>
                <w:sz w:val="12"/>
                <w:szCs w:val="12"/>
                <w:color w:val="auto"/>
              </w:rPr>
            </w:pPr>
          </w:p>
        </w:tc>
        <w:tc>
          <w:tcPr>
            <w:tcW w:w="5580" w:type="dxa"/>
            <w:vAlign w:val="bottom"/>
          </w:tcPr>
          <w:p>
            <w:pPr>
              <w:ind w:left="200"/>
              <w:spacing w:after="0" w:line="146" w:lineRule="exact"/>
              <w:rPr>
                <w:sz w:val="20"/>
                <w:szCs w:val="20"/>
                <w:color w:val="auto"/>
              </w:rPr>
            </w:pPr>
            <w:r>
              <w:rPr>
                <w:rFonts w:ascii="Arial" w:cs="Arial" w:eastAsia="Arial" w:hAnsi="Arial"/>
                <w:sz w:val="13"/>
                <w:szCs w:val="13"/>
                <w:color w:val="auto"/>
              </w:rPr>
              <w:t>Willow Grove, PA 19090</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line="146" w:lineRule="exact"/>
              <w:rPr>
                <w:sz w:val="20"/>
                <w:szCs w:val="20"/>
                <w:color w:val="auto"/>
              </w:rPr>
            </w:pPr>
            <w:r>
              <w:rPr>
                <w:rFonts w:ascii="Arial" w:cs="Arial" w:eastAsia="Arial" w:hAnsi="Arial"/>
                <w:sz w:val="13"/>
                <w:szCs w:val="13"/>
                <w:color w:val="auto"/>
              </w:rPr>
              <w:t>Marshals</w:t>
            </w:r>
          </w:p>
        </w:tc>
      </w:tr>
      <w:tr>
        <w:trPr>
          <w:trHeight w:val="155"/>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Toys R Us</w:t>
            </w:r>
          </w:p>
        </w:tc>
      </w:tr>
      <w:tr>
        <w:trPr>
          <w:trHeight w:val="138"/>
        </w:trPr>
        <w:tc>
          <w:tcPr>
            <w:tcW w:w="20" w:type="dxa"/>
            <w:vAlign w:val="bottom"/>
          </w:tcPr>
          <w:p>
            <w:pPr>
              <w:spacing w:after="0"/>
              <w:rPr>
                <w:sz w:val="11"/>
                <w:szCs w:val="11"/>
                <w:color w:val="auto"/>
              </w:rPr>
            </w:pPr>
          </w:p>
        </w:tc>
        <w:tc>
          <w:tcPr>
            <w:tcW w:w="5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The Shops at Willow Lawn</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1957</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1983</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467,000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86%</w:t>
            </w: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Tower Records</w:t>
            </w:r>
          </w:p>
        </w:tc>
      </w:tr>
      <w:tr>
        <w:trPr>
          <w:trHeight w:val="146"/>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Richmond, VA 23230</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Kroger</w:t>
            </w:r>
          </w:p>
        </w:tc>
      </w:tr>
      <w:tr>
        <w:trPr>
          <w:trHeight w:val="146"/>
        </w:trPr>
        <w:tc>
          <w:tcPr>
            <w:tcW w:w="20" w:type="dxa"/>
            <w:vAlign w:val="bottom"/>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Old Navy</w:t>
            </w:r>
          </w:p>
        </w:tc>
      </w:tr>
      <w:tr>
        <w:trPr>
          <w:trHeight w:val="155"/>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Staples</w:t>
            </w:r>
          </w:p>
        </w:tc>
      </w:tr>
      <w:tr>
        <w:trPr>
          <w:trHeight w:val="138"/>
        </w:trPr>
        <w:tc>
          <w:tcPr>
            <w:tcW w:w="20" w:type="dxa"/>
            <w:vAlign w:val="bottom"/>
          </w:tcPr>
          <w:p>
            <w:pPr>
              <w:spacing w:after="0"/>
              <w:rPr>
                <w:sz w:val="11"/>
                <w:szCs w:val="11"/>
                <w:color w:val="auto"/>
              </w:rPr>
            </w:pPr>
          </w:p>
        </w:tc>
        <w:tc>
          <w:tcPr>
            <w:tcW w:w="5580" w:type="dxa"/>
            <w:vAlign w:val="bottom"/>
          </w:tcPr>
          <w:p>
            <w:pPr>
              <w:spacing w:after="0" w:line="138" w:lineRule="exact"/>
              <w:rPr>
                <w:sz w:val="20"/>
                <w:szCs w:val="20"/>
                <w:color w:val="auto"/>
              </w:rPr>
            </w:pPr>
            <w:r>
              <w:rPr>
                <w:rFonts w:ascii="Arial" w:cs="Arial" w:eastAsia="Arial" w:hAnsi="Arial"/>
                <w:sz w:val="13"/>
                <w:szCs w:val="13"/>
                <w:color w:val="auto"/>
              </w:rPr>
              <w:t>Wynnewood</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6"/>
              </w:rPr>
              <w:t>1948</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1996</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255,000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98%</w:t>
            </w:r>
          </w:p>
        </w:tc>
        <w:tc>
          <w:tcPr>
            <w:tcW w:w="46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3"/>
                <w:szCs w:val="13"/>
                <w:color w:val="auto"/>
              </w:rPr>
              <w:t>Bed, Bath &amp;</w:t>
            </w:r>
          </w:p>
        </w:tc>
      </w:tr>
      <w:tr>
        <w:trPr>
          <w:trHeight w:val="146"/>
        </w:trPr>
        <w:tc>
          <w:tcPr>
            <w:tcW w:w="20" w:type="dxa"/>
            <w:vAlign w:val="bottom"/>
          </w:tcPr>
          <w:p>
            <w:pPr>
              <w:spacing w:after="0"/>
              <w:rPr>
                <w:sz w:val="12"/>
                <w:szCs w:val="12"/>
                <w:color w:val="auto"/>
              </w:rPr>
            </w:pPr>
          </w:p>
        </w:tc>
        <w:tc>
          <w:tcPr>
            <w:tcW w:w="5580" w:type="dxa"/>
            <w:vAlign w:val="bottom"/>
          </w:tcPr>
          <w:p>
            <w:pPr>
              <w:ind w:left="200"/>
              <w:spacing w:after="0" w:line="146" w:lineRule="exact"/>
              <w:rPr>
                <w:sz w:val="20"/>
                <w:szCs w:val="20"/>
                <w:color w:val="auto"/>
              </w:rPr>
            </w:pPr>
            <w:r>
              <w:rPr>
                <w:rFonts w:ascii="Arial" w:cs="Arial" w:eastAsia="Arial" w:hAnsi="Arial"/>
                <w:sz w:val="13"/>
                <w:szCs w:val="13"/>
                <w:color w:val="auto"/>
              </w:rPr>
              <w:t>Wynnewood, PA 19096</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line="146" w:lineRule="exact"/>
              <w:rPr>
                <w:sz w:val="20"/>
                <w:szCs w:val="20"/>
                <w:color w:val="auto"/>
              </w:rPr>
            </w:pPr>
            <w:r>
              <w:rPr>
                <w:rFonts w:ascii="Arial" w:cs="Arial" w:eastAsia="Arial" w:hAnsi="Arial"/>
                <w:sz w:val="13"/>
                <w:szCs w:val="13"/>
                <w:color w:val="auto"/>
              </w:rPr>
              <w:t>Beyond</w:t>
            </w:r>
          </w:p>
        </w:tc>
      </w:tr>
      <w:tr>
        <w:trPr>
          <w:trHeight w:val="146"/>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line="146" w:lineRule="exact"/>
              <w:rPr>
                <w:sz w:val="20"/>
                <w:szCs w:val="20"/>
                <w:color w:val="auto"/>
              </w:rPr>
            </w:pPr>
            <w:r>
              <w:rPr>
                <w:rFonts w:ascii="Arial" w:cs="Arial" w:eastAsia="Arial" w:hAnsi="Arial"/>
                <w:sz w:val="13"/>
                <w:szCs w:val="13"/>
                <w:color w:val="auto"/>
              </w:rPr>
              <w:t>Borders Books</w:t>
            </w:r>
          </w:p>
        </w:tc>
      </w:tr>
      <w:tr>
        <w:trPr>
          <w:trHeight w:val="146"/>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line="146" w:lineRule="exact"/>
              <w:rPr>
                <w:sz w:val="20"/>
                <w:szCs w:val="20"/>
                <w:color w:val="auto"/>
              </w:rPr>
            </w:pPr>
            <w:r>
              <w:rPr>
                <w:rFonts w:ascii="Arial" w:cs="Arial" w:eastAsia="Arial" w:hAnsi="Arial"/>
                <w:sz w:val="13"/>
                <w:szCs w:val="13"/>
                <w:color w:val="auto"/>
              </w:rPr>
              <w:t>Genuardi’s</w:t>
            </w: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Old Navy</w:t>
            </w:r>
          </w:p>
        </w:tc>
      </w:tr>
      <w:tr>
        <w:trPr>
          <w:trHeight w:val="146"/>
        </w:trPr>
        <w:tc>
          <w:tcPr>
            <w:tcW w:w="20" w:type="dxa"/>
            <w:vAlign w:val="bottom"/>
          </w:tcPr>
          <w:p>
            <w:pPr>
              <w:spacing w:after="0"/>
              <w:rPr>
                <w:sz w:val="12"/>
                <w:szCs w:val="12"/>
                <w:color w:val="auto"/>
              </w:rPr>
            </w:pPr>
          </w:p>
        </w:tc>
        <w:tc>
          <w:tcPr>
            <w:tcW w:w="558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Total East Region</w:t>
            </w: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left="353"/>
              <w:spacing w:after="0" w:line="146" w:lineRule="exact"/>
              <w:rPr>
                <w:sz w:val="20"/>
                <w:szCs w:val="20"/>
                <w:color w:val="auto"/>
              </w:rPr>
            </w:pPr>
            <w:r>
              <w:rPr>
                <w:rFonts w:ascii="Arial" w:cs="Arial" w:eastAsia="Arial" w:hAnsi="Arial"/>
                <w:sz w:val="13"/>
                <w:szCs w:val="13"/>
                <w:b w:val="1"/>
                <w:bCs w:val="1"/>
                <w:color w:val="auto"/>
                <w:w w:val="92"/>
              </w:rPr>
              <w:t>14,941,000</w:t>
            </w:r>
          </w:p>
        </w:tc>
        <w:tc>
          <w:tcPr>
            <w:tcW w:w="1120" w:type="dxa"/>
            <w:vAlign w:val="bottom"/>
            <w:gridSpan w:val="2"/>
            <w:shd w:val="clear" w:color="auto" w:fill="CCEEFF"/>
          </w:tcPr>
          <w:p>
            <w:pPr>
              <w:jc w:val="center"/>
              <w:ind w:left="393"/>
              <w:spacing w:after="0" w:line="146" w:lineRule="exact"/>
              <w:rPr>
                <w:sz w:val="20"/>
                <w:szCs w:val="20"/>
                <w:color w:val="auto"/>
              </w:rPr>
            </w:pPr>
            <w:r>
              <w:rPr>
                <w:rFonts w:ascii="Arial" w:cs="Arial" w:eastAsia="Arial" w:hAnsi="Arial"/>
                <w:sz w:val="13"/>
                <w:szCs w:val="13"/>
                <w:b w:val="1"/>
                <w:bCs w:val="1"/>
                <w:color w:val="auto"/>
                <w:w w:val="99"/>
              </w:rPr>
              <w:t>97%</w:t>
            </w:r>
          </w:p>
        </w:tc>
        <w:tc>
          <w:tcPr>
            <w:tcW w:w="4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WEST REGION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Colorado Blvd</w:t>
            </w:r>
          </w:p>
        </w:tc>
        <w:tc>
          <w:tcPr>
            <w:tcW w:w="2860" w:type="dxa"/>
            <w:vAlign w:val="bottom"/>
            <w:shd w:val="clear" w:color="auto" w:fill="CCEEFF"/>
          </w:tcPr>
          <w:p>
            <w:pPr>
              <w:jc w:val="center"/>
              <w:ind w:left="1709"/>
              <w:spacing w:after="0"/>
              <w:rPr>
                <w:sz w:val="20"/>
                <w:szCs w:val="20"/>
                <w:color w:val="auto"/>
              </w:rPr>
            </w:pPr>
            <w:r>
              <w:rPr>
                <w:rFonts w:ascii="Arial" w:cs="Arial" w:eastAsia="Arial" w:hAnsi="Arial"/>
                <w:sz w:val="13"/>
                <w:szCs w:val="13"/>
                <w:color w:val="auto"/>
                <w:w w:val="96"/>
              </w:rPr>
              <w:t>1922</w:t>
            </w:r>
          </w:p>
        </w:tc>
        <w:tc>
          <w:tcPr>
            <w:tcW w:w="120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3"/>
              </w:rPr>
              <w:t>1996-1998</w:t>
            </w:r>
          </w:p>
        </w:tc>
        <w:tc>
          <w:tcPr>
            <w:tcW w:w="122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5"/>
              </w:rPr>
              <w:t>69,000</w:t>
            </w:r>
          </w:p>
        </w:tc>
        <w:tc>
          <w:tcPr>
            <w:tcW w:w="1080" w:type="dxa"/>
            <w:vAlign w:val="bottom"/>
            <w:shd w:val="clear" w:color="auto" w:fill="CCEEFF"/>
          </w:tcPr>
          <w:p>
            <w:pPr>
              <w:jc w:val="center"/>
              <w:ind w:left="53"/>
              <w:spacing w:after="0"/>
              <w:rPr>
                <w:sz w:val="20"/>
                <w:szCs w:val="20"/>
                <w:color w:val="auto"/>
              </w:rPr>
            </w:pPr>
            <w:r>
              <w:rPr>
                <w:rFonts w:ascii="Arial" w:cs="Arial" w:eastAsia="Arial" w:hAnsi="Arial"/>
                <w:sz w:val="13"/>
                <w:szCs w:val="13"/>
                <w:color w:val="auto"/>
                <w:w w:val="92"/>
              </w:rPr>
              <w:t>97%</w:t>
            </w:r>
          </w:p>
        </w:tc>
        <w:tc>
          <w:tcPr>
            <w:tcW w:w="14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Pottery Barn</w:t>
            </w:r>
          </w:p>
        </w:tc>
      </w:tr>
      <w:tr>
        <w:trPr>
          <w:trHeight w:val="155"/>
        </w:trPr>
        <w:tc>
          <w:tcPr>
            <w:tcW w:w="3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Pasadena, CA</w:t>
            </w:r>
          </w:p>
        </w:tc>
        <w:tc>
          <w:tcPr>
            <w:tcW w:w="28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Banana Republic</w:t>
            </w:r>
          </w:p>
        </w:tc>
      </w:tr>
      <w:tr>
        <w:trPr>
          <w:trHeight w:val="138"/>
        </w:trPr>
        <w:tc>
          <w:tcPr>
            <w:tcW w:w="3600" w:type="dxa"/>
            <w:vAlign w:val="bottom"/>
          </w:tcPr>
          <w:p>
            <w:pPr>
              <w:spacing w:after="0" w:line="138" w:lineRule="exact"/>
              <w:rPr>
                <w:sz w:val="20"/>
                <w:szCs w:val="20"/>
                <w:color w:val="auto"/>
              </w:rPr>
            </w:pPr>
            <w:r>
              <w:rPr>
                <w:rFonts w:ascii="Arial" w:cs="Arial" w:eastAsia="Arial" w:hAnsi="Arial"/>
                <w:sz w:val="13"/>
                <w:szCs w:val="13"/>
                <w:color w:val="auto"/>
              </w:rPr>
              <w:t>Crow Canyon Commons</w:t>
            </w:r>
          </w:p>
        </w:tc>
        <w:tc>
          <w:tcPr>
            <w:tcW w:w="2860" w:type="dxa"/>
            <w:vAlign w:val="bottom"/>
          </w:tcPr>
          <w:p>
            <w:pPr>
              <w:spacing w:after="0"/>
              <w:rPr>
                <w:sz w:val="11"/>
                <w:szCs w:val="11"/>
                <w:color w:val="auto"/>
              </w:rPr>
            </w:pPr>
          </w:p>
        </w:tc>
        <w:tc>
          <w:tcPr>
            <w:tcW w:w="1200" w:type="dxa"/>
            <w:vAlign w:val="bottom"/>
          </w:tcPr>
          <w:p>
            <w:pPr>
              <w:jc w:val="center"/>
              <w:ind w:right="33"/>
              <w:spacing w:after="0" w:line="138" w:lineRule="exact"/>
              <w:rPr>
                <w:sz w:val="20"/>
                <w:szCs w:val="20"/>
                <w:color w:val="auto"/>
              </w:rPr>
            </w:pPr>
            <w:r>
              <w:rPr>
                <w:rFonts w:ascii="Arial" w:cs="Arial" w:eastAsia="Arial" w:hAnsi="Arial"/>
                <w:sz w:val="13"/>
                <w:szCs w:val="13"/>
                <w:color w:val="auto"/>
                <w:w w:val="89"/>
              </w:rPr>
              <w:t>2005</w:t>
            </w:r>
          </w:p>
        </w:tc>
        <w:tc>
          <w:tcPr>
            <w:tcW w:w="1220" w:type="dxa"/>
            <w:vAlign w:val="bottom"/>
          </w:tcPr>
          <w:p>
            <w:pPr>
              <w:jc w:val="center"/>
              <w:ind w:right="13"/>
              <w:spacing w:after="0" w:line="138" w:lineRule="exact"/>
              <w:rPr>
                <w:sz w:val="20"/>
                <w:szCs w:val="20"/>
                <w:color w:val="auto"/>
              </w:rPr>
            </w:pPr>
            <w:r>
              <w:rPr>
                <w:rFonts w:ascii="Arial" w:cs="Arial" w:eastAsia="Arial" w:hAnsi="Arial"/>
                <w:sz w:val="13"/>
                <w:szCs w:val="13"/>
                <w:color w:val="auto"/>
                <w:w w:val="89"/>
              </w:rPr>
              <w:t>228,000</w:t>
            </w:r>
          </w:p>
        </w:tc>
        <w:tc>
          <w:tcPr>
            <w:tcW w:w="1080" w:type="dxa"/>
            <w:vAlign w:val="bottom"/>
          </w:tcPr>
          <w:p>
            <w:pPr>
              <w:jc w:val="center"/>
              <w:ind w:left="53"/>
              <w:spacing w:after="0" w:line="138" w:lineRule="exact"/>
              <w:rPr>
                <w:sz w:val="20"/>
                <w:szCs w:val="20"/>
                <w:color w:val="auto"/>
              </w:rPr>
            </w:pPr>
            <w:r>
              <w:rPr>
                <w:rFonts w:ascii="Arial" w:cs="Arial" w:eastAsia="Arial" w:hAnsi="Arial"/>
                <w:sz w:val="13"/>
                <w:szCs w:val="13"/>
                <w:color w:val="auto"/>
                <w:w w:val="92"/>
              </w:rPr>
              <w:t>98%</w:t>
            </w:r>
          </w:p>
        </w:tc>
        <w:tc>
          <w:tcPr>
            <w:tcW w:w="1460" w:type="dxa"/>
            <w:vAlign w:val="bottom"/>
          </w:tcPr>
          <w:p>
            <w:pPr>
              <w:ind w:left="320"/>
              <w:spacing w:after="0" w:line="138" w:lineRule="exact"/>
              <w:rPr>
                <w:sz w:val="20"/>
                <w:szCs w:val="20"/>
                <w:color w:val="auto"/>
              </w:rPr>
            </w:pPr>
            <w:r>
              <w:rPr>
                <w:rFonts w:ascii="Arial" w:cs="Arial" w:eastAsia="Arial" w:hAnsi="Arial"/>
                <w:sz w:val="13"/>
                <w:szCs w:val="13"/>
                <w:color w:val="auto"/>
              </w:rPr>
              <w:t>Albertson’s</w:t>
            </w:r>
          </w:p>
        </w:tc>
      </w:tr>
      <w:tr>
        <w:trPr>
          <w:trHeight w:val="146"/>
        </w:trPr>
        <w:tc>
          <w:tcPr>
            <w:tcW w:w="3600" w:type="dxa"/>
            <w:vAlign w:val="bottom"/>
          </w:tcPr>
          <w:p>
            <w:pPr>
              <w:ind w:left="220"/>
              <w:spacing w:after="0" w:line="146" w:lineRule="exact"/>
              <w:rPr>
                <w:sz w:val="20"/>
                <w:szCs w:val="20"/>
                <w:color w:val="auto"/>
              </w:rPr>
            </w:pPr>
            <w:r>
              <w:rPr>
                <w:rFonts w:ascii="Arial" w:cs="Arial" w:eastAsia="Arial" w:hAnsi="Arial"/>
                <w:sz w:val="13"/>
                <w:szCs w:val="13"/>
                <w:color w:val="auto"/>
              </w:rPr>
              <w:t>San Ramon, CA (4)</w:t>
            </w:r>
          </w:p>
        </w:tc>
        <w:tc>
          <w:tcPr>
            <w:tcW w:w="2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Loehmann’s</w:t>
            </w:r>
          </w:p>
        </w:tc>
      </w:tr>
      <w:tr>
        <w:trPr>
          <w:trHeight w:val="155"/>
        </w:trPr>
        <w:tc>
          <w:tcPr>
            <w:tcW w:w="36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60" w:type="dxa"/>
            <w:vAlign w:val="bottom"/>
          </w:tcPr>
          <w:p>
            <w:pPr>
              <w:ind w:left="320"/>
              <w:spacing w:after="0"/>
              <w:rPr>
                <w:sz w:val="20"/>
                <w:szCs w:val="20"/>
                <w:color w:val="auto"/>
              </w:rPr>
            </w:pPr>
            <w:r>
              <w:rPr>
                <w:rFonts w:ascii="Arial" w:cs="Arial" w:eastAsia="Arial" w:hAnsi="Arial"/>
                <w:sz w:val="13"/>
                <w:szCs w:val="13"/>
                <w:color w:val="auto"/>
              </w:rPr>
              <w:t>Rite Aid</w:t>
            </w:r>
          </w:p>
        </w:tc>
      </w:tr>
      <w:tr>
        <w:trPr>
          <w:trHeight w:val="138"/>
        </w:trPr>
        <w:tc>
          <w:tcPr>
            <w:tcW w:w="3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Escondido Promenade</w:t>
            </w:r>
          </w:p>
        </w:tc>
        <w:tc>
          <w:tcPr>
            <w:tcW w:w="2860" w:type="dxa"/>
            <w:vAlign w:val="bottom"/>
            <w:shd w:val="clear" w:color="auto" w:fill="CCEEFF"/>
          </w:tcPr>
          <w:p>
            <w:pPr>
              <w:jc w:val="center"/>
              <w:ind w:left="1709"/>
              <w:spacing w:after="0" w:line="138" w:lineRule="exact"/>
              <w:rPr>
                <w:sz w:val="20"/>
                <w:szCs w:val="20"/>
                <w:color w:val="auto"/>
              </w:rPr>
            </w:pPr>
            <w:r>
              <w:rPr>
                <w:rFonts w:ascii="Arial" w:cs="Arial" w:eastAsia="Arial" w:hAnsi="Arial"/>
                <w:sz w:val="13"/>
                <w:szCs w:val="13"/>
                <w:color w:val="auto"/>
                <w:w w:val="96"/>
              </w:rPr>
              <w:t>1987</w:t>
            </w:r>
          </w:p>
        </w:tc>
        <w:tc>
          <w:tcPr>
            <w:tcW w:w="1200" w:type="dxa"/>
            <w:vAlign w:val="bottom"/>
            <w:shd w:val="clear" w:color="auto" w:fill="CCEEFF"/>
          </w:tcPr>
          <w:p>
            <w:pPr>
              <w:jc w:val="center"/>
              <w:ind w:right="33"/>
              <w:spacing w:after="0" w:line="138" w:lineRule="exact"/>
              <w:rPr>
                <w:sz w:val="20"/>
                <w:szCs w:val="20"/>
                <w:color w:val="auto"/>
              </w:rPr>
            </w:pPr>
            <w:r>
              <w:rPr>
                <w:rFonts w:ascii="Arial" w:cs="Arial" w:eastAsia="Arial" w:hAnsi="Arial"/>
                <w:sz w:val="13"/>
                <w:szCs w:val="13"/>
                <w:color w:val="auto"/>
                <w:w w:val="89"/>
              </w:rPr>
              <w:t>1996</w:t>
            </w:r>
          </w:p>
        </w:tc>
        <w:tc>
          <w:tcPr>
            <w:tcW w:w="1220" w:type="dxa"/>
            <w:vAlign w:val="bottom"/>
            <w:shd w:val="clear" w:color="auto" w:fill="CCEEFF"/>
          </w:tcPr>
          <w:p>
            <w:pPr>
              <w:jc w:val="center"/>
              <w:ind w:right="13"/>
              <w:spacing w:after="0" w:line="138" w:lineRule="exact"/>
              <w:rPr>
                <w:sz w:val="20"/>
                <w:szCs w:val="20"/>
                <w:color w:val="auto"/>
              </w:rPr>
            </w:pPr>
            <w:r>
              <w:rPr>
                <w:rFonts w:ascii="Arial" w:cs="Arial" w:eastAsia="Arial" w:hAnsi="Arial"/>
                <w:sz w:val="13"/>
                <w:szCs w:val="13"/>
                <w:color w:val="auto"/>
                <w:w w:val="89"/>
              </w:rPr>
              <w:t>222,000</w:t>
            </w:r>
          </w:p>
        </w:tc>
        <w:tc>
          <w:tcPr>
            <w:tcW w:w="1080" w:type="dxa"/>
            <w:vAlign w:val="bottom"/>
            <w:shd w:val="clear" w:color="auto" w:fill="CCEEFF"/>
          </w:tcPr>
          <w:p>
            <w:pPr>
              <w:jc w:val="center"/>
              <w:ind w:left="73"/>
              <w:spacing w:after="0" w:line="138" w:lineRule="exact"/>
              <w:rPr>
                <w:sz w:val="20"/>
                <w:szCs w:val="20"/>
                <w:color w:val="auto"/>
              </w:rPr>
            </w:pPr>
            <w:r>
              <w:rPr>
                <w:rFonts w:ascii="Arial" w:cs="Arial" w:eastAsia="Arial" w:hAnsi="Arial"/>
                <w:sz w:val="13"/>
                <w:szCs w:val="13"/>
                <w:color w:val="auto"/>
                <w:w w:val="90"/>
              </w:rPr>
              <w:t>100%</w:t>
            </w:r>
          </w:p>
        </w:tc>
        <w:tc>
          <w:tcPr>
            <w:tcW w:w="146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Toys R Us</w:t>
            </w:r>
          </w:p>
        </w:tc>
      </w:tr>
      <w:tr>
        <w:trPr>
          <w:trHeight w:val="146"/>
        </w:trPr>
        <w:tc>
          <w:tcPr>
            <w:tcW w:w="360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Escondido, CA 92029 (9)</w:t>
            </w:r>
          </w:p>
        </w:tc>
        <w:tc>
          <w:tcPr>
            <w:tcW w:w="28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60" w:type="dxa"/>
            <w:vAlign w:val="bottom"/>
            <w:shd w:val="clear" w:color="auto" w:fill="CCEEFF"/>
          </w:tcPr>
          <w:p>
            <w:pPr>
              <w:ind w:left="320"/>
              <w:spacing w:after="0" w:line="146" w:lineRule="exact"/>
              <w:rPr>
                <w:sz w:val="20"/>
                <w:szCs w:val="20"/>
                <w:color w:val="auto"/>
              </w:rPr>
            </w:pPr>
            <w:r>
              <w:rPr>
                <w:rFonts w:ascii="Arial" w:cs="Arial" w:eastAsia="Arial" w:hAnsi="Arial"/>
                <w:sz w:val="13"/>
                <w:szCs w:val="13"/>
                <w:color w:val="auto"/>
              </w:rPr>
              <w:t>TJ Maxx</w:t>
            </w:r>
          </w:p>
        </w:tc>
      </w:tr>
      <w:tr>
        <w:trPr>
          <w:trHeight w:val="155"/>
        </w:trPr>
        <w:tc>
          <w:tcPr>
            <w:tcW w:w="360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Cost Plus</w:t>
            </w:r>
          </w:p>
        </w:tc>
      </w:tr>
      <w:tr>
        <w:trPr>
          <w:trHeight w:val="138"/>
        </w:trPr>
        <w:tc>
          <w:tcPr>
            <w:tcW w:w="3600" w:type="dxa"/>
            <w:vAlign w:val="bottom"/>
          </w:tcPr>
          <w:p>
            <w:pPr>
              <w:spacing w:after="0" w:line="138" w:lineRule="exact"/>
              <w:rPr>
                <w:sz w:val="20"/>
                <w:szCs w:val="20"/>
                <w:color w:val="auto"/>
              </w:rPr>
            </w:pPr>
            <w:r>
              <w:rPr>
                <w:rFonts w:ascii="Arial" w:cs="Arial" w:eastAsia="Arial" w:hAnsi="Arial"/>
                <w:sz w:val="13"/>
                <w:szCs w:val="13"/>
                <w:color w:val="auto"/>
              </w:rPr>
              <w:t>Fifth Avenue</w:t>
            </w:r>
          </w:p>
        </w:tc>
        <w:tc>
          <w:tcPr>
            <w:tcW w:w="2860" w:type="dxa"/>
            <w:vAlign w:val="bottom"/>
          </w:tcPr>
          <w:p>
            <w:pPr>
              <w:jc w:val="center"/>
              <w:ind w:left="1709"/>
              <w:spacing w:after="0" w:line="138" w:lineRule="exact"/>
              <w:rPr>
                <w:sz w:val="20"/>
                <w:szCs w:val="20"/>
                <w:color w:val="auto"/>
              </w:rPr>
            </w:pPr>
            <w:r>
              <w:rPr>
                <w:rFonts w:ascii="Arial" w:cs="Arial" w:eastAsia="Arial" w:hAnsi="Arial"/>
                <w:sz w:val="13"/>
                <w:szCs w:val="13"/>
                <w:color w:val="auto"/>
                <w:w w:val="90"/>
              </w:rPr>
              <w:t>1888-1995</w:t>
            </w:r>
          </w:p>
        </w:tc>
        <w:tc>
          <w:tcPr>
            <w:tcW w:w="1200" w:type="dxa"/>
            <w:vAlign w:val="bottom"/>
          </w:tcPr>
          <w:p>
            <w:pPr>
              <w:jc w:val="center"/>
              <w:ind w:right="33"/>
              <w:spacing w:after="0" w:line="138" w:lineRule="exact"/>
              <w:rPr>
                <w:sz w:val="20"/>
                <w:szCs w:val="20"/>
                <w:color w:val="auto"/>
              </w:rPr>
            </w:pPr>
            <w:r>
              <w:rPr>
                <w:rFonts w:ascii="Arial" w:cs="Arial" w:eastAsia="Arial" w:hAnsi="Arial"/>
                <w:sz w:val="13"/>
                <w:szCs w:val="13"/>
                <w:color w:val="auto"/>
                <w:w w:val="93"/>
              </w:rPr>
              <w:t>1996-1997</w:t>
            </w:r>
          </w:p>
        </w:tc>
        <w:tc>
          <w:tcPr>
            <w:tcW w:w="1220" w:type="dxa"/>
            <w:vAlign w:val="bottom"/>
          </w:tcPr>
          <w:p>
            <w:pPr>
              <w:jc w:val="center"/>
              <w:ind w:right="13"/>
              <w:spacing w:after="0" w:line="138" w:lineRule="exact"/>
              <w:rPr>
                <w:sz w:val="20"/>
                <w:szCs w:val="20"/>
                <w:color w:val="auto"/>
              </w:rPr>
            </w:pPr>
            <w:r>
              <w:rPr>
                <w:rFonts w:ascii="Arial" w:cs="Arial" w:eastAsia="Arial" w:hAnsi="Arial"/>
                <w:sz w:val="13"/>
                <w:szCs w:val="13"/>
                <w:color w:val="auto"/>
                <w:w w:val="95"/>
              </w:rPr>
              <w:t>51,000</w:t>
            </w:r>
          </w:p>
        </w:tc>
        <w:tc>
          <w:tcPr>
            <w:tcW w:w="1080" w:type="dxa"/>
            <w:vAlign w:val="bottom"/>
          </w:tcPr>
          <w:p>
            <w:pPr>
              <w:jc w:val="center"/>
              <w:ind w:left="53"/>
              <w:spacing w:after="0" w:line="138" w:lineRule="exact"/>
              <w:rPr>
                <w:sz w:val="20"/>
                <w:szCs w:val="20"/>
                <w:color w:val="auto"/>
              </w:rPr>
            </w:pPr>
            <w:r>
              <w:rPr>
                <w:rFonts w:ascii="Arial" w:cs="Arial" w:eastAsia="Arial" w:hAnsi="Arial"/>
                <w:sz w:val="13"/>
                <w:szCs w:val="13"/>
                <w:color w:val="auto"/>
                <w:w w:val="92"/>
              </w:rPr>
              <w:t>99%</w:t>
            </w:r>
          </w:p>
        </w:tc>
        <w:tc>
          <w:tcPr>
            <w:tcW w:w="1460" w:type="dxa"/>
            <w:vAlign w:val="bottom"/>
          </w:tcPr>
          <w:p>
            <w:pPr>
              <w:ind w:left="320"/>
              <w:spacing w:after="0" w:line="138" w:lineRule="exact"/>
              <w:rPr>
                <w:sz w:val="20"/>
                <w:szCs w:val="20"/>
                <w:color w:val="auto"/>
              </w:rPr>
            </w:pPr>
            <w:r>
              <w:rPr>
                <w:rFonts w:ascii="Arial" w:cs="Arial" w:eastAsia="Arial" w:hAnsi="Arial"/>
                <w:sz w:val="13"/>
                <w:szCs w:val="13"/>
                <w:color w:val="auto"/>
              </w:rPr>
              <w:t>Urban Outfitters</w:t>
            </w:r>
          </w:p>
        </w:tc>
      </w:tr>
      <w:tr>
        <w:trPr>
          <w:trHeight w:val="155"/>
        </w:trPr>
        <w:tc>
          <w:tcPr>
            <w:tcW w:w="3600" w:type="dxa"/>
            <w:vAlign w:val="bottom"/>
          </w:tcPr>
          <w:p>
            <w:pPr>
              <w:ind w:left="220"/>
              <w:spacing w:after="0"/>
              <w:rPr>
                <w:sz w:val="20"/>
                <w:szCs w:val="20"/>
                <w:color w:val="auto"/>
              </w:rPr>
            </w:pPr>
            <w:r>
              <w:rPr>
                <w:rFonts w:ascii="Arial" w:cs="Arial" w:eastAsia="Arial" w:hAnsi="Arial"/>
                <w:sz w:val="13"/>
                <w:szCs w:val="13"/>
                <w:color w:val="auto"/>
              </w:rPr>
              <w:t>San Diego, CA (12)</w:t>
            </w:r>
          </w:p>
        </w:tc>
        <w:tc>
          <w:tcPr>
            <w:tcW w:w="2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38"/>
        </w:trPr>
        <w:tc>
          <w:tcPr>
            <w:tcW w:w="3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Hermosa Avenue</w:t>
            </w:r>
          </w:p>
        </w:tc>
        <w:tc>
          <w:tcPr>
            <w:tcW w:w="2860" w:type="dxa"/>
            <w:vAlign w:val="bottom"/>
            <w:shd w:val="clear" w:color="auto" w:fill="CCEEFF"/>
          </w:tcPr>
          <w:p>
            <w:pPr>
              <w:jc w:val="center"/>
              <w:ind w:left="1709"/>
              <w:spacing w:after="0" w:line="138" w:lineRule="exact"/>
              <w:rPr>
                <w:sz w:val="20"/>
                <w:szCs w:val="20"/>
                <w:color w:val="auto"/>
              </w:rPr>
            </w:pPr>
            <w:r>
              <w:rPr>
                <w:rFonts w:ascii="Arial" w:cs="Arial" w:eastAsia="Arial" w:hAnsi="Arial"/>
                <w:sz w:val="13"/>
                <w:szCs w:val="13"/>
                <w:color w:val="auto"/>
                <w:w w:val="96"/>
              </w:rPr>
              <w:t>1922</w:t>
            </w:r>
          </w:p>
        </w:tc>
        <w:tc>
          <w:tcPr>
            <w:tcW w:w="1200" w:type="dxa"/>
            <w:vAlign w:val="bottom"/>
            <w:shd w:val="clear" w:color="auto" w:fill="CCEEFF"/>
          </w:tcPr>
          <w:p>
            <w:pPr>
              <w:jc w:val="center"/>
              <w:ind w:right="33"/>
              <w:spacing w:after="0" w:line="138" w:lineRule="exact"/>
              <w:rPr>
                <w:sz w:val="20"/>
                <w:szCs w:val="20"/>
                <w:color w:val="auto"/>
              </w:rPr>
            </w:pPr>
            <w:r>
              <w:rPr>
                <w:rFonts w:ascii="Arial" w:cs="Arial" w:eastAsia="Arial" w:hAnsi="Arial"/>
                <w:sz w:val="13"/>
                <w:szCs w:val="13"/>
                <w:color w:val="auto"/>
                <w:w w:val="89"/>
              </w:rPr>
              <w:t>1997</w:t>
            </w:r>
          </w:p>
        </w:tc>
        <w:tc>
          <w:tcPr>
            <w:tcW w:w="1220" w:type="dxa"/>
            <w:vAlign w:val="bottom"/>
            <w:shd w:val="clear" w:color="auto" w:fill="CCEEFF"/>
          </w:tcPr>
          <w:p>
            <w:pPr>
              <w:jc w:val="center"/>
              <w:ind w:right="13"/>
              <w:spacing w:after="0" w:line="138" w:lineRule="exact"/>
              <w:rPr>
                <w:sz w:val="20"/>
                <w:szCs w:val="20"/>
                <w:color w:val="auto"/>
              </w:rPr>
            </w:pPr>
            <w:r>
              <w:rPr>
                <w:rFonts w:ascii="Arial" w:cs="Arial" w:eastAsia="Arial" w:hAnsi="Arial"/>
                <w:sz w:val="13"/>
                <w:szCs w:val="13"/>
                <w:color w:val="auto"/>
                <w:w w:val="95"/>
              </w:rPr>
              <w:t>23,000</w:t>
            </w:r>
          </w:p>
        </w:tc>
        <w:tc>
          <w:tcPr>
            <w:tcW w:w="1080" w:type="dxa"/>
            <w:vAlign w:val="bottom"/>
            <w:shd w:val="clear" w:color="auto" w:fill="CCEEFF"/>
          </w:tcPr>
          <w:p>
            <w:pPr>
              <w:jc w:val="center"/>
              <w:ind w:left="73"/>
              <w:spacing w:after="0" w:line="138" w:lineRule="exact"/>
              <w:rPr>
                <w:sz w:val="20"/>
                <w:szCs w:val="20"/>
                <w:color w:val="auto"/>
              </w:rPr>
            </w:pPr>
            <w:r>
              <w:rPr>
                <w:rFonts w:ascii="Arial" w:cs="Arial" w:eastAsia="Arial" w:hAnsi="Arial"/>
                <w:sz w:val="13"/>
                <w:szCs w:val="13"/>
                <w:color w:val="auto"/>
                <w:w w:val="90"/>
              </w:rPr>
              <w:t>100%</w:t>
            </w:r>
          </w:p>
        </w:tc>
        <w:tc>
          <w:tcPr>
            <w:tcW w:w="1460" w:type="dxa"/>
            <w:vAlign w:val="bottom"/>
            <w:shd w:val="clear" w:color="auto" w:fill="CCEEFF"/>
          </w:tcPr>
          <w:p>
            <w:pPr>
              <w:spacing w:after="0"/>
              <w:rPr>
                <w:sz w:val="11"/>
                <w:szCs w:val="11"/>
                <w:color w:val="auto"/>
              </w:rPr>
            </w:pPr>
          </w:p>
        </w:tc>
      </w:tr>
      <w:tr>
        <w:trPr>
          <w:trHeight w:val="155"/>
        </w:trPr>
        <w:tc>
          <w:tcPr>
            <w:tcW w:w="3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Hermosa Beach, CA (11)</w:t>
            </w:r>
          </w:p>
        </w:tc>
        <w:tc>
          <w:tcPr>
            <w:tcW w:w="28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358"/>
        </w:trPr>
        <w:tc>
          <w:tcPr>
            <w:tcW w:w="3600" w:type="dxa"/>
            <w:vAlign w:val="bottom"/>
          </w:tcPr>
          <w:p>
            <w:pPr>
              <w:spacing w:after="0"/>
              <w:rPr>
                <w:sz w:val="24"/>
                <w:szCs w:val="24"/>
                <w:color w:val="auto"/>
              </w:rPr>
            </w:pPr>
          </w:p>
        </w:tc>
        <w:tc>
          <w:tcPr>
            <w:tcW w:w="2860" w:type="dxa"/>
            <w:vAlign w:val="bottom"/>
          </w:tcPr>
          <w:p>
            <w:pPr>
              <w:jc w:val="right"/>
              <w:ind w:right="589"/>
              <w:spacing w:after="0"/>
              <w:rPr>
                <w:sz w:val="20"/>
                <w:szCs w:val="20"/>
                <w:color w:val="auto"/>
              </w:rPr>
            </w:pPr>
            <w:r>
              <w:rPr>
                <w:rFonts w:ascii="Arial" w:cs="Arial" w:eastAsia="Arial" w:hAnsi="Arial"/>
                <w:sz w:val="17"/>
                <w:szCs w:val="17"/>
                <w:color w:val="auto"/>
              </w:rPr>
              <w:t>24</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277"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Retail and Residential Properties—continued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3"/>
              </w:rPr>
              <w:t>Square Feet (1)</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Year</w:t>
            </w:r>
          </w:p>
        </w:tc>
        <w:tc>
          <w:tcPr>
            <w:tcW w:w="46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/Apartment</w:t>
            </w:r>
          </w:p>
        </w:tc>
        <w:tc>
          <w:tcPr>
            <w:tcW w:w="46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Percentage</w:t>
            </w: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Leased (2)</w:t>
            </w:r>
          </w:p>
        </w:tc>
        <w:tc>
          <w:tcPr>
            <w:tcW w:w="460" w:type="dxa"/>
            <w:vAlign w:val="bottom"/>
          </w:tcPr>
          <w:p>
            <w:pPr>
              <w:spacing w:after="0"/>
              <w:rPr>
                <w:sz w:val="14"/>
                <w:szCs w:val="14"/>
                <w:color w:val="auto"/>
              </w:rPr>
            </w:pP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Principal Tenant(s)</w:t>
            </w:r>
          </w:p>
        </w:tc>
      </w:tr>
      <w:tr>
        <w:trPr>
          <w:trHeight w:val="131"/>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Hollywood Blvd</w:t>
            </w:r>
          </w:p>
        </w:tc>
        <w:tc>
          <w:tcPr>
            <w:tcW w:w="70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1921-1991</w:t>
            </w:r>
          </w:p>
        </w:tc>
        <w:tc>
          <w:tcPr>
            <w:tcW w:w="110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89"/>
              </w:rPr>
              <w:t>1999</w:t>
            </w:r>
          </w:p>
        </w:tc>
        <w:tc>
          <w:tcPr>
            <w:tcW w:w="1420" w:type="dxa"/>
            <w:vAlign w:val="bottom"/>
            <w:gridSpan w:val="2"/>
            <w:shd w:val="clear" w:color="auto" w:fill="CCEEFF"/>
          </w:tcPr>
          <w:p>
            <w:pPr>
              <w:jc w:val="center"/>
              <w:ind w:left="393"/>
              <w:spacing w:after="0" w:line="131" w:lineRule="exact"/>
              <w:rPr>
                <w:sz w:val="20"/>
                <w:szCs w:val="20"/>
                <w:color w:val="auto"/>
              </w:rPr>
            </w:pPr>
            <w:r>
              <w:rPr>
                <w:rFonts w:ascii="Arial" w:cs="Arial" w:eastAsia="Arial" w:hAnsi="Arial"/>
                <w:sz w:val="13"/>
                <w:szCs w:val="13"/>
                <w:color w:val="auto"/>
                <w:w w:val="93"/>
              </w:rPr>
              <w:t>149,000</w:t>
            </w:r>
          </w:p>
        </w:tc>
        <w:tc>
          <w:tcPr>
            <w:tcW w:w="1160" w:type="dxa"/>
            <w:vAlign w:val="bottom"/>
            <w:gridSpan w:val="2"/>
            <w:shd w:val="clear" w:color="auto" w:fill="CCEEFF"/>
          </w:tcPr>
          <w:p>
            <w:pPr>
              <w:jc w:val="center"/>
              <w:ind w:left="373"/>
              <w:spacing w:after="0" w:line="131" w:lineRule="exact"/>
              <w:rPr>
                <w:sz w:val="20"/>
                <w:szCs w:val="20"/>
                <w:color w:val="auto"/>
              </w:rPr>
            </w:pPr>
            <w:r>
              <w:rPr>
                <w:rFonts w:ascii="Arial" w:cs="Arial" w:eastAsia="Arial" w:hAnsi="Arial"/>
                <w:sz w:val="13"/>
                <w:szCs w:val="13"/>
                <w:color w:val="auto"/>
                <w:w w:val="92"/>
              </w:rPr>
              <w:t>78%</w:t>
            </w:r>
          </w:p>
        </w:tc>
        <w:tc>
          <w:tcPr>
            <w:tcW w:w="2020" w:type="dxa"/>
            <w:vAlign w:val="bottom"/>
            <w:gridSpan w:val="2"/>
            <w:shd w:val="clear" w:color="auto" w:fill="CCEEFF"/>
          </w:tcPr>
          <w:p>
            <w:pPr>
              <w:ind w:left="460"/>
              <w:spacing w:after="0" w:line="131" w:lineRule="exact"/>
              <w:rPr>
                <w:sz w:val="20"/>
                <w:szCs w:val="20"/>
                <w:color w:val="auto"/>
              </w:rPr>
            </w:pPr>
            <w:r>
              <w:rPr>
                <w:rFonts w:ascii="Arial" w:cs="Arial" w:eastAsia="Arial" w:hAnsi="Arial"/>
                <w:sz w:val="13"/>
                <w:szCs w:val="13"/>
                <w:color w:val="auto"/>
              </w:rPr>
              <w:t>Hollywood Entertainment</w:t>
            </w:r>
          </w:p>
        </w:tc>
      </w:tr>
      <w:tr>
        <w:trPr>
          <w:trHeight w:val="155"/>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Hollywood, CA (11)</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Museum</w:t>
            </w: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3"/>
                <w:szCs w:val="13"/>
                <w:color w:val="auto"/>
              </w:rPr>
              <w:t>Houston Street</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3"/>
              </w:rPr>
              <w:t>1890-1935</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1998-1999</w:t>
            </w:r>
          </w:p>
        </w:tc>
        <w:tc>
          <w:tcPr>
            <w:tcW w:w="14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171,000</w:t>
            </w:r>
          </w:p>
        </w:tc>
        <w:tc>
          <w:tcPr>
            <w:tcW w:w="11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67%</w:t>
            </w:r>
          </w:p>
        </w:tc>
        <w:tc>
          <w:tcPr>
            <w:tcW w:w="20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Hotel Valencia</w:t>
            </w:r>
          </w:p>
        </w:tc>
      </w:tr>
      <w:tr>
        <w:trPr>
          <w:trHeight w:val="155"/>
        </w:trPr>
        <w:tc>
          <w:tcPr>
            <w:tcW w:w="20" w:type="dxa"/>
            <w:vAlign w:val="bottom"/>
          </w:tcPr>
          <w:p>
            <w:pPr>
              <w:spacing w:after="0"/>
              <w:rPr>
                <w:sz w:val="13"/>
                <w:szCs w:val="13"/>
                <w:color w:val="auto"/>
              </w:rPr>
            </w:pPr>
          </w:p>
        </w:tc>
        <w:tc>
          <w:tcPr>
            <w:tcW w:w="5000" w:type="dxa"/>
            <w:vAlign w:val="bottom"/>
            <w:gridSpan w:val="2"/>
          </w:tcPr>
          <w:p>
            <w:pPr>
              <w:ind w:left="200"/>
              <w:spacing w:after="0"/>
              <w:rPr>
                <w:sz w:val="20"/>
                <w:szCs w:val="20"/>
                <w:color w:val="auto"/>
              </w:rPr>
            </w:pPr>
            <w:r>
              <w:rPr>
                <w:rFonts w:ascii="Arial" w:cs="Arial" w:eastAsia="Arial" w:hAnsi="Arial"/>
                <w:sz w:val="13"/>
                <w:szCs w:val="13"/>
                <w:color w:val="auto"/>
              </w:rPr>
              <w:t>San Antonio, TX</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King’s Court</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1960</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1998</w:t>
            </w:r>
          </w:p>
        </w:tc>
        <w:tc>
          <w:tcPr>
            <w:tcW w:w="14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79,000</w:t>
            </w:r>
          </w:p>
        </w:tc>
        <w:tc>
          <w:tcPr>
            <w:tcW w:w="116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20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Lunardi’s Supermarket</w:t>
            </w:r>
          </w:p>
        </w:tc>
      </w:tr>
      <w:tr>
        <w:trPr>
          <w:trHeight w:val="155"/>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Los Gatos, CA 95032 (6) (7)</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Longs Drug Store</w:t>
            </w: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3"/>
                <w:szCs w:val="13"/>
                <w:color w:val="auto"/>
              </w:rPr>
              <w:t>Old Town Center</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89"/>
              </w:rPr>
              <w:t>1962</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14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95,000</w:t>
            </w:r>
          </w:p>
        </w:tc>
        <w:tc>
          <w:tcPr>
            <w:tcW w:w="11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98%</w:t>
            </w:r>
          </w:p>
        </w:tc>
        <w:tc>
          <w:tcPr>
            <w:tcW w:w="20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Borders Books and</w:t>
            </w:r>
          </w:p>
        </w:tc>
      </w:tr>
      <w:tr>
        <w:trPr>
          <w:trHeight w:val="146"/>
        </w:trPr>
        <w:tc>
          <w:tcPr>
            <w:tcW w:w="20" w:type="dxa"/>
            <w:vAlign w:val="bottom"/>
          </w:tcPr>
          <w:p>
            <w:pPr>
              <w:spacing w:after="0"/>
              <w:rPr>
                <w:sz w:val="12"/>
                <w:szCs w:val="12"/>
                <w:color w:val="auto"/>
              </w:rPr>
            </w:pPr>
          </w:p>
        </w:tc>
        <w:tc>
          <w:tcPr>
            <w:tcW w:w="5000" w:type="dxa"/>
            <w:vAlign w:val="bottom"/>
            <w:gridSpan w:val="2"/>
          </w:tcPr>
          <w:p>
            <w:pPr>
              <w:ind w:left="200"/>
              <w:spacing w:after="0" w:line="146" w:lineRule="exact"/>
              <w:rPr>
                <w:sz w:val="20"/>
                <w:szCs w:val="20"/>
                <w:color w:val="auto"/>
              </w:rPr>
            </w:pPr>
            <w:r>
              <w:rPr>
                <w:rFonts w:ascii="Arial" w:cs="Arial" w:eastAsia="Arial" w:hAnsi="Arial"/>
                <w:sz w:val="13"/>
                <w:szCs w:val="13"/>
                <w:color w:val="auto"/>
              </w:rPr>
              <w:t>Los Gatos, CA 95030</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Music</w:t>
            </w: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Gap Kids</w:t>
            </w:r>
          </w:p>
        </w:tc>
      </w:tr>
      <w:tr>
        <w:trPr>
          <w:trHeight w:val="155"/>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20" w:type="dxa"/>
            <w:vAlign w:val="bottom"/>
            <w:gridSpan w:val="2"/>
          </w:tcPr>
          <w:p>
            <w:pPr>
              <w:ind w:left="460"/>
              <w:spacing w:after="0"/>
              <w:rPr>
                <w:sz w:val="20"/>
                <w:szCs w:val="20"/>
                <w:color w:val="auto"/>
              </w:rPr>
            </w:pPr>
            <w:r>
              <w:rPr>
                <w:rFonts w:ascii="Arial" w:cs="Arial" w:eastAsia="Arial" w:hAnsi="Arial"/>
                <w:sz w:val="13"/>
                <w:szCs w:val="13"/>
                <w:color w:val="auto"/>
              </w:rPr>
              <w:t>Banana Republic</w:t>
            </w: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150 Post Street</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1965</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14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103,000</w:t>
            </w:r>
          </w:p>
        </w:tc>
        <w:tc>
          <w:tcPr>
            <w:tcW w:w="11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86%</w:t>
            </w:r>
          </w:p>
        </w:tc>
        <w:tc>
          <w:tcPr>
            <w:tcW w:w="20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Brooks Brothers</w:t>
            </w:r>
          </w:p>
        </w:tc>
      </w:tr>
      <w:tr>
        <w:trPr>
          <w:trHeight w:val="155"/>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San Francisco, CA 94108</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3"/>
                <w:szCs w:val="13"/>
                <w:color w:val="auto"/>
              </w:rPr>
              <w:t>Santana Row – Retail</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89"/>
              </w:rPr>
              <w:t>2002</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14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563,000</w:t>
            </w:r>
          </w:p>
        </w:tc>
        <w:tc>
          <w:tcPr>
            <w:tcW w:w="11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94%</w:t>
            </w:r>
          </w:p>
        </w:tc>
        <w:tc>
          <w:tcPr>
            <w:tcW w:w="20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Crate &amp; Barrel</w:t>
            </w:r>
          </w:p>
        </w:tc>
      </w:tr>
      <w:tr>
        <w:trPr>
          <w:trHeight w:val="146"/>
        </w:trPr>
        <w:tc>
          <w:tcPr>
            <w:tcW w:w="20" w:type="dxa"/>
            <w:vAlign w:val="bottom"/>
          </w:tcPr>
          <w:p>
            <w:pPr>
              <w:spacing w:after="0"/>
              <w:rPr>
                <w:sz w:val="12"/>
                <w:szCs w:val="12"/>
                <w:color w:val="auto"/>
              </w:rPr>
            </w:pPr>
          </w:p>
        </w:tc>
        <w:tc>
          <w:tcPr>
            <w:tcW w:w="5000" w:type="dxa"/>
            <w:vAlign w:val="bottom"/>
            <w:gridSpan w:val="2"/>
          </w:tcPr>
          <w:p>
            <w:pPr>
              <w:ind w:left="200"/>
              <w:spacing w:after="0" w:line="146" w:lineRule="exact"/>
              <w:rPr>
                <w:sz w:val="20"/>
                <w:szCs w:val="20"/>
                <w:color w:val="auto"/>
              </w:rPr>
            </w:pPr>
            <w:r>
              <w:rPr>
                <w:rFonts w:ascii="Arial" w:cs="Arial" w:eastAsia="Arial" w:hAnsi="Arial"/>
                <w:sz w:val="13"/>
                <w:szCs w:val="13"/>
                <w:color w:val="auto"/>
              </w:rPr>
              <w:t>San Jose, CA 95128 (13)</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Borders Books</w:t>
            </w: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Container Store</w:t>
            </w: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Best Buy</w:t>
            </w:r>
          </w:p>
        </w:tc>
      </w:tr>
      <w:tr>
        <w:trPr>
          <w:trHeight w:val="155"/>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20" w:type="dxa"/>
            <w:vAlign w:val="bottom"/>
            <w:gridSpan w:val="2"/>
          </w:tcPr>
          <w:p>
            <w:pPr>
              <w:ind w:left="460"/>
              <w:spacing w:after="0"/>
              <w:rPr>
                <w:sz w:val="20"/>
                <w:szCs w:val="20"/>
                <w:color w:val="auto"/>
              </w:rPr>
            </w:pPr>
            <w:r>
              <w:rPr>
                <w:rFonts w:ascii="Arial" w:cs="Arial" w:eastAsia="Arial" w:hAnsi="Arial"/>
                <w:sz w:val="13"/>
                <w:szCs w:val="13"/>
                <w:color w:val="auto"/>
              </w:rPr>
              <w:t>CineArts Theatre</w:t>
            </w: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Santana Row – Residential</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2003</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36 units</w:t>
            </w:r>
          </w:p>
        </w:tc>
        <w:tc>
          <w:tcPr>
            <w:tcW w:w="11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94%</w:t>
            </w:r>
          </w:p>
        </w:tc>
        <w:tc>
          <w:tcPr>
            <w:tcW w:w="4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San Jose, CA 95128 (14)</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3"/>
                <w:szCs w:val="13"/>
                <w:color w:val="auto"/>
              </w:rPr>
              <w:t>Third Street Promenade</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3"/>
              </w:rPr>
              <w:t>1888-1995</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1996-2000</w:t>
            </w:r>
          </w:p>
        </w:tc>
        <w:tc>
          <w:tcPr>
            <w:tcW w:w="142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211,000</w:t>
            </w:r>
          </w:p>
        </w:tc>
        <w:tc>
          <w:tcPr>
            <w:tcW w:w="116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100%</w:t>
            </w:r>
          </w:p>
        </w:tc>
        <w:tc>
          <w:tcPr>
            <w:tcW w:w="20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Abercrombie &amp; Fitch</w:t>
            </w:r>
          </w:p>
        </w:tc>
      </w:tr>
      <w:tr>
        <w:trPr>
          <w:trHeight w:val="146"/>
        </w:trPr>
        <w:tc>
          <w:tcPr>
            <w:tcW w:w="20" w:type="dxa"/>
            <w:vAlign w:val="bottom"/>
          </w:tcPr>
          <w:p>
            <w:pPr>
              <w:spacing w:after="0"/>
              <w:rPr>
                <w:sz w:val="12"/>
                <w:szCs w:val="12"/>
                <w:color w:val="auto"/>
              </w:rPr>
            </w:pPr>
          </w:p>
        </w:tc>
        <w:tc>
          <w:tcPr>
            <w:tcW w:w="5000" w:type="dxa"/>
            <w:vAlign w:val="bottom"/>
            <w:gridSpan w:val="2"/>
          </w:tcPr>
          <w:p>
            <w:pPr>
              <w:ind w:left="200"/>
              <w:spacing w:after="0" w:line="146" w:lineRule="exact"/>
              <w:rPr>
                <w:sz w:val="20"/>
                <w:szCs w:val="20"/>
                <w:color w:val="auto"/>
              </w:rPr>
            </w:pPr>
            <w:r>
              <w:rPr>
                <w:rFonts w:ascii="Arial" w:cs="Arial" w:eastAsia="Arial" w:hAnsi="Arial"/>
                <w:sz w:val="13"/>
                <w:szCs w:val="13"/>
                <w:color w:val="auto"/>
              </w:rPr>
              <w:t>Santa Monica, CA (10)</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J. Crew</w:t>
            </w: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2"/>
          </w:tcPr>
          <w:p>
            <w:pPr>
              <w:ind w:left="460"/>
              <w:spacing w:after="0" w:line="146" w:lineRule="exact"/>
              <w:rPr>
                <w:sz w:val="20"/>
                <w:szCs w:val="20"/>
                <w:color w:val="auto"/>
              </w:rPr>
            </w:pPr>
            <w:r>
              <w:rPr>
                <w:rFonts w:ascii="Arial" w:cs="Arial" w:eastAsia="Arial" w:hAnsi="Arial"/>
                <w:sz w:val="13"/>
                <w:szCs w:val="13"/>
                <w:color w:val="auto"/>
              </w:rPr>
              <w:t>Old Navy</w:t>
            </w:r>
          </w:p>
        </w:tc>
      </w:tr>
      <w:tr>
        <w:trPr>
          <w:trHeight w:val="155"/>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20" w:type="dxa"/>
            <w:vAlign w:val="bottom"/>
            <w:gridSpan w:val="2"/>
          </w:tcPr>
          <w:p>
            <w:pPr>
              <w:ind w:left="460"/>
              <w:spacing w:after="0"/>
              <w:rPr>
                <w:sz w:val="20"/>
                <w:szCs w:val="20"/>
                <w:color w:val="auto"/>
              </w:rPr>
            </w:pPr>
            <w:r>
              <w:rPr>
                <w:rFonts w:ascii="Arial" w:cs="Arial" w:eastAsia="Arial" w:hAnsi="Arial"/>
                <w:sz w:val="13"/>
                <w:szCs w:val="13"/>
                <w:color w:val="auto"/>
              </w:rPr>
              <w:t>Banana Republic</w:t>
            </w: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Westgate Shopping Center</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1960-1966</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2004</w:t>
            </w:r>
          </w:p>
        </w:tc>
        <w:tc>
          <w:tcPr>
            <w:tcW w:w="142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646,000</w:t>
            </w:r>
          </w:p>
        </w:tc>
        <w:tc>
          <w:tcPr>
            <w:tcW w:w="11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98%</w:t>
            </w:r>
          </w:p>
        </w:tc>
        <w:tc>
          <w:tcPr>
            <w:tcW w:w="20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Safeway</w:t>
            </w:r>
          </w:p>
        </w:tc>
      </w:tr>
      <w:tr>
        <w:trPr>
          <w:trHeight w:val="146"/>
        </w:trPr>
        <w:tc>
          <w:tcPr>
            <w:tcW w:w="20" w:type="dxa"/>
            <w:vAlign w:val="bottom"/>
          </w:tcPr>
          <w:p>
            <w:pPr>
              <w:spacing w:after="0"/>
              <w:rPr>
                <w:sz w:val="12"/>
                <w:szCs w:val="12"/>
                <w:color w:val="auto"/>
              </w:rPr>
            </w:pPr>
          </w:p>
        </w:tc>
        <w:tc>
          <w:tcPr>
            <w:tcW w:w="5000" w:type="dxa"/>
            <w:vAlign w:val="bottom"/>
            <w:gridSpan w:val="2"/>
            <w:shd w:val="clear" w:color="auto" w:fill="CCEEFF"/>
          </w:tcPr>
          <w:p>
            <w:pPr>
              <w:ind w:left="200"/>
              <w:spacing w:after="0" w:line="146" w:lineRule="exact"/>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Target</w:t>
            </w:r>
          </w:p>
        </w:tc>
      </w:tr>
      <w:tr>
        <w:trPr>
          <w:trHeight w:val="146"/>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Burlington Coat Factory</w:t>
            </w:r>
          </w:p>
        </w:tc>
      </w:tr>
      <w:tr>
        <w:trPr>
          <w:trHeight w:val="146"/>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ind w:left="460"/>
              <w:spacing w:after="0" w:line="146" w:lineRule="exact"/>
              <w:rPr>
                <w:sz w:val="20"/>
                <w:szCs w:val="20"/>
                <w:color w:val="auto"/>
              </w:rPr>
            </w:pPr>
            <w:r>
              <w:rPr>
                <w:rFonts w:ascii="Arial" w:cs="Arial" w:eastAsia="Arial" w:hAnsi="Arial"/>
                <w:sz w:val="13"/>
                <w:szCs w:val="13"/>
                <w:color w:val="auto"/>
              </w:rPr>
              <w:t>Barnes &amp; Noble</w:t>
            </w:r>
          </w:p>
        </w:tc>
      </w:tr>
      <w:tr>
        <w:trPr>
          <w:trHeight w:val="155"/>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Ross</w:t>
            </w:r>
          </w:p>
        </w:tc>
      </w:tr>
      <w:tr>
        <w:trPr>
          <w:trHeight w:val="160"/>
        </w:trPr>
        <w:tc>
          <w:tcPr>
            <w:tcW w:w="5020" w:type="dxa"/>
            <w:vAlign w:val="bottom"/>
            <w:gridSpan w:val="3"/>
          </w:tcPr>
          <w:p>
            <w:pPr>
              <w:spacing w:after="0"/>
              <w:rPr>
                <w:sz w:val="20"/>
                <w:szCs w:val="20"/>
                <w:color w:val="auto"/>
              </w:rPr>
            </w:pPr>
            <w:r>
              <w:rPr>
                <w:rFonts w:ascii="Arial" w:cs="Arial" w:eastAsia="Arial" w:hAnsi="Arial"/>
                <w:sz w:val="13"/>
                <w:szCs w:val="13"/>
                <w:b w:val="1"/>
                <w:bCs w:val="1"/>
                <w:color w:val="auto"/>
              </w:rPr>
              <w:t>Total West region</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2,610,000</w:t>
            </w:r>
          </w:p>
        </w:tc>
        <w:tc>
          <w:tcPr>
            <w:tcW w:w="1160" w:type="dxa"/>
            <w:vAlign w:val="bottom"/>
            <w:gridSpan w:val="2"/>
          </w:tcPr>
          <w:p>
            <w:pPr>
              <w:jc w:val="center"/>
              <w:ind w:left="393"/>
              <w:spacing w:after="0"/>
              <w:rPr>
                <w:sz w:val="20"/>
                <w:szCs w:val="20"/>
                <w:color w:val="auto"/>
              </w:rPr>
            </w:pPr>
            <w:r>
              <w:rPr>
                <w:rFonts w:ascii="Arial" w:cs="Arial" w:eastAsia="Arial" w:hAnsi="Arial"/>
                <w:sz w:val="13"/>
                <w:szCs w:val="13"/>
                <w:b w:val="1"/>
                <w:bCs w:val="1"/>
                <w:color w:val="auto"/>
                <w:w w:val="99"/>
              </w:rPr>
              <w:t>94%</w:t>
            </w: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50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Total all regions</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left="393"/>
              <w:spacing w:after="0" w:line="146" w:lineRule="exact"/>
              <w:rPr>
                <w:sz w:val="20"/>
                <w:szCs w:val="20"/>
                <w:color w:val="auto"/>
              </w:rPr>
            </w:pPr>
            <w:r>
              <w:rPr>
                <w:rFonts w:ascii="Arial" w:cs="Arial" w:eastAsia="Arial" w:hAnsi="Arial"/>
                <w:sz w:val="13"/>
                <w:szCs w:val="13"/>
                <w:b w:val="1"/>
                <w:bCs w:val="1"/>
                <w:color w:val="auto"/>
                <w:w w:val="92"/>
              </w:rPr>
              <w:t>17,551,000</w:t>
            </w:r>
          </w:p>
        </w:tc>
        <w:tc>
          <w:tcPr>
            <w:tcW w:w="1160" w:type="dxa"/>
            <w:vAlign w:val="bottom"/>
            <w:gridSpan w:val="2"/>
            <w:shd w:val="clear" w:color="auto" w:fill="CCEEFF"/>
          </w:tcPr>
          <w:p>
            <w:pPr>
              <w:jc w:val="center"/>
              <w:ind w:left="393"/>
              <w:spacing w:after="0" w:line="146" w:lineRule="exact"/>
              <w:rPr>
                <w:sz w:val="20"/>
                <w:szCs w:val="20"/>
                <w:color w:val="auto"/>
              </w:rPr>
            </w:pPr>
            <w:r>
              <w:rPr>
                <w:rFonts w:ascii="Arial" w:cs="Arial" w:eastAsia="Arial" w:hAnsi="Arial"/>
                <w:sz w:val="13"/>
                <w:szCs w:val="13"/>
                <w:b w:val="1"/>
                <w:bCs w:val="1"/>
                <w:color w:val="auto"/>
                <w:w w:val="99"/>
              </w:rPr>
              <w:t>96%</w:t>
            </w:r>
          </w:p>
        </w:tc>
        <w:tc>
          <w:tcPr>
            <w:tcW w:w="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60" w:type="dxa"/>
            <w:vAlign w:val="bottom"/>
          </w:tcPr>
          <w:p>
            <w:pPr>
              <w:spacing w:after="0"/>
              <w:rPr>
                <w:sz w:val="8"/>
                <w:szCs w:val="8"/>
                <w:color w:val="auto"/>
              </w:rPr>
            </w:pPr>
          </w:p>
        </w:tc>
      </w:tr>
    </w:tbl>
    <w:p>
      <w:pPr>
        <w:spacing w:after="0" w:line="98" w:lineRule="exact"/>
        <w:rPr>
          <w:sz w:val="20"/>
          <w:szCs w:val="20"/>
          <w:color w:val="auto"/>
        </w:rPr>
      </w:pPr>
    </w:p>
    <w:p>
      <w:pPr>
        <w:ind w:left="340" w:hanging="334"/>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the physical square footage of the property, which may differ from the gross leasable square footage used to express percentage leased.</w:t>
      </w:r>
    </w:p>
    <w:p>
      <w:pPr>
        <w:spacing w:after="0" w:line="6" w:lineRule="exact"/>
        <w:rPr>
          <w:rFonts w:ascii="Arial" w:cs="Arial" w:eastAsia="Arial" w:hAnsi="Arial"/>
          <w:sz w:val="13"/>
          <w:szCs w:val="13"/>
          <w:color w:val="auto"/>
        </w:rPr>
      </w:pPr>
    </w:p>
    <w:p>
      <w:pPr>
        <w:ind w:left="340" w:right="10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Percentage leased is expressed as a percentage of rentable square feet occupied or subject to a lease under which rent is currently payable and includes square feet covered by leases for stores not yet opened. Percentage leased for each region and overall reflects retail occupancy only.</w:t>
      </w:r>
    </w:p>
    <w:p>
      <w:pPr>
        <w:spacing w:after="0" w:line="1" w:lineRule="exact"/>
        <w:rPr>
          <w:rFonts w:ascii="Arial" w:cs="Arial" w:eastAsia="Arial" w:hAnsi="Arial"/>
          <w:sz w:val="13"/>
          <w:szCs w:val="13"/>
          <w:color w:val="auto"/>
        </w:rPr>
      </w:pP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have a leasehold interest in this property.</w:t>
      </w:r>
    </w:p>
    <w:p>
      <w:pPr>
        <w:jc w:val="both"/>
        <w:ind w:left="340" w:right="12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December 29, 2005, we entered into a Section 1031 like-kind exchange agreement with a third party intermediary related to the acquisition of this property. The exchange agreement is for a maximum of 180 days and allows us to defer gains on sale of other properties sold by us within this period. Until the earlier of termination of this exchange agreement or June 27, 2006, the third party intermediary is the legal owner of this property, although we control the property and retain all of the economic benefits and risks associated with it. Accordingly, as of December 29, 2005, we consolidate this property and its operations.</w:t>
      </w:r>
    </w:p>
    <w:p>
      <w:pPr>
        <w:spacing w:after="0" w:line="2" w:lineRule="exact"/>
        <w:rPr>
          <w:rFonts w:ascii="Arial" w:cs="Arial" w:eastAsia="Arial" w:hAnsi="Arial"/>
          <w:sz w:val="13"/>
          <w:szCs w:val="13"/>
          <w:color w:val="auto"/>
        </w:rPr>
      </w:pP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a 64.1% membership interest in this property.</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this property in a “downREIT” structure.</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or a portion of this property is subject to a long-term ground lease.</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property contains nine buildings; six are subject to a leasehold interest, one is subject to a ground lease and two are owned 100% by us.</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the controlling interest in this center.</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100% of eight buildings and a 90% general partnership interest in one building.</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a 90% general partnership interest in these buildings.</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100% of three buildings and a 90% general partnership interest in one building</w:t>
      </w:r>
    </w:p>
    <w:p>
      <w:pPr>
        <w:ind w:left="340" w:hanging="334"/>
        <w:spacing w:after="0" w:line="234"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Information regarding square feet and number of tenants applies to Phases I, II and III retail. No future retail phases are included.</w:t>
      </w:r>
    </w:p>
    <w:p>
      <w:pPr>
        <w:ind w:left="340" w:right="220" w:hanging="334"/>
        <w:spacing w:after="0" w:line="249"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 additional 256 units are under development. Initial occupancy of these units commenced in April 2005 with lease-up expected to continue through 2006. As of December 31, 2005, 105 units have been leased.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7" w:right="239" w:bottom="1440" w:gutter="0" w:footer="0" w:header="0"/>
        </w:sectPr>
      </w:pPr>
    </w:p>
    <w:bookmarkStart w:id="25" w:name="page26"/>
    <w:bookmarkEnd w:id="25"/>
    <w:p>
      <w:pPr>
        <w:spacing w:after="0"/>
        <w:tabs>
          <w:tab w:leader="none" w:pos="8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ITEM 3.</w:t>
        <w:tab/>
        <w:t>LEGAL PROCEEDINGS</w:t>
      </w:r>
    </w:p>
    <w:p>
      <w:pPr>
        <w:spacing w:after="0" w:line="10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are currently a party to various legal proceedings. We do not believe that the ultimate outcome of these matters, either individually or in the aggregate, will have a material adverse effect on our financial position or overall trends in results of operations; however, litigation is subject to inherent uncertainties. Currently, we have two matters expected to go to trial this year. Based on the facts of these matters and advice from our legal counsel, we believe that we will prevail in both matters. If, however, we are unsuccessful in our defense of either of these matters, there is a possibility that there will be a material adverse impact on our net income in the period in which we would pay the damages awarded in any adverse judgment.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SUBMISSION OF MATTERS TO A VOTE OF SHAREHOLDERS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matters were submitted to a vote of our shareholders during the fourth quarter of the fiscal year ended December 31, 2005.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7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PART II</w:t>
      </w:r>
    </w:p>
    <w:p>
      <w:pPr>
        <w:spacing w:after="0" w:line="217" w:lineRule="exact"/>
        <w:rPr>
          <w:sz w:val="20"/>
          <w:szCs w:val="20"/>
          <w:color w:val="auto"/>
        </w:rPr>
      </w:pPr>
    </w:p>
    <w:p>
      <w:pPr>
        <w:ind w:left="1040" w:right="420" w:hanging="1023"/>
        <w:spacing w:after="0" w:line="298" w:lineRule="auto"/>
        <w:tabs>
          <w:tab w:leader="none" w:pos="10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OUR COMMON EQUITY AND RELATED SHAREHOLDER MATTERS AND ISSUER PURCHASES OF EQUITY SECURITIES</w:t>
      </w:r>
    </w:p>
    <w:p>
      <w:pPr>
        <w:spacing w:after="0" w:line="26" w:lineRule="exact"/>
        <w:rPr>
          <w:sz w:val="20"/>
          <w:szCs w:val="20"/>
          <w:color w:val="auto"/>
        </w:rPr>
      </w:pPr>
    </w:p>
    <w:p>
      <w:pPr>
        <w:ind w:right="40" w:firstLine="457"/>
        <w:spacing w:after="0" w:line="291" w:lineRule="auto"/>
        <w:rPr>
          <w:sz w:val="20"/>
          <w:szCs w:val="20"/>
          <w:color w:val="auto"/>
        </w:rPr>
      </w:pPr>
      <w:r>
        <w:rPr>
          <w:rFonts w:ascii="Arial" w:cs="Arial" w:eastAsia="Arial" w:hAnsi="Arial"/>
          <w:sz w:val="17"/>
          <w:szCs w:val="17"/>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80" w:type="dxa"/>
            <w:vAlign w:val="bottom"/>
          </w:tcPr>
          <w:p>
            <w:pPr>
              <w:spacing w:after="0"/>
              <w:rPr>
                <w:sz w:val="13"/>
                <w:szCs w:val="13"/>
                <w:color w:val="auto"/>
              </w:rPr>
            </w:pPr>
          </w:p>
        </w:tc>
        <w:tc>
          <w:tcPr>
            <w:tcW w:w="1640" w:type="dxa"/>
            <w:vAlign w:val="bottom"/>
            <w:gridSpan w:val="4"/>
            <w:vMerge w:val="restart"/>
          </w:tcPr>
          <w:p>
            <w:pPr>
              <w:ind w:left="260"/>
              <w:spacing w:after="0"/>
              <w:rPr>
                <w:sz w:val="20"/>
                <w:szCs w:val="20"/>
                <w:color w:val="auto"/>
              </w:rPr>
            </w:pPr>
            <w:r>
              <w:rPr>
                <w:rFonts w:ascii="Arial" w:cs="Arial" w:eastAsia="Arial" w:hAnsi="Arial"/>
                <w:sz w:val="13"/>
                <w:szCs w:val="13"/>
                <w:b w:val="1"/>
                <w:bCs w:val="1"/>
                <w:color w:val="auto"/>
              </w:rPr>
              <w:t>Price Per Share</w:t>
            </w:r>
          </w:p>
        </w:tc>
        <w:tc>
          <w:tcPr>
            <w:tcW w:w="2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Dividends</w:t>
            </w:r>
          </w:p>
        </w:tc>
        <w:tc>
          <w:tcPr>
            <w:tcW w:w="0" w:type="dxa"/>
            <w:vAlign w:val="bottom"/>
          </w:tcPr>
          <w:p>
            <w:pPr>
              <w:spacing w:after="0"/>
              <w:rPr>
                <w:sz w:val="1"/>
                <w:szCs w:val="1"/>
                <w:color w:val="auto"/>
              </w:rPr>
            </w:pPr>
          </w:p>
        </w:tc>
      </w:tr>
      <w:tr>
        <w:trPr>
          <w:trHeight w:val="79"/>
        </w:trPr>
        <w:tc>
          <w:tcPr>
            <w:tcW w:w="8780" w:type="dxa"/>
            <w:vAlign w:val="bottom"/>
          </w:tcPr>
          <w:p>
            <w:pPr>
              <w:spacing w:after="0"/>
              <w:rPr>
                <w:sz w:val="6"/>
                <w:szCs w:val="6"/>
                <w:color w:val="auto"/>
              </w:rPr>
            </w:pPr>
          </w:p>
        </w:tc>
        <w:tc>
          <w:tcPr>
            <w:tcW w:w="164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restart"/>
          </w:tcPr>
          <w:p>
            <w:pPr>
              <w:jc w:val="center"/>
              <w:ind w:right="220"/>
              <w:spacing w:after="0" w:line="146" w:lineRule="exact"/>
              <w:rPr>
                <w:sz w:val="20"/>
                <w:szCs w:val="20"/>
                <w:color w:val="auto"/>
              </w:rPr>
            </w:pPr>
            <w:r>
              <w:rPr>
                <w:rFonts w:ascii="Arial" w:cs="Arial" w:eastAsia="Arial" w:hAnsi="Arial"/>
                <w:sz w:val="13"/>
                <w:szCs w:val="13"/>
                <w:b w:val="1"/>
                <w:bCs w:val="1"/>
                <w:color w:val="auto"/>
                <w:w w:val="94"/>
              </w:rPr>
              <w:t>Declared</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7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6"/>
              </w:rPr>
              <w:t>High</w:t>
            </w:r>
          </w:p>
        </w:tc>
        <w:tc>
          <w:tcPr>
            <w:tcW w:w="4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Low</w:t>
            </w:r>
          </w:p>
        </w:tc>
        <w:tc>
          <w:tcPr>
            <w:tcW w:w="2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2005</w:t>
            </w: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440"/>
              <w:spacing w:after="0"/>
              <w:rPr>
                <w:sz w:val="20"/>
                <w:szCs w:val="20"/>
                <w:color w:val="auto"/>
              </w:rPr>
            </w:pPr>
            <w:r>
              <w:rPr>
                <w:rFonts w:ascii="Arial" w:cs="Arial" w:eastAsia="Arial" w:hAnsi="Arial"/>
                <w:sz w:val="17"/>
                <w:szCs w:val="17"/>
                <w:color w:val="auto"/>
              </w:rPr>
              <w:t>Fourth quarter</w:t>
            </w:r>
          </w:p>
        </w:tc>
        <w:tc>
          <w:tcPr>
            <w:tcW w:w="480" w:type="dxa"/>
            <w:vAlign w:val="bottom"/>
          </w:tcPr>
          <w:p>
            <w:pPr>
              <w:jc w:val="center"/>
              <w:spacing w:after="0"/>
              <w:rPr>
                <w:sz w:val="20"/>
                <w:szCs w:val="20"/>
                <w:color w:val="auto"/>
              </w:rPr>
            </w:pPr>
            <w:r>
              <w:rPr>
                <w:rFonts w:ascii="Arial" w:cs="Arial" w:eastAsia="Arial" w:hAnsi="Arial"/>
                <w:sz w:val="17"/>
                <w:szCs w:val="17"/>
                <w:color w:val="auto"/>
                <w:w w:val="92"/>
              </w:rPr>
              <w:t>$65.55</w:t>
            </w:r>
          </w:p>
        </w:tc>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96"/>
              </w:rPr>
              <w:t>$56.62</w:t>
            </w:r>
          </w:p>
        </w:tc>
        <w:tc>
          <w:tcPr>
            <w:tcW w:w="1000" w:type="dxa"/>
            <w:vAlign w:val="bottom"/>
            <w:gridSpan w:val="3"/>
          </w:tcPr>
          <w:p>
            <w:pPr>
              <w:ind w:left="220"/>
              <w:spacing w:after="0"/>
              <w:rPr>
                <w:sz w:val="20"/>
                <w:szCs w:val="20"/>
                <w:color w:val="auto"/>
              </w:rPr>
            </w:pPr>
            <w:r>
              <w:rPr>
                <w:rFonts w:ascii="Arial" w:cs="Arial" w:eastAsia="Arial" w:hAnsi="Arial"/>
                <w:sz w:val="17"/>
                <w:szCs w:val="17"/>
                <w:color w:val="auto"/>
                <w:w w:val="92"/>
              </w:rPr>
              <w:t>$ 0.755 (1)</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Third quarter</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$65.73</w:t>
            </w:r>
          </w:p>
        </w:tc>
        <w:tc>
          <w:tcPr>
            <w:tcW w:w="1160" w:type="dxa"/>
            <w:vAlign w:val="bottom"/>
            <w:gridSpan w:val="3"/>
            <w:shd w:val="clear" w:color="auto" w:fill="CCEEFF"/>
          </w:tcPr>
          <w:p>
            <w:pPr>
              <w:jc w:val="center"/>
              <w:ind w:left="134"/>
              <w:spacing w:after="0"/>
              <w:rPr>
                <w:sz w:val="20"/>
                <w:szCs w:val="20"/>
                <w:color w:val="auto"/>
              </w:rPr>
            </w:pPr>
            <w:r>
              <w:rPr>
                <w:rFonts w:ascii="Arial" w:cs="Arial" w:eastAsia="Arial" w:hAnsi="Arial"/>
                <w:sz w:val="17"/>
                <w:szCs w:val="17"/>
                <w:color w:val="auto"/>
                <w:w w:val="96"/>
              </w:rPr>
              <w:t>$58.19</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$ 0.555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440"/>
              <w:spacing w:after="0"/>
              <w:rPr>
                <w:sz w:val="20"/>
                <w:szCs w:val="20"/>
                <w:color w:val="auto"/>
              </w:rPr>
            </w:pPr>
            <w:r>
              <w:rPr>
                <w:rFonts w:ascii="Arial" w:cs="Arial" w:eastAsia="Arial" w:hAnsi="Arial"/>
                <w:sz w:val="17"/>
                <w:szCs w:val="17"/>
                <w:color w:val="auto"/>
              </w:rPr>
              <w:t>Second quarter</w:t>
            </w:r>
          </w:p>
        </w:tc>
        <w:tc>
          <w:tcPr>
            <w:tcW w:w="480" w:type="dxa"/>
            <w:vAlign w:val="bottom"/>
          </w:tcPr>
          <w:p>
            <w:pPr>
              <w:jc w:val="center"/>
              <w:spacing w:after="0"/>
              <w:rPr>
                <w:sz w:val="20"/>
                <w:szCs w:val="20"/>
                <w:color w:val="auto"/>
              </w:rPr>
            </w:pPr>
            <w:r>
              <w:rPr>
                <w:rFonts w:ascii="Arial" w:cs="Arial" w:eastAsia="Arial" w:hAnsi="Arial"/>
                <w:sz w:val="17"/>
                <w:szCs w:val="17"/>
                <w:color w:val="auto"/>
                <w:w w:val="92"/>
              </w:rPr>
              <w:t>$60.82</w:t>
            </w:r>
          </w:p>
        </w:tc>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96"/>
              </w:rPr>
              <w:t>$47.91</w:t>
            </w:r>
          </w:p>
        </w:tc>
        <w:tc>
          <w:tcPr>
            <w:tcW w:w="780" w:type="dxa"/>
            <w:vAlign w:val="bottom"/>
            <w:gridSpan w:val="2"/>
          </w:tcPr>
          <w:p>
            <w:pPr>
              <w:ind w:left="220"/>
              <w:spacing w:after="0"/>
              <w:rPr>
                <w:sz w:val="20"/>
                <w:szCs w:val="20"/>
                <w:color w:val="auto"/>
              </w:rPr>
            </w:pPr>
            <w:r>
              <w:rPr>
                <w:rFonts w:ascii="Arial" w:cs="Arial" w:eastAsia="Arial" w:hAnsi="Arial"/>
                <w:sz w:val="17"/>
                <w:szCs w:val="17"/>
                <w:color w:val="auto"/>
                <w:w w:val="95"/>
              </w:rPr>
              <w:t>$ 0.555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First quarter</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$51.98</w:t>
            </w:r>
          </w:p>
        </w:tc>
        <w:tc>
          <w:tcPr>
            <w:tcW w:w="1160" w:type="dxa"/>
            <w:vAlign w:val="bottom"/>
            <w:gridSpan w:val="3"/>
            <w:shd w:val="clear" w:color="auto" w:fill="CCEEFF"/>
          </w:tcPr>
          <w:p>
            <w:pPr>
              <w:jc w:val="center"/>
              <w:ind w:left="134"/>
              <w:spacing w:after="0"/>
              <w:rPr>
                <w:sz w:val="20"/>
                <w:szCs w:val="20"/>
                <w:color w:val="auto"/>
              </w:rPr>
            </w:pPr>
            <w:r>
              <w:rPr>
                <w:rFonts w:ascii="Arial" w:cs="Arial" w:eastAsia="Arial" w:hAnsi="Arial"/>
                <w:sz w:val="17"/>
                <w:szCs w:val="17"/>
                <w:color w:val="auto"/>
                <w:w w:val="96"/>
              </w:rPr>
              <w:t>$46.50</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$ 0.505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8780" w:type="dxa"/>
            <w:vAlign w:val="bottom"/>
          </w:tcPr>
          <w:p>
            <w:pPr>
              <w:spacing w:after="0"/>
              <w:rPr>
                <w:sz w:val="20"/>
                <w:szCs w:val="20"/>
                <w:color w:val="auto"/>
              </w:rPr>
            </w:pPr>
            <w:r>
              <w:rPr>
                <w:rFonts w:ascii="Arial" w:cs="Arial" w:eastAsia="Arial" w:hAnsi="Arial"/>
                <w:sz w:val="17"/>
                <w:szCs w:val="17"/>
                <w:b w:val="1"/>
                <w:bCs w:val="1"/>
                <w:color w:val="auto"/>
              </w:rPr>
              <w:t>2004</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Fourth quarter</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$52.55</w:t>
            </w:r>
          </w:p>
        </w:tc>
        <w:tc>
          <w:tcPr>
            <w:tcW w:w="1160" w:type="dxa"/>
            <w:vAlign w:val="bottom"/>
            <w:gridSpan w:val="3"/>
            <w:shd w:val="clear" w:color="auto" w:fill="CCEEFF"/>
          </w:tcPr>
          <w:p>
            <w:pPr>
              <w:jc w:val="center"/>
              <w:ind w:left="134"/>
              <w:spacing w:after="0"/>
              <w:rPr>
                <w:sz w:val="20"/>
                <w:szCs w:val="20"/>
                <w:color w:val="auto"/>
              </w:rPr>
            </w:pPr>
            <w:r>
              <w:rPr>
                <w:rFonts w:ascii="Arial" w:cs="Arial" w:eastAsia="Arial" w:hAnsi="Arial"/>
                <w:sz w:val="17"/>
                <w:szCs w:val="17"/>
                <w:color w:val="auto"/>
                <w:w w:val="96"/>
              </w:rPr>
              <w:t>$44.30</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$ 0.505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440"/>
              <w:spacing w:after="0"/>
              <w:rPr>
                <w:sz w:val="20"/>
                <w:szCs w:val="20"/>
                <w:color w:val="auto"/>
              </w:rPr>
            </w:pPr>
            <w:r>
              <w:rPr>
                <w:rFonts w:ascii="Arial" w:cs="Arial" w:eastAsia="Arial" w:hAnsi="Arial"/>
                <w:sz w:val="17"/>
                <w:szCs w:val="17"/>
                <w:color w:val="auto"/>
              </w:rPr>
              <w:t>Third quarter</w:t>
            </w:r>
          </w:p>
        </w:tc>
        <w:tc>
          <w:tcPr>
            <w:tcW w:w="480" w:type="dxa"/>
            <w:vAlign w:val="bottom"/>
          </w:tcPr>
          <w:p>
            <w:pPr>
              <w:jc w:val="center"/>
              <w:spacing w:after="0"/>
              <w:rPr>
                <w:sz w:val="20"/>
                <w:szCs w:val="20"/>
                <w:color w:val="auto"/>
              </w:rPr>
            </w:pPr>
            <w:r>
              <w:rPr>
                <w:rFonts w:ascii="Arial" w:cs="Arial" w:eastAsia="Arial" w:hAnsi="Arial"/>
                <w:sz w:val="17"/>
                <w:szCs w:val="17"/>
                <w:color w:val="auto"/>
                <w:w w:val="92"/>
              </w:rPr>
              <w:t>$46.34</w:t>
            </w:r>
          </w:p>
        </w:tc>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96"/>
              </w:rPr>
              <w:t>$40.58</w:t>
            </w:r>
          </w:p>
        </w:tc>
        <w:tc>
          <w:tcPr>
            <w:tcW w:w="780" w:type="dxa"/>
            <w:vAlign w:val="bottom"/>
            <w:gridSpan w:val="2"/>
          </w:tcPr>
          <w:p>
            <w:pPr>
              <w:ind w:left="220"/>
              <w:spacing w:after="0"/>
              <w:rPr>
                <w:sz w:val="20"/>
                <w:szCs w:val="20"/>
                <w:color w:val="auto"/>
              </w:rPr>
            </w:pPr>
            <w:r>
              <w:rPr>
                <w:rFonts w:ascii="Arial" w:cs="Arial" w:eastAsia="Arial" w:hAnsi="Arial"/>
                <w:sz w:val="17"/>
                <w:szCs w:val="17"/>
                <w:color w:val="auto"/>
                <w:w w:val="95"/>
              </w:rPr>
              <w:t>$ 0.505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Second quarter</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$46.73</w:t>
            </w:r>
          </w:p>
        </w:tc>
        <w:tc>
          <w:tcPr>
            <w:tcW w:w="1160" w:type="dxa"/>
            <w:vAlign w:val="bottom"/>
            <w:gridSpan w:val="3"/>
            <w:shd w:val="clear" w:color="auto" w:fill="CCEEFF"/>
          </w:tcPr>
          <w:p>
            <w:pPr>
              <w:jc w:val="center"/>
              <w:ind w:left="134"/>
              <w:spacing w:after="0"/>
              <w:rPr>
                <w:sz w:val="20"/>
                <w:szCs w:val="20"/>
                <w:color w:val="auto"/>
              </w:rPr>
            </w:pPr>
            <w:r>
              <w:rPr>
                <w:rFonts w:ascii="Arial" w:cs="Arial" w:eastAsia="Arial" w:hAnsi="Arial"/>
                <w:sz w:val="17"/>
                <w:szCs w:val="17"/>
                <w:color w:val="auto"/>
                <w:w w:val="96"/>
              </w:rPr>
              <w:t>$34.73</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$ 0.490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780" w:type="dxa"/>
            <w:vAlign w:val="bottom"/>
          </w:tcPr>
          <w:p>
            <w:pPr>
              <w:ind w:left="440"/>
              <w:spacing w:after="0"/>
              <w:rPr>
                <w:sz w:val="20"/>
                <w:szCs w:val="20"/>
                <w:color w:val="auto"/>
              </w:rPr>
            </w:pPr>
            <w:r>
              <w:rPr>
                <w:rFonts w:ascii="Arial" w:cs="Arial" w:eastAsia="Arial" w:hAnsi="Arial"/>
                <w:sz w:val="17"/>
                <w:szCs w:val="17"/>
                <w:color w:val="auto"/>
              </w:rPr>
              <w:t>First quarter</w:t>
            </w:r>
          </w:p>
        </w:tc>
        <w:tc>
          <w:tcPr>
            <w:tcW w:w="480" w:type="dxa"/>
            <w:vAlign w:val="bottom"/>
          </w:tcPr>
          <w:p>
            <w:pPr>
              <w:jc w:val="center"/>
              <w:spacing w:after="0"/>
              <w:rPr>
                <w:sz w:val="20"/>
                <w:szCs w:val="20"/>
                <w:color w:val="auto"/>
              </w:rPr>
            </w:pPr>
            <w:r>
              <w:rPr>
                <w:rFonts w:ascii="Arial" w:cs="Arial" w:eastAsia="Arial" w:hAnsi="Arial"/>
                <w:sz w:val="17"/>
                <w:szCs w:val="17"/>
                <w:color w:val="auto"/>
                <w:w w:val="92"/>
              </w:rPr>
              <w:t>$46.20</w:t>
            </w:r>
          </w:p>
        </w:tc>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96"/>
              </w:rPr>
              <w:t>$38.40</w:t>
            </w:r>
          </w:p>
        </w:tc>
        <w:tc>
          <w:tcPr>
            <w:tcW w:w="780" w:type="dxa"/>
            <w:vAlign w:val="bottom"/>
            <w:gridSpan w:val="2"/>
          </w:tcPr>
          <w:p>
            <w:pPr>
              <w:ind w:left="220"/>
              <w:spacing w:after="0"/>
              <w:rPr>
                <w:sz w:val="20"/>
                <w:szCs w:val="20"/>
                <w:color w:val="auto"/>
              </w:rPr>
            </w:pPr>
            <w:r>
              <w:rPr>
                <w:rFonts w:ascii="Arial" w:cs="Arial" w:eastAsia="Arial" w:hAnsi="Arial"/>
                <w:sz w:val="17"/>
                <w:szCs w:val="17"/>
                <w:color w:val="auto"/>
                <w:w w:val="95"/>
              </w:rPr>
              <w:t>$ 0.490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43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90" w:lineRule="exact"/>
        <w:rPr>
          <w:sz w:val="20"/>
          <w:szCs w:val="20"/>
          <w:color w:val="auto"/>
        </w:rPr>
      </w:pPr>
    </w:p>
    <w:p>
      <w:pPr>
        <w:ind w:left="460" w:right="2320" w:hanging="454"/>
        <w:spacing w:after="0" w:line="457" w:lineRule="auto"/>
        <w:tabs>
          <w:tab w:leader="none" w:pos="4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regular dividend of $0.555 and special dividend of $0.20 resulting from the sales of condominiums at Santana Row. On February 27, 2006, there were 4,705 holders of record of our common shares.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ongoing operations generally will not be subject to federal income taxes as long as we maintain our REIT status and distribute to shareholders at least</w:t>
      </w:r>
    </w:p>
    <w:p>
      <w:pPr>
        <w:spacing w:after="0" w:line="36" w:lineRule="exact"/>
        <w:rPr>
          <w:sz w:val="20"/>
          <w:szCs w:val="20"/>
          <w:color w:val="auto"/>
        </w:rPr>
      </w:pPr>
    </w:p>
    <w:p>
      <w:pPr>
        <w:ind w:right="480"/>
        <w:spacing w:after="0" w:line="352" w:lineRule="auto"/>
        <w:rPr>
          <w:sz w:val="20"/>
          <w:szCs w:val="20"/>
          <w:color w:val="auto"/>
        </w:rPr>
      </w:pPr>
      <w:r>
        <w:rPr>
          <w:rFonts w:ascii="Arial" w:cs="Arial" w:eastAsia="Arial" w:hAnsi="Arial"/>
          <w:sz w:val="15"/>
          <w:szCs w:val="15"/>
          <w:color w:val="auto"/>
        </w:rPr>
        <w:t>100% of our REIT taxable income. Under the Code, REITs are subject to numerous organizational and operational requirements, including the requirement to distribute at least 90% of REIT taxable income (excluding net capital gain). State income taxes are not material to our operations or cash flows.</w:t>
      </w:r>
    </w:p>
    <w:p>
      <w:pPr>
        <w:spacing w:after="0" w:line="72"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annual dividend rate for 38 consecutive years.</w:t>
      </w:r>
    </w:p>
    <w:p>
      <w:pPr>
        <w:spacing w:after="0" w:line="128" w:lineRule="exact"/>
        <w:rPr>
          <w:sz w:val="20"/>
          <w:szCs w:val="20"/>
          <w:color w:val="auto"/>
        </w:rPr>
      </w:pPr>
    </w:p>
    <w:p>
      <w:pPr>
        <w:ind w:right="60" w:firstLine="457"/>
        <w:spacing w:after="0" w:line="304" w:lineRule="auto"/>
        <w:rPr>
          <w:sz w:val="20"/>
          <w:szCs w:val="20"/>
          <w:color w:val="auto"/>
        </w:rPr>
      </w:pPr>
      <w:r>
        <w:rPr>
          <w:rFonts w:ascii="Arial" w:cs="Arial" w:eastAsia="Arial" w:hAnsi="Arial"/>
          <w:sz w:val="15"/>
          <w:szCs w:val="15"/>
          <w:color w:val="auto"/>
        </w:rPr>
        <w:t>Our total annual dividends paid per share for 2005 and 2004 were $2.320 per share and $1.975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2006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 For 2005 and 2004, a portion of our distributions was designated as capital gain dividend.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1"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The following table reflects the income tax status of distributions per share paid to common shareholders: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Year Ended</w:t>
            </w:r>
          </w:p>
        </w:tc>
      </w:tr>
      <w:tr>
        <w:trPr>
          <w:trHeight w:val="159"/>
        </w:trPr>
        <w:tc>
          <w:tcPr>
            <w:tcW w:w="8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December 31,</w:t>
            </w:r>
          </w:p>
        </w:tc>
      </w:tr>
      <w:tr>
        <w:trPr>
          <w:trHeight w:val="140"/>
        </w:trPr>
        <w:tc>
          <w:tcPr>
            <w:tcW w:w="8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8"/>
              <w:spacing w:after="0" w:line="140" w:lineRule="exact"/>
              <w:rPr>
                <w:sz w:val="20"/>
                <w:szCs w:val="20"/>
                <w:color w:val="auto"/>
              </w:rPr>
            </w:pPr>
            <w:r>
              <w:rPr>
                <w:rFonts w:ascii="Arial" w:cs="Arial" w:eastAsia="Arial" w:hAnsi="Arial"/>
                <w:sz w:val="13"/>
                <w:szCs w:val="13"/>
                <w:b w:val="1"/>
                <w:bCs w:val="1"/>
                <w:color w:val="auto"/>
              </w:rPr>
              <w:t>2005</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0" w:lineRule="exact"/>
              <w:rPr>
                <w:sz w:val="20"/>
                <w:szCs w:val="20"/>
                <w:color w:val="auto"/>
              </w:rPr>
            </w:pPr>
            <w:r>
              <w:rPr>
                <w:rFonts w:ascii="Arial" w:cs="Arial" w:eastAsia="Arial" w:hAnsi="Arial"/>
                <w:sz w:val="13"/>
                <w:szCs w:val="13"/>
                <w:b w:val="1"/>
                <w:bCs w:val="1"/>
                <w:color w:val="auto"/>
              </w:rPr>
              <w:t>2004</w:t>
            </w:r>
          </w:p>
        </w:tc>
        <w:tc>
          <w:tcPr>
            <w:tcW w:w="20" w:type="dxa"/>
            <w:vAlign w:val="bottom"/>
          </w:tcPr>
          <w:p>
            <w:pPr>
              <w:spacing w:after="0"/>
              <w:rPr>
                <w:sz w:val="12"/>
                <w:szCs w:val="12"/>
                <w:color w:val="auto"/>
              </w:rPr>
            </w:pPr>
          </w:p>
        </w:tc>
      </w:tr>
      <w:tr>
        <w:trPr>
          <w:trHeight w:val="206"/>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Ordinary dividend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$1.601</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$1.876</w:t>
            </w:r>
          </w:p>
        </w:tc>
        <w:tc>
          <w:tcPr>
            <w:tcW w:w="20" w:type="dxa"/>
            <w:vAlign w:val="bottom"/>
          </w:tcPr>
          <w:p>
            <w:pPr>
              <w:spacing w:after="0"/>
              <w:rPr>
                <w:sz w:val="17"/>
                <w:szCs w:val="17"/>
                <w:color w:val="auto"/>
              </w:rPr>
            </w:pPr>
          </w:p>
        </w:tc>
      </w:tr>
      <w:tr>
        <w:trPr>
          <w:trHeight w:val="213"/>
        </w:trPr>
        <w:tc>
          <w:tcPr>
            <w:tcW w:w="8120" w:type="dxa"/>
            <w:vAlign w:val="bottom"/>
          </w:tcPr>
          <w:p>
            <w:pPr>
              <w:spacing w:after="0"/>
              <w:rPr>
                <w:sz w:val="20"/>
                <w:szCs w:val="20"/>
                <w:color w:val="auto"/>
              </w:rPr>
            </w:pPr>
            <w:r>
              <w:rPr>
                <w:rFonts w:ascii="Arial" w:cs="Arial" w:eastAsia="Arial" w:hAnsi="Arial"/>
                <w:sz w:val="17"/>
                <w:szCs w:val="17"/>
                <w:color w:val="auto"/>
              </w:rPr>
              <w:t>Ordinary dividend eligible for 15% tax rate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0.093</w:t>
            </w: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3"/>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Capital gain</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0.626</w:t>
            </w:r>
          </w:p>
        </w:tc>
        <w:tc>
          <w:tcPr>
            <w:tcW w:w="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0.099</w:t>
            </w:r>
          </w:p>
        </w:tc>
        <w:tc>
          <w:tcPr>
            <w:tcW w:w="20" w:type="dxa"/>
            <w:vAlign w:val="bottom"/>
          </w:tcPr>
          <w:p>
            <w:pPr>
              <w:spacing w:after="0"/>
              <w:rPr>
                <w:sz w:val="18"/>
                <w:szCs w:val="18"/>
                <w:color w:val="auto"/>
              </w:rPr>
            </w:pPr>
          </w:p>
        </w:tc>
      </w:tr>
      <w:tr>
        <w:trPr>
          <w:trHeight w:val="219"/>
        </w:trPr>
        <w:tc>
          <w:tcPr>
            <w:tcW w:w="8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2.320</w:t>
            </w:r>
          </w:p>
        </w:tc>
        <w:tc>
          <w:tcPr>
            <w:tcW w:w="4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1.975</w:t>
            </w:r>
          </w:p>
        </w:tc>
      </w:tr>
      <w:tr>
        <w:trPr>
          <w:trHeight w:val="20"/>
        </w:trPr>
        <w:tc>
          <w:tcPr>
            <w:tcW w:w="8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Distributions on our 8.5% Series B Cumulative Redeemable Preferred Shares are payable at the rate of $2.125 per share per annum, prior to distributions on our common shares. We do not believe that the preferential rights available to the holders of our preferred shares or the financial covenants contained in our debt agreements will have an adverse effect on our ability to pay dividends in the normal course of business to our common shareholders or to distribute amounts necessary to maintain our qualification as a REIT.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Shares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equity securities sold by us during 2005 that were not registered have been previously reported in a Quarterly Report on Form 10-Q.</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60"/>
          </w:cols>
          <w:pgMar w:left="240" w:top="277" w:right="399" w:bottom="1440" w:gutter="0" w:footer="0" w:header="0"/>
        </w:sectPr>
      </w:pPr>
    </w:p>
    <w:bookmarkStart w:id="28" w:name="page29"/>
    <w:bookmarkEnd w:id="28"/>
    <w:p>
      <w:pPr>
        <w:spacing w:after="0"/>
        <w:tabs>
          <w:tab w:leader="none" w:pos="8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ITEM 6.</w:t>
        <w:tab/>
        <w:t>SELECTED FINANCIAL DATA</w:t>
      </w:r>
    </w:p>
    <w:p>
      <w:pPr>
        <w:spacing w:after="0" w:line="103" w:lineRule="exact"/>
        <w:rPr>
          <w:sz w:val="20"/>
          <w:szCs w:val="20"/>
          <w:color w:val="auto"/>
        </w:rPr>
      </w:pPr>
    </w:p>
    <w:p>
      <w:pPr>
        <w:ind w:right="300" w:firstLine="457"/>
        <w:spacing w:after="0" w:line="271" w:lineRule="auto"/>
        <w:rPr>
          <w:sz w:val="20"/>
          <w:szCs w:val="20"/>
          <w:color w:val="auto"/>
        </w:rPr>
      </w:pPr>
      <w:r>
        <w:rPr>
          <w:rFonts w:ascii="Arial" w:cs="Arial" w:eastAsia="Arial" w:hAnsi="Arial"/>
          <w:sz w:val="17"/>
          <w:szCs w:val="17"/>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2001 through 2004 has been reclassified to conform to the presentation for the year ended 2005.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9"/>
          </w:tcPr>
          <w:p>
            <w:pPr>
              <w:jc w:val="center"/>
              <w:ind w:right="480"/>
              <w:spacing w:after="0"/>
              <w:rPr>
                <w:sz w:val="20"/>
                <w:szCs w:val="20"/>
                <w:color w:val="auto"/>
              </w:rPr>
            </w:pPr>
            <w:r>
              <w:rPr>
                <w:rFonts w:ascii="Arial" w:cs="Arial" w:eastAsia="Arial" w:hAnsi="Arial"/>
                <w:sz w:val="13"/>
                <w:szCs w:val="13"/>
                <w:b w:val="1"/>
                <w:bCs w:val="1"/>
                <w:color w:val="auto"/>
                <w:w w:val="93"/>
              </w:rPr>
              <w:t>For the Year Ended December 31,</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0"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3"/>
                <w:szCs w:val="13"/>
                <w:b w:val="1"/>
                <w:bCs w:val="1"/>
                <w:color w:val="auto"/>
              </w:rPr>
              <w:t>2004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4"/>
              <w:spacing w:after="0" w:line="140" w:lineRule="exact"/>
              <w:rPr>
                <w:sz w:val="20"/>
                <w:szCs w:val="20"/>
                <w:color w:val="auto"/>
              </w:rPr>
            </w:pPr>
            <w:r>
              <w:rPr>
                <w:rFonts w:ascii="Arial" w:cs="Arial" w:eastAsia="Arial" w:hAnsi="Arial"/>
                <w:sz w:val="13"/>
                <w:szCs w:val="13"/>
                <w:b w:val="1"/>
                <w:bCs w:val="1"/>
                <w:color w:val="auto"/>
                <w:w w:val="96"/>
              </w:rPr>
              <w:t>2003</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0" w:lineRule="exact"/>
              <w:rPr>
                <w:sz w:val="20"/>
                <w:szCs w:val="20"/>
                <w:color w:val="auto"/>
              </w:rPr>
            </w:pPr>
            <w:r>
              <w:rPr>
                <w:rFonts w:ascii="Arial" w:cs="Arial" w:eastAsia="Arial" w:hAnsi="Arial"/>
                <w:sz w:val="13"/>
                <w:szCs w:val="13"/>
                <w:b w:val="1"/>
                <w:bCs w:val="1"/>
                <w:color w:val="auto"/>
              </w:rPr>
              <w:t>2002</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0" w:lineRule="exact"/>
              <w:rPr>
                <w:sz w:val="20"/>
                <w:szCs w:val="20"/>
                <w:color w:val="auto"/>
              </w:rPr>
            </w:pPr>
            <w:r>
              <w:rPr>
                <w:rFonts w:ascii="Arial" w:cs="Arial" w:eastAsia="Arial" w:hAnsi="Arial"/>
                <w:sz w:val="13"/>
                <w:szCs w:val="13"/>
                <w:b w:val="1"/>
                <w:bCs w:val="1"/>
                <w:color w:val="auto"/>
              </w:rPr>
              <w:t>2001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9"/>
          </w:tcPr>
          <w:p>
            <w:pPr>
              <w:jc w:val="center"/>
              <w:ind w:right="480"/>
              <w:spacing w:after="0" w:line="140" w:lineRule="exact"/>
              <w:rPr>
                <w:sz w:val="20"/>
                <w:szCs w:val="20"/>
                <w:color w:val="auto"/>
              </w:rPr>
            </w:pPr>
            <w:r>
              <w:rPr>
                <w:rFonts w:ascii="Arial" w:cs="Arial" w:eastAsia="Arial" w:hAnsi="Arial"/>
                <w:sz w:val="13"/>
                <w:szCs w:val="13"/>
                <w:b w:val="1"/>
                <w:bCs w:val="1"/>
                <w:color w:val="auto"/>
                <w:w w:val="91"/>
              </w:rPr>
              <w:t>(In thousands, except per share data and ratios)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Data: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Rental income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395,403</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370,069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91"/>
              </w:rPr>
              <w:t>336,530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298,698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271,544</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Property operating income (1)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285,680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257,629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231,322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205,875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191,553</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85,222</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64,858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68,205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39,244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49,668</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gain on sale of real estate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83,864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70,104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74,444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59,571</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30,748</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14,052</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20,053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19,101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9,185</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Loss on abandoned developments held for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(9,647)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114,612</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84,156</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94,497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55,287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68,756</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103,137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72,681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75,990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59,722</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Net cash provided by operating activities (2)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174,460</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174,148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91"/>
              </w:rPr>
              <w:t>135,461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131,372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122,813</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 (2)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0"/>
              </w:rPr>
              <w:t>(152,249)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0"/>
              </w:rPr>
              <w:t>(157,611)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(97,234)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0"/>
              </w:rPr>
              <w:t>(185,983)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3"/>
              </w:rPr>
              <w:t>(233,190)</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20"/>
                <w:szCs w:val="20"/>
                <w:color w:val="auto"/>
              </w:rPr>
            </w:pPr>
            <w:r>
              <w:rPr>
                <w:rFonts w:ascii="Arial" w:cs="Arial" w:eastAsia="Arial" w:hAnsi="Arial"/>
                <w:sz w:val="17"/>
                <w:szCs w:val="17"/>
                <w:color w:val="auto"/>
              </w:rPr>
              <w:t>Net cash (used in ) provided by financing</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80" w:type="dxa"/>
            <w:vAlign w:val="bottom"/>
          </w:tcPr>
          <w:p>
            <w:pPr>
              <w:ind w:left="220"/>
              <w:spacing w:after="0"/>
              <w:rPr>
                <w:sz w:val="20"/>
                <w:szCs w:val="20"/>
                <w:color w:val="auto"/>
              </w:rPr>
            </w:pPr>
            <w:r>
              <w:rPr>
                <w:rFonts w:ascii="Arial" w:cs="Arial" w:eastAsia="Arial" w:hAnsi="Arial"/>
                <w:sz w:val="17"/>
                <w:szCs w:val="17"/>
                <w:color w:val="auto"/>
              </w:rPr>
              <w:t>activities (2)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(44,047)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(21,030)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(26,382)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60,171</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116,583</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on common shares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101,969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93,889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75,863</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47,379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39,164</w:t>
            </w:r>
          </w:p>
        </w:tc>
        <w:tc>
          <w:tcPr>
            <w:tcW w:w="0" w:type="dxa"/>
            <w:vAlign w:val="bottom"/>
          </w:tcPr>
          <w:p>
            <w:pPr>
              <w:spacing w:after="0"/>
              <w:rPr>
                <w:sz w:val="1"/>
                <w:szCs w:val="1"/>
                <w:color w:val="auto"/>
              </w:rPr>
            </w:pPr>
          </w:p>
        </w:tc>
      </w:tr>
      <w:tr>
        <w:trPr>
          <w:trHeight w:val="213"/>
        </w:trPr>
        <w:tc>
          <w:tcPr>
            <w:tcW w:w="5980" w:type="dxa"/>
            <w:vAlign w:val="bottom"/>
          </w:tcPr>
          <w:p>
            <w:pPr>
              <w:ind w:left="440"/>
              <w:spacing w:after="0"/>
              <w:rPr>
                <w:sz w:val="20"/>
                <w:szCs w:val="20"/>
                <w:color w:val="auto"/>
              </w:rPr>
            </w:pPr>
            <w:r>
              <w:rPr>
                <w:rFonts w:ascii="Arial" w:cs="Arial" w:eastAsia="Arial" w:hAnsi="Arial"/>
                <w:sz w:val="17"/>
                <w:szCs w:val="17"/>
                <w:color w:val="auto"/>
              </w:rPr>
              <w:t>Diluted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53,050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51,547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48,619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42,882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40,266</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440"/>
              <w:spacing w:after="0"/>
              <w:rPr>
                <w:sz w:val="20"/>
                <w:szCs w:val="20"/>
                <w:color w:val="auto"/>
              </w:rPr>
            </w:pPr>
            <w:r>
              <w:rPr>
                <w:rFonts w:ascii="Arial" w:cs="Arial" w:eastAsia="Arial" w:hAnsi="Arial"/>
                <w:sz w:val="17"/>
                <w:szCs w:val="17"/>
                <w:color w:val="auto"/>
              </w:rPr>
              <w:t>Income from continuing operations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1.40</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1.05</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0.52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Discontinued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1.96</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1.42</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0.86</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440"/>
              <w:spacing w:after="0"/>
              <w:rPr>
                <w:sz w:val="20"/>
                <w:szCs w:val="20"/>
                <w:color w:val="auto"/>
              </w:rPr>
            </w:pPr>
            <w:r>
              <w:rPr>
                <w:rFonts w:ascii="Arial" w:cs="Arial" w:eastAsia="Arial" w:hAnsi="Arial"/>
                <w:sz w:val="17"/>
                <w:szCs w:val="17"/>
                <w:color w:val="auto"/>
              </w:rPr>
              <w:t>Income from continuing operations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1.39</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1.04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0.52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Discontinued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1.94</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1.41</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0.85</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318"/>
        </w:trPr>
        <w:tc>
          <w:tcPr>
            <w:tcW w:w="5980" w:type="dxa"/>
            <w:vAlign w:val="bottom"/>
          </w:tcPr>
          <w:p>
            <w:pPr>
              <w:spacing w:after="0"/>
              <w:rPr>
                <w:sz w:val="20"/>
                <w:szCs w:val="20"/>
                <w:color w:val="auto"/>
              </w:rPr>
            </w:pPr>
            <w:r>
              <w:rPr>
                <w:rFonts w:ascii="Arial" w:cs="Arial" w:eastAsia="Arial" w:hAnsi="Arial"/>
                <w:sz w:val="17"/>
                <w:szCs w:val="17"/>
                <w:b w:val="1"/>
                <w:bCs w:val="1"/>
                <w:color w:val="auto"/>
              </w:rPr>
              <w:t>Other Data: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Funds from operations available to common shareholders (3) (4)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163,544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148,671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131,257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110,432</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EBITDA (5)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292,465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258,143</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91"/>
              </w:rPr>
              <w:t>243,956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183,488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195,321</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 (5)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261,717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244,091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223,903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186,136</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w w:val="97"/>
              </w:rPr>
              <w:t>Ratio of EBITDA to combined fixed charges and preferred share dividends (5) (6)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2.7x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2.5x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2.2x</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1.7x</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2.0x</w:t>
            </w: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Ratio of Adjusted EBITDA to combined fixed charges and preferred share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(5) (6)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2.4x</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2.4x</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2.1x</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1.6x</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1.9x</w:t>
            </w:r>
          </w:p>
        </w:tc>
        <w:tc>
          <w:tcPr>
            <w:tcW w:w="0" w:type="dxa"/>
            <w:vAlign w:val="bottom"/>
          </w:tcPr>
          <w:p>
            <w:pPr>
              <w:spacing w:after="0"/>
              <w:rPr>
                <w:sz w:val="1"/>
                <w:szCs w:val="1"/>
                <w:color w:val="auto"/>
              </w:rPr>
            </w:pPr>
          </w:p>
        </w:tc>
      </w:tr>
      <w:tr>
        <w:trPr>
          <w:trHeight w:val="358"/>
        </w:trPr>
        <w:tc>
          <w:tcPr>
            <w:tcW w:w="5980" w:type="dxa"/>
            <w:vAlign w:val="bottom"/>
          </w:tcPr>
          <w:p>
            <w:pPr>
              <w:ind w:left="5620"/>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9"/>
        </w:trPr>
        <w:tc>
          <w:tcPr>
            <w:tcW w:w="5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40"/>
        </w:trPr>
        <w:tc>
          <w:tcPr>
            <w:tcW w:w="5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0" w:lineRule="exact"/>
              <w:rPr>
                <w:sz w:val="20"/>
                <w:szCs w:val="20"/>
                <w:color w:val="auto"/>
              </w:rPr>
            </w:pPr>
            <w:r>
              <w:rPr>
                <w:rFonts w:ascii="Arial" w:cs="Arial" w:eastAsia="Arial" w:hAnsi="Arial"/>
                <w:sz w:val="13"/>
                <w:szCs w:val="13"/>
                <w:b w:val="1"/>
                <w:bCs w:val="1"/>
                <w:color w:val="auto"/>
              </w:rPr>
              <w:t>2005</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0" w:lineRule="exact"/>
              <w:rPr>
                <w:sz w:val="20"/>
                <w:szCs w:val="20"/>
                <w:color w:val="auto"/>
              </w:rPr>
            </w:pPr>
            <w:r>
              <w:rPr>
                <w:rFonts w:ascii="Arial" w:cs="Arial" w:eastAsia="Arial" w:hAnsi="Arial"/>
                <w:sz w:val="13"/>
                <w:szCs w:val="13"/>
                <w:b w:val="1"/>
                <w:bCs w:val="1"/>
                <w:color w:val="auto"/>
              </w:rPr>
              <w:t>2004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0" w:lineRule="exact"/>
              <w:rPr>
                <w:sz w:val="20"/>
                <w:szCs w:val="20"/>
                <w:color w:val="auto"/>
              </w:rPr>
            </w:pPr>
            <w:r>
              <w:rPr>
                <w:rFonts w:ascii="Arial" w:cs="Arial" w:eastAsia="Arial" w:hAnsi="Arial"/>
                <w:sz w:val="13"/>
                <w:szCs w:val="13"/>
                <w:b w:val="1"/>
                <w:bCs w:val="1"/>
                <w:color w:val="auto"/>
              </w:rPr>
              <w:t>2003</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0" w:lineRule="exact"/>
              <w:rPr>
                <w:sz w:val="20"/>
                <w:szCs w:val="20"/>
                <w:color w:val="auto"/>
              </w:rPr>
            </w:pPr>
            <w:r>
              <w:rPr>
                <w:rFonts w:ascii="Arial" w:cs="Arial" w:eastAsia="Arial" w:hAnsi="Arial"/>
                <w:sz w:val="13"/>
                <w:szCs w:val="13"/>
                <w:b w:val="1"/>
                <w:bCs w:val="1"/>
                <w:color w:val="auto"/>
              </w:rPr>
              <w:t>2002</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0" w:lineRule="exact"/>
              <w:rPr>
                <w:sz w:val="20"/>
                <w:szCs w:val="20"/>
                <w:color w:val="auto"/>
              </w:rPr>
            </w:pPr>
            <w:r>
              <w:rPr>
                <w:rFonts w:ascii="Arial" w:cs="Arial" w:eastAsia="Arial" w:hAnsi="Arial"/>
                <w:sz w:val="13"/>
                <w:szCs w:val="13"/>
                <w:b w:val="1"/>
                <w:bCs w:val="1"/>
                <w:color w:val="auto"/>
              </w:rPr>
              <w:t>2001</w:t>
            </w:r>
          </w:p>
        </w:tc>
      </w:tr>
      <w:tr>
        <w:trPr>
          <w:trHeight w:val="140"/>
        </w:trPr>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1260" w:type="dxa"/>
            <w:vAlign w:val="bottom"/>
            <w:gridSpan w:val="4"/>
          </w:tcPr>
          <w:p>
            <w:pPr>
              <w:jc w:val="right"/>
              <w:spacing w:after="0" w:line="140" w:lineRule="exact"/>
              <w:rPr>
                <w:sz w:val="20"/>
                <w:szCs w:val="20"/>
                <w:color w:val="auto"/>
              </w:rPr>
            </w:pPr>
            <w:r>
              <w:rPr>
                <w:rFonts w:ascii="Arial" w:cs="Arial" w:eastAsia="Arial" w:hAnsi="Arial"/>
                <w:sz w:val="13"/>
                <w:szCs w:val="13"/>
                <w:b w:val="1"/>
                <w:bCs w:val="1"/>
                <w:color w:val="auto"/>
                <w:w w:val="85"/>
              </w:rPr>
              <w:t>thousands, except per</w:t>
            </w:r>
          </w:p>
        </w:tc>
        <w:tc>
          <w:tcPr>
            <w:tcW w:w="320" w:type="dxa"/>
            <w:vAlign w:val="bottom"/>
          </w:tcPr>
          <w:p>
            <w:pPr>
              <w:spacing w:after="0" w:line="140" w:lineRule="exact"/>
              <w:rPr>
                <w:sz w:val="20"/>
                <w:szCs w:val="20"/>
                <w:color w:val="auto"/>
              </w:rPr>
            </w:pPr>
            <w:r>
              <w:rPr>
                <w:rFonts w:ascii="Arial" w:cs="Arial" w:eastAsia="Arial" w:hAnsi="Arial"/>
                <w:sz w:val="13"/>
                <w:szCs w:val="13"/>
                <w:b w:val="1"/>
                <w:bCs w:val="1"/>
                <w:color w:val="auto"/>
                <w:w w:val="86"/>
              </w:rPr>
              <w:t>share</w:t>
            </w:r>
          </w:p>
        </w:tc>
        <w:tc>
          <w:tcPr>
            <w:tcW w:w="92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data)</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3"/>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5480" w:type="dxa"/>
            <w:vAlign w:val="bottom"/>
          </w:tcPr>
          <w:p>
            <w:pPr>
              <w:spacing w:after="0"/>
              <w:rPr>
                <w:sz w:val="20"/>
                <w:szCs w:val="20"/>
                <w:color w:val="auto"/>
              </w:rPr>
            </w:pPr>
            <w:r>
              <w:rPr>
                <w:rFonts w:ascii="Arial" w:cs="Arial" w:eastAsia="Arial" w:hAnsi="Arial"/>
                <w:sz w:val="17"/>
                <w:szCs w:val="17"/>
                <w:color w:val="auto"/>
              </w:rPr>
              <w:t>Real estate at cost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2,829,321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w w:val="97"/>
              </w:rPr>
              <w:t>2,666,276</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53"/>
              <w:spacing w:after="0"/>
              <w:rPr>
                <w:sz w:val="20"/>
                <w:szCs w:val="20"/>
                <w:color w:val="auto"/>
              </w:rPr>
            </w:pPr>
            <w:r>
              <w:rPr>
                <w:rFonts w:ascii="Arial" w:cs="Arial" w:eastAsia="Arial" w:hAnsi="Arial"/>
                <w:sz w:val="17"/>
                <w:szCs w:val="17"/>
                <w:color w:val="auto"/>
                <w:w w:val="97"/>
              </w:rPr>
              <w:t>2,470,149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2,306,826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2,104,304</w:t>
            </w:r>
          </w:p>
        </w:tc>
      </w:tr>
      <w:tr>
        <w:trPr>
          <w:trHeight w:val="21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2,350,852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w w:val="97"/>
              </w:rPr>
              <w:t>2,266,896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w w:val="97"/>
              </w:rPr>
              <w:t>2,141,185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1,996,662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1,833,171</w:t>
            </w:r>
          </w:p>
        </w:tc>
      </w:tr>
      <w:tr>
        <w:trPr>
          <w:trHeight w:val="213"/>
        </w:trPr>
        <w:tc>
          <w:tcPr>
            <w:tcW w:w="5480" w:type="dxa"/>
            <w:vAlign w:val="bottom"/>
          </w:tcPr>
          <w:p>
            <w:pPr>
              <w:spacing w:after="0"/>
              <w:rPr>
                <w:sz w:val="20"/>
                <w:szCs w:val="20"/>
                <w:color w:val="auto"/>
              </w:rPr>
            </w:pPr>
            <w:r>
              <w:rPr>
                <w:rFonts w:ascii="Arial" w:cs="Arial" w:eastAsia="Arial" w:hAnsi="Arial"/>
                <w:sz w:val="17"/>
                <w:szCs w:val="17"/>
                <w:color w:val="auto"/>
              </w:rPr>
              <w:t>Mortgage, construction loans and capital lease obligations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419,713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410,885</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53"/>
              <w:spacing w:after="0"/>
              <w:rPr>
                <w:sz w:val="20"/>
                <w:szCs w:val="20"/>
                <w:color w:val="auto"/>
              </w:rPr>
            </w:pPr>
            <w:r>
              <w:rPr>
                <w:rFonts w:ascii="Arial" w:cs="Arial" w:eastAsia="Arial" w:hAnsi="Arial"/>
                <w:sz w:val="17"/>
                <w:szCs w:val="17"/>
                <w:color w:val="auto"/>
              </w:rPr>
              <w:t>414,357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383,812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450,336</w:t>
            </w:r>
          </w:p>
        </w:tc>
      </w:tr>
      <w:tr>
        <w:trPr>
          <w:trHeight w:val="21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316,755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325,051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361,323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207,711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174,843</w:t>
            </w:r>
          </w:p>
        </w:tc>
      </w:tr>
      <w:tr>
        <w:trPr>
          <w:trHeight w:val="213"/>
        </w:trPr>
        <w:tc>
          <w:tcPr>
            <w:tcW w:w="5480" w:type="dxa"/>
            <w:vAlign w:val="bottom"/>
          </w:tcPr>
          <w:p>
            <w:pPr>
              <w:spacing w:after="0"/>
              <w:rPr>
                <w:sz w:val="20"/>
                <w:szCs w:val="20"/>
                <w:color w:val="auto"/>
              </w:rPr>
            </w:pPr>
            <w:r>
              <w:rPr>
                <w:rFonts w:ascii="Arial" w:cs="Arial" w:eastAsia="Arial" w:hAnsi="Arial"/>
                <w:sz w:val="17"/>
                <w:szCs w:val="17"/>
                <w:color w:val="auto"/>
              </w:rPr>
              <w:t>Senior notes and debentures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653,675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568,121</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53"/>
              <w:spacing w:after="0"/>
              <w:rPr>
                <w:sz w:val="20"/>
                <w:szCs w:val="20"/>
                <w:color w:val="auto"/>
              </w:rPr>
            </w:pPr>
            <w:r>
              <w:rPr>
                <w:rFonts w:ascii="Arial" w:cs="Arial" w:eastAsia="Arial" w:hAnsi="Arial"/>
                <w:sz w:val="17"/>
                <w:szCs w:val="17"/>
                <w:color w:val="auto"/>
              </w:rPr>
              <w:t>532,750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532,284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408,290</w:t>
            </w:r>
          </w:p>
        </w:tc>
      </w:tr>
      <w:tr>
        <w:trPr>
          <w:trHeight w:val="21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Convertible subordinated debentures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75,000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75,289</w:t>
            </w:r>
          </w:p>
        </w:tc>
      </w:tr>
      <w:tr>
        <w:trPr>
          <w:trHeight w:val="213"/>
        </w:trPr>
        <w:tc>
          <w:tcPr>
            <w:tcW w:w="5480" w:type="dxa"/>
            <w:vAlign w:val="bottom"/>
          </w:tcPr>
          <w:p>
            <w:pPr>
              <w:spacing w:after="0"/>
              <w:rPr>
                <w:sz w:val="20"/>
                <w:szCs w:val="20"/>
                <w:color w:val="auto"/>
              </w:rPr>
            </w:pPr>
            <w:r>
              <w:rPr>
                <w:rFonts w:ascii="Arial" w:cs="Arial" w:eastAsia="Arial" w:hAnsi="Arial"/>
                <w:sz w:val="17"/>
                <w:szCs w:val="17"/>
                <w:color w:val="auto"/>
              </w:rPr>
              <w:t>Redeemable preferred shares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135,000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135,000</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53"/>
              <w:spacing w:after="0"/>
              <w:rPr>
                <w:sz w:val="20"/>
                <w:szCs w:val="20"/>
                <w:color w:val="auto"/>
              </w:rPr>
            </w:pPr>
            <w:r>
              <w:rPr>
                <w:rFonts w:ascii="Arial" w:cs="Arial" w:eastAsia="Arial" w:hAnsi="Arial"/>
                <w:sz w:val="17"/>
                <w:szCs w:val="17"/>
                <w:color w:val="auto"/>
              </w:rPr>
              <w:t>135,000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235,000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235,000</w:t>
            </w:r>
          </w:p>
        </w:tc>
      </w:tr>
      <w:tr>
        <w:trPr>
          <w:trHeight w:val="21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774,847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790,534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691,374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644,287</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589,291</w:t>
            </w:r>
          </w:p>
        </w:tc>
      </w:tr>
      <w:tr>
        <w:trPr>
          <w:trHeight w:val="220"/>
        </w:trPr>
        <w:tc>
          <w:tcPr>
            <w:tcW w:w="5480" w:type="dxa"/>
            <w:vAlign w:val="bottom"/>
          </w:tcPr>
          <w:p>
            <w:pPr>
              <w:spacing w:after="0"/>
              <w:rPr>
                <w:sz w:val="20"/>
                <w:szCs w:val="20"/>
                <w:color w:val="auto"/>
              </w:rPr>
            </w:pPr>
            <w:r>
              <w:rPr>
                <w:rFonts w:ascii="Arial" w:cs="Arial" w:eastAsia="Arial" w:hAnsi="Arial"/>
                <w:sz w:val="17"/>
                <w:szCs w:val="17"/>
                <w:color w:val="auto"/>
              </w:rPr>
              <w:t>Number of common shares outstanding</w:t>
            </w: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52,891</w:t>
            </w:r>
          </w:p>
        </w:tc>
        <w:tc>
          <w:tcPr>
            <w:tcW w:w="160" w:type="dxa"/>
            <w:vAlign w:val="bottom"/>
          </w:tcPr>
          <w:p>
            <w:pPr>
              <w:spacing w:after="0"/>
              <w:rPr>
                <w:sz w:val="19"/>
                <w:szCs w:val="19"/>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52,137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53"/>
              <w:spacing w:after="0"/>
              <w:rPr>
                <w:sz w:val="20"/>
                <w:szCs w:val="20"/>
                <w:color w:val="auto"/>
              </w:rPr>
            </w:pPr>
            <w:r>
              <w:rPr>
                <w:rFonts w:ascii="Arial" w:cs="Arial" w:eastAsia="Arial" w:hAnsi="Arial"/>
                <w:sz w:val="17"/>
                <w:szCs w:val="17"/>
                <w:color w:val="auto"/>
              </w:rPr>
              <w:t>49,201</w:t>
            </w: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43,535</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435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90" w:lineRule="exact"/>
        <w:rPr>
          <w:sz w:val="20"/>
          <w:szCs w:val="20"/>
          <w:color w:val="auto"/>
        </w:rPr>
      </w:pPr>
    </w:p>
    <w:p>
      <w:pPr>
        <w:ind w:left="460" w:right="360" w:hanging="454"/>
        <w:spacing w:after="0" w:line="28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ind w:left="460" w:hanging="454"/>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Determined in accordance with Financial Accounting Standards Board (“FASB”) Statement No. 95, Statement of Cash Flows.</w:t>
      </w:r>
    </w:p>
    <w:p>
      <w:pPr>
        <w:spacing w:after="0" w:line="17" w:lineRule="exact"/>
        <w:rPr>
          <w:rFonts w:ascii="Arial" w:cs="Arial" w:eastAsia="Arial" w:hAnsi="Arial"/>
          <w:sz w:val="17"/>
          <w:szCs w:val="17"/>
          <w:color w:val="auto"/>
        </w:rPr>
      </w:pPr>
    </w:p>
    <w:p>
      <w:pPr>
        <w:ind w:left="460" w:right="140" w:hanging="454"/>
        <w:spacing w:after="0" w:line="28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w:t>
      </w:r>
    </w:p>
    <w:p>
      <w:pPr>
        <w:spacing w:after="0" w:line="3" w:lineRule="exact"/>
        <w:rPr>
          <w:rFonts w:ascii="Arial" w:cs="Arial" w:eastAsia="Arial" w:hAnsi="Arial"/>
          <w:sz w:val="16"/>
          <w:szCs w:val="16"/>
          <w:color w:val="auto"/>
        </w:rPr>
      </w:pPr>
    </w:p>
    <w:p>
      <w:pPr>
        <w:ind w:left="460" w:right="20"/>
        <w:spacing w:after="0" w:line="266"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2005</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2003</w:t>
            </w:r>
          </w:p>
        </w:tc>
        <w:tc>
          <w:tcPr>
            <w:tcW w:w="500" w:type="dxa"/>
            <w:vAlign w:val="bottom"/>
          </w:tcPr>
          <w:p>
            <w:pPr>
              <w:spacing w:after="0"/>
              <w:rPr>
                <w:sz w:val="13"/>
                <w:szCs w:val="13"/>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2002</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right"/>
              <w:spacing w:after="0" w:line="140"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$ 114,612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94,497</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$ 55,287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380" w:type="dxa"/>
            <w:vAlign w:val="bottom"/>
            <w:gridSpan w:val="3"/>
          </w:tcPr>
          <w:p>
            <w:pPr>
              <w:jc w:val="right"/>
              <w:ind w:right="460"/>
              <w:spacing w:after="0"/>
              <w:rPr>
                <w:sz w:val="20"/>
                <w:szCs w:val="20"/>
                <w:color w:val="auto"/>
              </w:rPr>
            </w:pPr>
            <w:r>
              <w:rPr>
                <w:rFonts w:ascii="Arial" w:cs="Arial" w:eastAsia="Arial" w:hAnsi="Arial"/>
                <w:sz w:val="17"/>
                <w:szCs w:val="17"/>
                <w:color w:val="auto"/>
              </w:rPr>
              <w:t>(30,748)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(14,052)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(20,053)</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(19,101)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(9,185)</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82,752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68,202</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58,605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6,972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7,151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5,801</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4,750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1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20"/>
                <w:szCs w:val="20"/>
                <w:color w:val="auto"/>
              </w:rPr>
            </w:pPr>
            <w:r>
              <w:rPr>
                <w:rFonts w:ascii="Arial" w:cs="Arial" w:eastAsia="Arial" w:hAnsi="Arial"/>
                <w:sz w:val="17"/>
                <w:szCs w:val="17"/>
                <w:color w:val="auto"/>
              </w:rPr>
              <w:t>Funds from operations</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174,218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159,091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w w:val="91"/>
              </w:rPr>
              <w:t>148,447</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99,541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118,082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23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(11,475)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(11,475)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7"/>
              </w:rPr>
              <w:t>(15,084)</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(19,425)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(9,034)</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1,317</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redemption costs</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(3,423)</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40" w:type="dxa"/>
            <w:vAlign w:val="bottom"/>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163,544</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148,671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131,257</w:t>
            </w:r>
          </w:p>
        </w:tc>
        <w:tc>
          <w:tcPr>
            <w:tcW w:w="5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$ 80,856</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110,432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7"/>
                <w:szCs w:val="17"/>
                <w:color w:val="auto"/>
              </w:rPr>
              <w:t>30</w:t>
            </w: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8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30" w:name="page31"/>
    <w:bookmarkEnd w:id="30"/>
    <w:p>
      <w:pPr>
        <w:ind w:left="460" w:right="120" w:hanging="454"/>
        <w:spacing w:after="0" w:line="264"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Includes $3.1 million and $8.0 million of insurance recoveries in 2004 and 2003, respectively, attributable to rental income lost at Santana Row as a result of the August 2002 fire. Insurance recoveries received in 2005 were insignificant. Excluding these items, funds from operations in 2004 and 2003 would have been $156.0 million and $140.5 million, respectively.</w:t>
      </w:r>
    </w:p>
    <w:p>
      <w:pPr>
        <w:ind w:left="460" w:right="80" w:hanging="454"/>
        <w:spacing w:after="0" w:line="28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SEC has stated that EBITDA is a non-GAAP measure as calculated in the table below. Adjusted EBITDA is a non-GAAP measure that means net income or loss plus interest expense, income taxes, depreciation and amortization, impairment provisions, and nonrecurring expenses.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The reconciliation of Adjusted EBITDA to net income for the periods presented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2001</w:t>
            </w:r>
          </w:p>
        </w:tc>
        <w:tc>
          <w:tcPr>
            <w:tcW w:w="60" w:type="dxa"/>
            <w:vAlign w:val="bottom"/>
          </w:tcPr>
          <w:p>
            <w:pPr>
              <w:spacing w:after="0"/>
              <w:rPr>
                <w:sz w:val="13"/>
                <w:szCs w:val="13"/>
                <w:color w:val="auto"/>
              </w:rPr>
            </w:pPr>
          </w:p>
        </w:tc>
      </w:tr>
      <w:tr>
        <w:trPr>
          <w:trHeight w:val="140"/>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right"/>
              <w:spacing w:after="0" w:line="140" w:lineRule="exact"/>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$ 114,612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68,756</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7"/>
                <w:szCs w:val="17"/>
                <w:color w:val="auto"/>
              </w:rPr>
              <w:t>91,503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90,438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75,503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64,529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59,914</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69,313</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Other interest income</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(2,216)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(1,509)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(1,276)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(1,386)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(2,662)</w:t>
            </w: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292,465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258,143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243,956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183,488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195,321</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Gain loss on sale of real estate</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(30,748)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(14,052)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(20,053)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(19,101)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(9,185)</w:t>
            </w:r>
          </w:p>
        </w:tc>
      </w:tr>
      <w:tr>
        <w:trPr>
          <w:trHeight w:val="204"/>
        </w:trPr>
        <w:tc>
          <w:tcPr>
            <w:tcW w:w="20" w:type="dxa"/>
            <w:vAlign w:val="bottom"/>
          </w:tcPr>
          <w:p>
            <w:pPr>
              <w:spacing w:after="0"/>
              <w:rPr>
                <w:sz w:val="17"/>
                <w:szCs w:val="17"/>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on abandoned developments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held for sale</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r>
      <w:tr>
        <w:trPr>
          <w:trHeight w:val="219"/>
        </w:trPr>
        <w:tc>
          <w:tcPr>
            <w:tcW w:w="600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261,717</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244,091</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223,903</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174,034</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186,136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 w:lineRule="exact"/>
        <w:rPr>
          <w:sz w:val="20"/>
          <w:szCs w:val="20"/>
          <w:color w:val="auto"/>
        </w:rPr>
      </w:pPr>
    </w:p>
    <w:p>
      <w:pPr>
        <w:jc w:val="both"/>
        <w:ind w:left="460" w:right="20" w:hanging="454"/>
        <w:spacing w:after="0" w:line="276"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and expense and the portion of rent expense representing an interest factor. Preferred share dividends consist of dividends paid on our outstanding Series A preferred shares and Series B preferred shares. Our Series A preferred shares were redeemed in full in June 2003.</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3" w:lineRule="exact"/>
        <w:rPr>
          <w:sz w:val="20"/>
          <w:szCs w:val="20"/>
          <w:color w:val="auto"/>
        </w:rPr>
      </w:pPr>
    </w:p>
    <w:p>
      <w:pPr>
        <w:ind w:right="740" w:firstLine="457"/>
        <w:spacing w:after="0" w:line="291" w:lineRule="auto"/>
        <w:rPr>
          <w:sz w:val="20"/>
          <w:szCs w:val="20"/>
          <w:color w:val="auto"/>
        </w:rPr>
      </w:pPr>
      <w:r>
        <w:rPr>
          <w:rFonts w:ascii="Arial" w:cs="Arial" w:eastAsia="Arial" w:hAnsi="Arial"/>
          <w:sz w:val="17"/>
          <w:szCs w:val="17"/>
          <w:color w:val="auto"/>
        </w:rPr>
        <w:t>The following discussion should be read in conjunction with the consolidated financial statements and notes thereto appearing in “Item 8. Financial Statements and Supplementary Data” of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3" w:lineRule="exact"/>
        <w:rPr>
          <w:sz w:val="20"/>
          <w:szCs w:val="20"/>
          <w:color w:val="auto"/>
        </w:rPr>
      </w:pPr>
    </w:p>
    <w:p>
      <w:pPr>
        <w:ind w:right="100" w:firstLine="457"/>
        <w:spacing w:after="0" w:line="298" w:lineRule="auto"/>
        <w:rPr>
          <w:sz w:val="20"/>
          <w:szCs w:val="20"/>
          <w:color w:val="auto"/>
        </w:rPr>
      </w:pPr>
      <w:r>
        <w:rPr>
          <w:rFonts w:ascii="Arial" w:cs="Arial" w:eastAsia="Arial" w:hAnsi="Arial"/>
          <w:sz w:val="15"/>
          <w:szCs w:val="15"/>
          <w:color w:val="auto"/>
        </w:rPr>
        <w:t>We are an equity real estate investment trust specializing in the ownership, management, development and redevelopment of retail and mixed-use properties. As of December 31, 2005, we owned or had a majority interest in 103 community and neighborhood shopping centers and mixed-use properties comprising approximately 17.6 million square feet. Our properties are located primarily in densely populated and affluent communities in strategic metropolitan markets in the Mid-Atlantic and Northeast regions of the United States, as well as in California, and one apartment complex in Maryland. In total, the 103 commercial properties were 96.3% leased at December 31, 2005. A joint venture in which we own a 30% interest owned four neighborhood shopping centers totaling approximately</w:t>
      </w:r>
    </w:p>
    <w:p>
      <w:pPr>
        <w:spacing w:after="0" w:line="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0.5 million square feet as of December 31, 2005. In total, the joint venture properties in which we own an interest were 97.4% leased at December 31, 2005. We have paid quarterly dividends to our shareholders continuously since our founding in 1962 and have increased our dividends per common share for 38 consecutive years.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7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Critical Accounting Policies</w:t>
      </w:r>
    </w:p>
    <w:p>
      <w:pPr>
        <w:spacing w:after="0" w:line="103"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or accrual results could have a material impact on our consolidated results of operations or financial condition.</w:t>
      </w:r>
    </w:p>
    <w:p>
      <w:pPr>
        <w:spacing w:after="0" w:line="136" w:lineRule="exact"/>
        <w:rPr>
          <w:sz w:val="20"/>
          <w:szCs w:val="20"/>
          <w:color w:val="auto"/>
        </w:rPr>
      </w:pPr>
    </w:p>
    <w:p>
      <w:pPr>
        <w:ind w:right="180" w:firstLine="457"/>
        <w:spacing w:after="0" w:line="291" w:lineRule="auto"/>
        <w:rPr>
          <w:sz w:val="20"/>
          <w:szCs w:val="20"/>
          <w:color w:val="auto"/>
        </w:rPr>
      </w:pPr>
      <w:r>
        <w:rPr>
          <w:rFonts w:ascii="Arial" w:cs="Arial" w:eastAsia="Arial" w:hAnsi="Arial"/>
          <w:sz w:val="17"/>
          <w:szCs w:val="17"/>
          <w:color w:val="auto"/>
        </w:rPr>
        <w:t>The most significant accounting policies, which involve the use of estimates and assumptions as to future uncertainties and, therefore, may result in actual amounts that differ from estimates, are as follows: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97"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We make estimates of the collectibility of our accounts receivable related to base rents, straight-line rents, expense reimbursements and other revenue or income taking into account our expertise in the retail sector, tenant credit information both internally and externally available, payment history, industry trends, tenant credit-worthiness and remaining lease terms. In some cases, primarily relating to straight-line rents, the collection of these amounts extends beyond one year. The extended collection period for straight-line rents along with our evaluation of tenant credit risk may result in the nonrecognition of a portion of straight-line rental income until the collection of such income is reasonably assured. These estimates have a direct impact on our net income. Historically, we have recognized bad debt expense between 1.0% and 1.5% of rental income and it was</w:t>
      </w:r>
    </w:p>
    <w:p>
      <w:pPr>
        <w:spacing w:after="0" w:line="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0.5% in 2005. An increase in our bad debt expense would decrease our net income. For example, if we had experienced an increase in bad debt of 0.5% of rental income in 2005, our net income would have been reduced by approximately $2.0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97"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the Trust as well as the industry as a whole. The Trust capitalizes real estate investments and depreciates them in accordance with GAAP and consistent with industry standards based on our best estimates of the assets’ physical and economic useful lives. The cost of our real estate investments, less salvage value, if any, is charged to depreciation expense over the estimated life of the asset using straight-line rates for financial statement purposes. We periodically review the estimated lives of our assets and implement changes, as necessary, to these estimates and, therefore, to our depreciation rates. These reviews take into account the historical retirement and replacement of our assets, the repairs required to maintain the condition of our assets, the cost of redevelopments that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as well as their salvage value requires significant management judgment. The longer the economic useful life, the lower the depreciation charged to that asset in a fiscal period will be, which in turn will increase our net income. Similarly, having a shorter economic useful life would increase the depreciation for a fiscal period and decrease our net income.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20"/>
          </w:cols>
          <w:pgMar w:left="240" w:top="271" w:right="339" w:bottom="1440" w:gutter="0" w:footer="0" w:header="0"/>
        </w:sectPr>
      </w:pPr>
    </w:p>
    <w:bookmarkStart w:id="32" w:name="page33"/>
    <w:bookmarkEnd w:id="32"/>
    <w:p>
      <w:pPr>
        <w:ind w:right="20" w:firstLine="457"/>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Land, buildings and real estate under development are recorded at cost. We compute depreciation using the straight-line method with useful lives ranging generally from 35 years to a maximum of 50 years on buildings and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three to 15 years. Certain external and internal costs directly related to the development, redevelopment and leasing of real estate, including applicable salaries and the related direct costs, are capitalized. The capitalized costs associated with developments and redevelopments are depreciated over the life of the improvement. Capitalized costs associated with leases are depreciated or amortized over the base term of the lease. Unamortized leasing costs are charged to operating expense if the applicable tenant vacates before the expiration of its lease. Undepreciated tenant work is charged to operations if the applicable tenant vacates and the tenant work is replaced.</w:t>
      </w:r>
    </w:p>
    <w:p>
      <w:pPr>
        <w:spacing w:after="0" w:line="133" w:lineRule="exact"/>
        <w:rPr>
          <w:sz w:val="20"/>
          <w:szCs w:val="20"/>
          <w:color w:val="auto"/>
        </w:rPr>
      </w:pPr>
    </w:p>
    <w:p>
      <w:pPr>
        <w:ind w:right="300" w:firstLine="457"/>
        <w:spacing w:after="0" w:line="271"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in accordance with the provisions of Statement of Financial Accounting Standard (SFAS) No. 13, “Accounting for Leases.” We are required to use judgment and make estimates 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28"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We are required to make subjective assessments as to the useful lives of our real estate for purposes of determining the amount of depreciation to reflect on an annual basis. These assessments have a direct impact on net income. Certain events could occur that would materially affect our estimates and assumptions related to depreciation. Unforeseen competition or changes in customer shopping habits could substantially alter our assumptions regarding our ability to realize the return on investment in the property and therefore reduce the economic life of the asset and affect the amount of depreciation expense to charge against both the current and future revenues. We periodically review the lives of assets and any decrease in asset lives could have the effect of increasing depreciation expense while any analysis indicating that lives are longer than we have assumed could have the effect of decreasing depreciation expense. In order to determine the impact on depreciation expense of a different average life of our real estate assets taken as a whole, we used 25 years, which is the approximate average life of all assets being depreciated at the end of 2005. If the estimated useful lives of all assets being depreciated were increased by one year, the consolidated annual depreciation expense would have decreased by approximately $3.2 million.</w:t>
      </w:r>
    </w:p>
    <w:p>
      <w:pPr>
        <w:spacing w:after="0" w:line="123"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Acquisitions</w:t>
      </w:r>
    </w:p>
    <w:p>
      <w:pPr>
        <w:spacing w:after="0" w:line="97"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Upon acquisition of operating real estate properties, we estimate the fair value of acquired tangible assets (consisting of land, building and improvements), identified intangible assets and liabilities (consisting of above- and below-market leases, in-place leases and tenant relationships), and assumed debt in accordance with Statement of Financial Accounting Standards No. 141, Business Combinations. Based on these estimates, we allocate the purchase price to the applicable assets and liabilities. We utilize methods similar to those used by independent appraisers in estimating the fair value of acquired assets and liabilities. We evaluate the useful life of each amortizable intangible asset each reporting period and account for any changes in such estimated useful life over the revised remaining useful life.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277"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Long-Lived Assets</w:t>
      </w:r>
    </w:p>
    <w:p>
      <w:pPr>
        <w:spacing w:after="0" w:line="97"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developed. Management must evaluate properties for possible impairment of value and, for those properties where impairment may be indicated, make estimates of future cash flows including revenues, operating expenses, required maintenance and development expenditures, market conditions, demand for space by tenants and rental rates over very long periods. Because our properties typically have a very long life, the assumptions used to estimate the future recoverability of book value requires significant management judgment.</w:t>
      </w:r>
    </w:p>
    <w:p>
      <w:pPr>
        <w:spacing w:after="0" w:line="132"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In August 2001 the FASB issued SFAS No. 144, “Accounting for the Impairment or Disposal of Long-Lived Assets.”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 As a result, the sale of a property, or the classification of a property as held for sale, requires us to report the results of operations and cash flows of that property as “discontinued operations.”</w:t>
      </w:r>
    </w:p>
    <w:p>
      <w:pPr>
        <w:spacing w:after="0" w:line="133"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We are required to make estimates of undiscounted cash flows in determining whether there is an impairment of an asset. Actual results could be significantly different from the estimates. These estimates have a direct impact on net income, because recording an impairment charge results in a negative adjustment to net income.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97" w:lineRule="exact"/>
        <w:rPr>
          <w:sz w:val="20"/>
          <w:szCs w:val="20"/>
          <w:color w:val="auto"/>
        </w:rPr>
      </w:pPr>
    </w:p>
    <w:p>
      <w:pPr>
        <w:ind w:right="120" w:firstLine="457"/>
        <w:spacing w:after="0" w:line="291" w:lineRule="auto"/>
        <w:rPr>
          <w:sz w:val="20"/>
          <w:szCs w:val="20"/>
          <w:color w:val="auto"/>
        </w:rPr>
      </w:pPr>
      <w:r>
        <w:rPr>
          <w:rFonts w:ascii="Arial" w:cs="Arial" w:eastAsia="Arial" w:hAnsi="Arial"/>
          <w:sz w:val="17"/>
          <w:szCs w:val="17"/>
          <w:color w:val="auto"/>
        </w:rPr>
        <w:t>We are sometimes involved in lawsuits and environmental matters arising in the ordinary course of business. Management makes assumptions and estimates concerning the likelihood and amount of any potential loss relating to these matters.</w:t>
      </w:r>
    </w:p>
    <w:p>
      <w:pPr>
        <w:spacing w:after="0" w:line="111" w:lineRule="exact"/>
        <w:rPr>
          <w:sz w:val="20"/>
          <w:szCs w:val="20"/>
          <w:color w:val="auto"/>
        </w:rPr>
      </w:pPr>
    </w:p>
    <w:p>
      <w:pPr>
        <w:ind w:right="140" w:firstLine="457"/>
        <w:spacing w:after="0" w:line="293" w:lineRule="auto"/>
        <w:rPr>
          <w:sz w:val="20"/>
          <w:szCs w:val="20"/>
          <w:color w:val="auto"/>
        </w:rPr>
      </w:pPr>
      <w:r>
        <w:rPr>
          <w:rFonts w:ascii="Arial" w:cs="Arial" w:eastAsia="Arial" w:hAnsi="Arial"/>
          <w:sz w:val="16"/>
          <w:szCs w:val="16"/>
          <w:color w:val="auto"/>
        </w:rPr>
        <w:t>Any difference between our estimate of a potential loss and the actual outcome would result in a reduction to net income if the actual loss is greater than our estimate. 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Any increases to our estimated warranty losses would usually result in a decrease in net income.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w:t>
      </w:r>
    </w:p>
    <w:p>
      <w:pPr>
        <w:spacing w:after="0" w:line="97"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actuary valuations and future increases in costs of claims, when making these determinations. If our liability costs exceed these accruals, it will reduce our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Pronouncement</w:t>
      </w:r>
    </w:p>
    <w:p>
      <w:pPr>
        <w:spacing w:after="0" w:line="97"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In December 2004, the FASB issued SFAS No. 123R, “Share-Based Payments.” We are required to adopt SFAS No. 123R on January 1, 2006. SFAS 123R is similar to the fair-value approach permitted by SFAS No. 123, “Accounting for Stock-Based Compensations.” However, 123R requires all share-based awards to employees, including grants of stock options, to be recognized in the financial statements based on their fair values. Pro forma disclosures, which we have previously provided as permitted by 123, are no longer an alternative.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277" w:right="239" w:bottom="1440" w:gutter="0" w:footer="0" w:header="0"/>
        </w:sectPr>
      </w:pPr>
    </w:p>
    <w:bookmarkStart w:id="34" w:name="page35"/>
    <w:bookmarkEnd w:id="34"/>
    <w:p>
      <w:pPr>
        <w:ind w:right="20" w:firstLine="457"/>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Effective January 1, 2006, we will adopt 123R using the modified prospective approach. The modified prospective approach requires the recognition of compensation cost for share-based awards based on the grant- date fair value from the beginning for the fiscal period in which the provisions of 123R are first applied. Measurement and recognition of compensation costs for share-based awards granted prior to, but not yet vested as of, the date 123R is adopted are based on the same method used previously under SFAS 123. Share-based awards granted, modified, or settled after 123R is adopted, will be measured and recognized in the financial statements in accordance with the provisions of 123R.</w:t>
      </w:r>
    </w:p>
    <w:p>
      <w:pPr>
        <w:spacing w:after="0" w:line="133"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We have used the Black-Scholes model to calculate the fair value of options under 123 and intend to continue to utilize this model to compute the fair value of options under 123R. Upon the adoption of 123R, we expect to recognize a cumulative effect of change in accounting principle which will increase net income by approximately $2 million. This cumulative effect is related to certain performance shares issued to certain officers and employees in 2002 and 2003 that were required to be adjusted to fair value at each reporting date under APB No. 25, because the ultimate number of these shares that will vest is dependent on the achievement of certain performance targets. Under 123R, these performance awards are accounted for based on their grant-date fair value and are not adjusted to fair value at each reporting date.</w:t>
      </w:r>
    </w:p>
    <w:p>
      <w:pPr>
        <w:spacing w:after="0" w:line="132" w:lineRule="exact"/>
        <w:rPr>
          <w:sz w:val="20"/>
          <w:szCs w:val="20"/>
          <w:color w:val="auto"/>
        </w:rPr>
      </w:pPr>
    </w:p>
    <w:p>
      <w:pPr>
        <w:jc w:val="both"/>
        <w:ind w:right="220" w:firstLine="457"/>
        <w:spacing w:after="0" w:line="276" w:lineRule="auto"/>
        <w:rPr>
          <w:sz w:val="20"/>
          <w:szCs w:val="20"/>
          <w:color w:val="auto"/>
        </w:rPr>
      </w:pPr>
      <w:r>
        <w:rPr>
          <w:rFonts w:ascii="Arial" w:cs="Arial" w:eastAsia="Arial" w:hAnsi="Arial"/>
          <w:sz w:val="17"/>
          <w:szCs w:val="17"/>
          <w:color w:val="auto"/>
        </w:rPr>
        <w:t>While there are certain differences between 123 and 123R, we believe that our pro forma disclosures under 123 approximate the effect of 123R. Other than the cumulative effect of adoption discussed above, we do not believe that the adoption of 123R will have a material impact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Acquisitions and Dispositions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our significant acquisitions in 2005 and 2004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213"/>
              <w:spacing w:after="0"/>
              <w:rPr>
                <w:sz w:val="20"/>
                <w:szCs w:val="20"/>
                <w:color w:val="auto"/>
              </w:rPr>
            </w:pPr>
            <w:r>
              <w:rPr>
                <w:rFonts w:ascii="Arial" w:cs="Arial" w:eastAsia="Arial" w:hAnsi="Arial"/>
                <w:sz w:val="13"/>
                <w:szCs w:val="13"/>
                <w:b w:val="1"/>
                <w:bCs w:val="1"/>
                <w:color w:val="auto"/>
              </w:rPr>
              <w:t>Gross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Purchase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Date</w:t>
            </w:r>
          </w:p>
        </w:tc>
        <w:tc>
          <w:tcPr>
            <w:tcW w:w="760" w:type="dxa"/>
            <w:vAlign w:val="bottom"/>
          </w:tcPr>
          <w:p>
            <w:pPr>
              <w:spacing w:after="0"/>
              <w:rPr>
                <w:sz w:val="14"/>
                <w:szCs w:val="14"/>
                <w:color w:val="auto"/>
              </w:rPr>
            </w:pPr>
          </w:p>
        </w:tc>
        <w:tc>
          <w:tcPr>
            <w:tcW w:w="402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Property</w:t>
            </w:r>
          </w:p>
        </w:tc>
        <w:tc>
          <w:tcPr>
            <w:tcW w:w="540" w:type="dxa"/>
            <w:vAlign w:val="bottom"/>
          </w:tcPr>
          <w:p>
            <w:pPr>
              <w:spacing w:after="0"/>
              <w:rPr>
                <w:sz w:val="14"/>
                <w:szCs w:val="14"/>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City, State</w:t>
            </w:r>
          </w:p>
        </w:tc>
        <w:tc>
          <w:tcPr>
            <w:tcW w:w="7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Leasable Area</w:t>
            </w: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2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Year ended December 31, 2005</w:t>
            </w: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2"/>
              </w:rPr>
              <w:t>(In square feet)</w:t>
            </w: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3"/>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22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March 1</w:t>
            </w:r>
          </w:p>
        </w:tc>
        <w:tc>
          <w:tcPr>
            <w:tcW w:w="4780" w:type="dxa"/>
            <w:vAlign w:val="bottom"/>
            <w:tcBorders>
              <w:top w:val="single" w:sz="8" w:color="auto"/>
            </w:tcBorders>
            <w:gridSpan w:val="2"/>
            <w:shd w:val="clear" w:color="auto" w:fill="CCEEFF"/>
          </w:tcPr>
          <w:p>
            <w:pPr>
              <w:ind w:left="760"/>
              <w:spacing w:after="0"/>
              <w:rPr>
                <w:sz w:val="20"/>
                <w:szCs w:val="20"/>
                <w:color w:val="auto"/>
              </w:rPr>
            </w:pPr>
            <w:r>
              <w:rPr>
                <w:rFonts w:ascii="Arial" w:cs="Arial" w:eastAsia="Arial" w:hAnsi="Arial"/>
                <w:sz w:val="17"/>
                <w:szCs w:val="17"/>
                <w:color w:val="auto"/>
              </w:rPr>
              <w:t>Assembly Sq./Sturtevant St.</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Somerville, MA</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551,000</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December 29</w:t>
            </w:r>
          </w:p>
        </w:tc>
        <w:tc>
          <w:tcPr>
            <w:tcW w:w="4780" w:type="dxa"/>
            <w:vAlign w:val="bottom"/>
            <w:gridSpan w:val="2"/>
          </w:tcPr>
          <w:p>
            <w:pPr>
              <w:ind w:left="760"/>
              <w:spacing w:after="0"/>
              <w:rPr>
                <w:sz w:val="20"/>
                <w:szCs w:val="20"/>
                <w:color w:val="auto"/>
              </w:rPr>
            </w:pPr>
            <w:r>
              <w:rPr>
                <w:rFonts w:ascii="Arial" w:cs="Arial" w:eastAsia="Arial" w:hAnsi="Arial"/>
                <w:sz w:val="17"/>
                <w:szCs w:val="17"/>
                <w:color w:val="auto"/>
              </w:rPr>
              <w:t>Crow Canyon Commons</w:t>
            </w:r>
          </w:p>
        </w:tc>
        <w:tc>
          <w:tcPr>
            <w:tcW w:w="5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San Ramon, CA</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228,000</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220" w:type="dxa"/>
            <w:vAlign w:val="bottom"/>
            <w:gridSpan w:val="4"/>
          </w:tcPr>
          <w:p>
            <w:pPr>
              <w:spacing w:after="0"/>
              <w:rPr>
                <w:sz w:val="20"/>
                <w:szCs w:val="20"/>
                <w:color w:val="auto"/>
              </w:rPr>
            </w:pPr>
            <w:r>
              <w:rPr>
                <w:rFonts w:ascii="Arial" w:cs="Arial" w:eastAsia="Arial" w:hAnsi="Arial"/>
                <w:sz w:val="17"/>
                <w:szCs w:val="17"/>
                <w:b w:val="1"/>
                <w:bCs w:val="1"/>
                <w:color w:val="auto"/>
              </w:rPr>
              <w:t>Year ended December 31, 2004</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March 31</w:t>
            </w:r>
          </w:p>
        </w:tc>
        <w:tc>
          <w:tcPr>
            <w:tcW w:w="4780" w:type="dxa"/>
            <w:vAlign w:val="bottom"/>
            <w:tcBorders>
              <w:top w:val="single" w:sz="8" w:color="auto"/>
            </w:tcBorders>
            <w:gridSpan w:val="2"/>
            <w:shd w:val="clear" w:color="auto" w:fill="CCEEFF"/>
          </w:tcPr>
          <w:p>
            <w:pPr>
              <w:ind w:left="760"/>
              <w:spacing w:after="0"/>
              <w:rPr>
                <w:sz w:val="20"/>
                <w:szCs w:val="20"/>
                <w:color w:val="auto"/>
              </w:rPr>
            </w:pPr>
            <w:r>
              <w:rPr>
                <w:rFonts w:ascii="Arial" w:cs="Arial" w:eastAsia="Arial" w:hAnsi="Arial"/>
                <w:sz w:val="17"/>
                <w:szCs w:val="17"/>
                <w:color w:val="auto"/>
              </w:rPr>
              <w:t>Westgate Mall</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San Jose, CA</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637,000</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Generally, our acquisitions are initially financed by available cash and borrowings under our revolving credit facility which may be repaid later with funds raised through the issuance of new equity or new long-term debt. Additionally, on December 29, 2005, we assumed a $22.3 million mortgage in connection with the acquisition of Crow Canyon Commons, as discussed further below.</w:t>
      </w:r>
    </w:p>
    <w:p>
      <w:pPr>
        <w:spacing w:after="0" w:line="124" w:lineRule="exact"/>
        <w:rPr>
          <w:sz w:val="20"/>
          <w:szCs w:val="20"/>
          <w:color w:val="auto"/>
        </w:rPr>
      </w:pPr>
    </w:p>
    <w:p>
      <w:pPr>
        <w:ind w:right="260" w:firstLine="457"/>
        <w:spacing w:after="0" w:line="329" w:lineRule="auto"/>
        <w:rPr>
          <w:sz w:val="20"/>
          <w:szCs w:val="20"/>
          <w:color w:val="auto"/>
        </w:rPr>
      </w:pPr>
      <w:r>
        <w:rPr>
          <w:rFonts w:ascii="Arial" w:cs="Arial" w:eastAsia="Arial" w:hAnsi="Arial"/>
          <w:sz w:val="15"/>
          <w:szCs w:val="15"/>
          <w:color w:val="auto"/>
        </w:rPr>
        <w:t>The Assembly Square/Sturtevant Street acquisition includes a 332,000 square foot enclosed mall in the City of Somerville, Massachusetts, for which the redevelopment into a power center is nearly complete, and an adjacent ten-acre 220,000 square foot retail/industrial complex. As of December 31, 2005, we have invested a total of $103.4 million in the property, and we expect to invest approximately $3.5 million more to complete the redevelopment of the power center.</w:t>
      </w:r>
    </w:p>
    <w:p>
      <w:pPr>
        <w:spacing w:after="0" w:line="89" w:lineRule="exact"/>
        <w:rPr>
          <w:sz w:val="20"/>
          <w:szCs w:val="20"/>
          <w:color w:val="auto"/>
        </w:rPr>
      </w:pPr>
    </w:p>
    <w:p>
      <w:pPr>
        <w:ind w:right="360" w:firstLine="457"/>
        <w:spacing w:after="0" w:line="293" w:lineRule="auto"/>
        <w:rPr>
          <w:sz w:val="20"/>
          <w:szCs w:val="20"/>
          <w:color w:val="auto"/>
        </w:rPr>
      </w:pPr>
      <w:r>
        <w:rPr>
          <w:rFonts w:ascii="Arial" w:cs="Arial" w:eastAsia="Arial" w:hAnsi="Arial"/>
          <w:sz w:val="16"/>
          <w:szCs w:val="16"/>
          <w:color w:val="auto"/>
        </w:rPr>
        <w:t>The acquisition of Assembly Square also included zoning entitlements to add four mixed-use buildings on 3.5 acres, which could include approximately 41,000 square feet of retail space, 51,000 square feet of office space and 239 residential units. The acquisition also included an option to purchase adjacent land parcels, all of which are zoned for dense, mixed-use development. We expect that we will structure any future development of Assembly Square in a manner designed to mitigate our risk which may include selling entitlements or co-developing with other real estate companies.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277"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 summary of our significant dispositions in 2005 and 2004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Sales Date</w:t>
            </w:r>
          </w:p>
        </w:tc>
        <w:tc>
          <w:tcPr>
            <w:tcW w:w="460" w:type="dxa"/>
            <w:vAlign w:val="bottom"/>
          </w:tcPr>
          <w:p>
            <w:pPr>
              <w:spacing w:after="0"/>
              <w:rPr>
                <w:sz w:val="13"/>
                <w:szCs w:val="13"/>
                <w:color w:val="auto"/>
              </w:rPr>
            </w:pPr>
          </w:p>
        </w:tc>
        <w:tc>
          <w:tcPr>
            <w:tcW w:w="3420" w:type="dxa"/>
            <w:vAlign w:val="bottom"/>
            <w:vMerge w:val="restart"/>
          </w:tcPr>
          <w:p>
            <w:pPr>
              <w:ind w:left="146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3"/>
                <w:szCs w:val="13"/>
                <w:color w:val="auto"/>
              </w:rPr>
            </w:pPr>
          </w:p>
        </w:tc>
        <w:tc>
          <w:tcPr>
            <w:tcW w:w="182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Location</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w w:val="99"/>
              </w:rPr>
              <w:t>Year Acquired</w:t>
            </w:r>
          </w:p>
        </w:tc>
        <w:tc>
          <w:tcPr>
            <w:tcW w:w="22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Gross Leasable</w:t>
            </w:r>
          </w:p>
        </w:tc>
        <w:tc>
          <w:tcPr>
            <w:tcW w:w="10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460" w:type="dxa"/>
            <w:vAlign w:val="bottom"/>
          </w:tcPr>
          <w:p>
            <w:pPr>
              <w:spacing w:after="0"/>
              <w:rPr>
                <w:sz w:val="13"/>
                <w:szCs w:val="13"/>
                <w:color w:val="auto"/>
              </w:rPr>
            </w:pPr>
          </w:p>
        </w:tc>
        <w:tc>
          <w:tcPr>
            <w:tcW w:w="34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or Built</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Area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Gain</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36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Year ended December 31, 2005</w:t>
            </w: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 square feet)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millions)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3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February 15</w:t>
            </w:r>
          </w:p>
        </w:tc>
        <w:tc>
          <w:tcPr>
            <w:tcW w:w="460" w:type="dxa"/>
            <w:vAlign w:val="bottom"/>
            <w:tcBorders>
              <w:top w:val="single" w:sz="8" w:color="auto"/>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420 &amp; 501 South Mill</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Tempe, AZ</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w w:val="96"/>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June 2</w:t>
            </w:r>
          </w:p>
        </w:tc>
        <w:tc>
          <w:tcPr>
            <w:tcW w:w="4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Cone &amp; Andary Buildings</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Winter Park, FL</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28,000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w w:val="96"/>
              </w:rPr>
              <w:t>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Various after</w:t>
            </w:r>
          </w:p>
        </w:tc>
        <w:tc>
          <w:tcPr>
            <w:tcW w:w="4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Condominiums at Santana Row</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San Jose, CA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N/A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w w:val="96"/>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August 26</w:t>
            </w:r>
          </w:p>
        </w:tc>
        <w:tc>
          <w:tcPr>
            <w:tcW w:w="460" w:type="dxa"/>
            <w:vAlign w:val="bottom"/>
            <w:shd w:val="clear" w:color="auto" w:fill="CCEEFF"/>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(130 units)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60" w:type="dxa"/>
            <w:vAlign w:val="bottom"/>
            <w:gridSpan w:val="4"/>
          </w:tcPr>
          <w:p>
            <w:pPr>
              <w:spacing w:after="0"/>
              <w:rPr>
                <w:sz w:val="20"/>
                <w:szCs w:val="20"/>
                <w:color w:val="auto"/>
              </w:rPr>
            </w:pPr>
            <w:r>
              <w:rPr>
                <w:rFonts w:ascii="Arial" w:cs="Arial" w:eastAsia="Arial" w:hAnsi="Arial"/>
                <w:sz w:val="17"/>
                <w:szCs w:val="17"/>
                <w:b w:val="1"/>
                <w:bCs w:val="1"/>
                <w:color w:val="auto"/>
              </w:rPr>
              <w:t>Year ended December 31, 2004</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June 3 and</w:t>
            </w:r>
          </w:p>
        </w:tc>
        <w:tc>
          <w:tcPr>
            <w:tcW w:w="46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September 16</w:t>
            </w:r>
          </w:p>
        </w:tc>
        <w:tc>
          <w:tcPr>
            <w:tcW w:w="46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Village at Shirlington (land parcels)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Arlington, VA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N/A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June 14</w:t>
            </w:r>
          </w:p>
        </w:tc>
        <w:tc>
          <w:tcPr>
            <w:tcW w:w="4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Magruders Center</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Rockville, MD</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109,000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w w:val="96"/>
              </w:rPr>
              <w:t>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July 1</w:t>
            </w:r>
          </w:p>
        </w:tc>
        <w:tc>
          <w:tcPr>
            <w:tcW w:w="4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Plaza Del Mercado(2)</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Silver Spring, MD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w w:val="96"/>
              </w:rPr>
              <w:t>20.6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December 15</w:t>
            </w:r>
          </w:p>
        </w:tc>
        <w:tc>
          <w:tcPr>
            <w:tcW w:w="46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314-324 &amp; 339 W. Main St. and</w:t>
            </w:r>
          </w:p>
        </w:tc>
        <w:tc>
          <w:tcPr>
            <w:tcW w:w="220" w:type="dxa"/>
            <w:vAlign w:val="bottom"/>
          </w:tcPr>
          <w:p>
            <w:pPr>
              <w:spacing w:after="0"/>
              <w:rPr>
                <w:sz w:val="17"/>
                <w:szCs w:val="17"/>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West Hartford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7"/>
                <w:szCs w:val="17"/>
                <w:color w:val="auto"/>
              </w:rPr>
              <w:t>135 S. Main St.</w:t>
            </w:r>
          </w:p>
        </w:tc>
        <w:tc>
          <w:tcPr>
            <w:tcW w:w="220" w:type="dxa"/>
            <w:vAlign w:val="bottom"/>
          </w:tcPr>
          <w:p>
            <w:pPr>
              <w:spacing w:after="0"/>
              <w:rPr>
                <w:sz w:val="19"/>
                <w:szCs w:val="19"/>
                <w:color w:val="auto"/>
              </w:rPr>
            </w:pPr>
          </w:p>
        </w:tc>
        <w:tc>
          <w:tcPr>
            <w:tcW w:w="1820" w:type="dxa"/>
            <w:vAlign w:val="bottom"/>
          </w:tcPr>
          <w:p>
            <w:pPr>
              <w:ind w:left="220"/>
              <w:spacing w:after="0"/>
              <w:rPr>
                <w:sz w:val="20"/>
                <w:szCs w:val="20"/>
                <w:color w:val="auto"/>
              </w:rPr>
            </w:pPr>
            <w:r>
              <w:rPr>
                <w:rFonts w:ascii="Arial" w:cs="Arial" w:eastAsia="Arial" w:hAnsi="Arial"/>
                <w:sz w:val="17"/>
                <w:szCs w:val="17"/>
                <w:color w:val="auto"/>
              </w:rPr>
              <w:t>and Avon, CT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1994-1996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63,000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w w:val="96"/>
              </w:rPr>
              <w:t>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435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99" w:lineRule="exact"/>
        <w:rPr>
          <w:sz w:val="20"/>
          <w:szCs w:val="20"/>
          <w:color w:val="auto"/>
        </w:rPr>
      </w:pPr>
    </w:p>
    <w:p>
      <w:pPr>
        <w:ind w:left="460" w:hanging="454"/>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Gain of $23.5 million is net of $3.4 million in taxes.</w:t>
      </w:r>
    </w:p>
    <w:p>
      <w:pPr>
        <w:spacing w:after="0" w:line="24" w:lineRule="exact"/>
        <w:rPr>
          <w:rFonts w:ascii="Arial" w:cs="Arial" w:eastAsia="Arial" w:hAnsi="Arial"/>
          <w:sz w:val="17"/>
          <w:szCs w:val="17"/>
          <w:color w:val="auto"/>
        </w:rPr>
      </w:pPr>
    </w:p>
    <w:p>
      <w:pPr>
        <w:ind w:left="460" w:hanging="454"/>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Contributed to real estate partnership with Clarion Lion Partnership Fund.</w:t>
      </w:r>
    </w:p>
    <w:p>
      <w:pPr>
        <w:spacing w:after="0" w:line="169"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proceeds from our dispositions were used to pay down our revolving credit facility and for general corporate purposes.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2005 Financing Developments</w:t>
      </w:r>
    </w:p>
    <w:p>
      <w:pPr>
        <w:spacing w:after="0" w:line="103" w:lineRule="exact"/>
        <w:rPr>
          <w:sz w:val="20"/>
          <w:szCs w:val="20"/>
          <w:color w:val="auto"/>
        </w:rPr>
      </w:pPr>
    </w:p>
    <w:p>
      <w:pPr>
        <w:ind w:right="280" w:firstLine="457"/>
        <w:spacing w:after="0" w:line="291" w:lineRule="auto"/>
        <w:rPr>
          <w:sz w:val="20"/>
          <w:szCs w:val="20"/>
          <w:color w:val="auto"/>
        </w:rPr>
      </w:pPr>
      <w:r>
        <w:rPr>
          <w:rFonts w:ascii="Arial" w:cs="Arial" w:eastAsia="Arial" w:hAnsi="Arial"/>
          <w:sz w:val="17"/>
          <w:szCs w:val="17"/>
          <w:color w:val="auto"/>
        </w:rPr>
        <w:t>On December 2, 2005 we issued $125 million of fixed rate notes which mature in June 2016 and bear interest at 5.65%. The proceeds of this note offering were used to pay down our revolving credit facility, including amounts drawn to pay off our 6.625% Notes due December 2005.</w:t>
      </w:r>
    </w:p>
    <w:p>
      <w:pPr>
        <w:spacing w:after="0" w:line="111" w:lineRule="exact"/>
        <w:rPr>
          <w:sz w:val="20"/>
          <w:szCs w:val="20"/>
          <w:color w:val="auto"/>
        </w:rPr>
      </w:pPr>
    </w:p>
    <w:p>
      <w:pPr>
        <w:ind w:right="560" w:firstLine="457"/>
        <w:spacing w:after="0" w:line="291" w:lineRule="auto"/>
        <w:rPr>
          <w:sz w:val="20"/>
          <w:szCs w:val="20"/>
          <w:color w:val="auto"/>
        </w:rPr>
      </w:pPr>
      <w:r>
        <w:rPr>
          <w:rFonts w:ascii="Arial" w:cs="Arial" w:eastAsia="Arial" w:hAnsi="Arial"/>
          <w:sz w:val="17"/>
          <w:szCs w:val="17"/>
          <w:color w:val="auto"/>
        </w:rPr>
        <w:t>On December 29, 2005, in connection with the acquisition of Crow Canyon Commons, we assumed a mortgage note with an approximate outstanding balance of $22.3 million. This note requires monthly installment payments, bears interest at 5.4% and matures in July 2013.</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97" w:lineRule="exact"/>
        <w:rPr>
          <w:sz w:val="20"/>
          <w:szCs w:val="20"/>
          <w:color w:val="auto"/>
        </w:rPr>
      </w:pPr>
    </w:p>
    <w:p>
      <w:pPr>
        <w:ind w:right="300" w:firstLine="457"/>
        <w:spacing w:after="0" w:line="291" w:lineRule="auto"/>
        <w:rPr>
          <w:sz w:val="20"/>
          <w:szCs w:val="20"/>
          <w:color w:val="auto"/>
        </w:rPr>
      </w:pPr>
      <w:r>
        <w:rPr>
          <w:rFonts w:ascii="Arial" w:cs="Arial" w:eastAsia="Arial" w:hAnsi="Arial"/>
          <w:sz w:val="17"/>
          <w:szCs w:val="17"/>
          <w:color w:val="auto"/>
        </w:rPr>
        <w:t>We anticipate our 2006 income from continuing operations to grow in comparison to our 2005 income from continuing operations. We expect this income growth primarily to be generated by a combination of the following:</w:t>
      </w:r>
    </w:p>
    <w:p>
      <w:pPr>
        <w:spacing w:after="0" w:line="32" w:lineRule="exact"/>
        <w:rPr>
          <w:sz w:val="20"/>
          <w:szCs w:val="20"/>
          <w:color w:val="auto"/>
        </w:rPr>
      </w:pPr>
    </w:p>
    <w:p>
      <w:pPr>
        <w:ind w:left="800" w:hanging="341"/>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earnings in our same center portfolio and from properties under redevelopment;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earnings as we expand our portfolio through property acquisitions.</w:t>
      </w:r>
    </w:p>
    <w:p>
      <w:pPr>
        <w:spacing w:after="0" w:line="177" w:lineRule="exact"/>
        <w:rPr>
          <w:sz w:val="20"/>
          <w:szCs w:val="20"/>
          <w:color w:val="auto"/>
        </w:rPr>
      </w:pPr>
    </w:p>
    <w:p>
      <w:pPr>
        <w:ind w:right="20" w:firstLine="457"/>
        <w:spacing w:after="0" w:line="301" w:lineRule="auto"/>
        <w:rPr>
          <w:sz w:val="20"/>
          <w:szCs w:val="20"/>
          <w:color w:val="auto"/>
        </w:rPr>
      </w:pPr>
      <w:r>
        <w:rPr>
          <w:rFonts w:ascii="Arial" w:cs="Arial" w:eastAsia="Arial" w:hAnsi="Arial"/>
          <w:sz w:val="16"/>
          <w:szCs w:val="16"/>
          <w:color w:val="auto"/>
        </w:rPr>
        <w:t>We continue to see a positive impact on our income as a result of the redevelopment of our shopping centers and higher rental rates on existing spaces that are experiencing tenant turnover. In 2006 and 2007, we anticipate that over 700,000 square feet of retail space that has been under redevelopment will stabilize. As redevelopment properties stabilize, spaces that were out of service begin generating revenue; in addition, spaces that were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77" w:right="239" w:bottom="1440" w:gutter="0" w:footer="0" w:header="0"/>
        </w:sectPr>
      </w:pPr>
    </w:p>
    <w:bookmarkStart w:id="36" w:name="page37"/>
    <w:bookmarkEnd w:id="36"/>
    <w:p>
      <w:pPr>
        <w:ind w:right="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out of service and that have expiring leases may generate higher revenue because we generally receive higher rent on new leases. Further, leases signed in 2004 and 2005 on spaces for which there was a previous tenant have on average been renewed at double digit base rent increases. Many of the leases with rents commencing in 2006 were signed in 2005 or earlier. On spaces where the tenant leases are expiring in 2006, our analysis of current market rents as compared to rents on the existing leases leads us to expect that the base rents in new leases will have double-digit average increases over the base rents currently in place.</w:t>
      </w:r>
    </w:p>
    <w:p>
      <w:pPr>
        <w:spacing w:after="0" w:line="97"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At December 31, 2005 the leaseable square feet in our shopping centers was 93.9% occupied and 96.3% leased. The leased rate is higher than the occupancy rate due to spaces that are being redeveloped or improved or that are awaiting permits and therefore, are not yet ready to be occupied. We believe that our occupancy rate will improve slightly in 2006 as tenants take possession of leased spaces, particularly in centers being redeveloped, but that our occupancy rate will always be below our leased rate as leased spaces are prepared for occupancy. Our occupancy and leased rates are subject to variability over time due to acquisitions and the timing of the start and stabilization of our redevelopment projects.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Santana Row</w:t>
      </w:r>
    </w:p>
    <w:p>
      <w:pPr>
        <w:spacing w:after="0" w:line="97"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Santana Row, located in San Jose, California, includes approximately 563,000 square feet of retail space, 292 residential rental units, and a ground lease to a 213-room hotel. The 292 residential rental units include 256 units that are being constructed and are expected to be complete in early to mid-2006 and 36 existing rental units. The 292 residential rental units do not include 219 units that have been sold as condominiums or are currently classified as held for sale. Our total investment in Santana Row, as currently under development, is anticipated to be $432 million (which includes the 563,000 square feet of retail space, the 292 residential rental units, the related common areas and infrastructure and $11 million invested in restaurant ventures) net of insurance proceeds received related to the 2002 fire and proceeds from the sale of the 219 residential units.</w:t>
      </w:r>
    </w:p>
    <w:p>
      <w:pPr>
        <w:spacing w:after="0" w:line="132" w:lineRule="exact"/>
        <w:rPr>
          <w:sz w:val="20"/>
          <w:szCs w:val="20"/>
          <w:color w:val="auto"/>
        </w:rPr>
      </w:pPr>
    </w:p>
    <w:p>
      <w:pPr>
        <w:jc w:val="both"/>
        <w:ind w:right="380" w:firstLine="457"/>
        <w:spacing w:after="0" w:line="329" w:lineRule="auto"/>
        <w:rPr>
          <w:sz w:val="20"/>
          <w:szCs w:val="20"/>
          <w:color w:val="auto"/>
        </w:rPr>
      </w:pPr>
      <w:r>
        <w:rPr>
          <w:rFonts w:ascii="Arial" w:cs="Arial" w:eastAsia="Arial" w:hAnsi="Arial"/>
          <w:sz w:val="15"/>
          <w:szCs w:val="15"/>
          <w:color w:val="auto"/>
        </w:rPr>
        <w:t>We are developing a master plan for the remaining parcels at Santana Row which comprise approximately 13.4 acres of land. Our entitlements consist of approximately 120,000 square feet of retail space, 690 residential units and a 191-room hotel. We are evaluating the feasibility of utilizing these entitlements in future development at Santana Row but there is no guaranty that we will ultimately pursue or complete any part of the development of the remaining parcels.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Acquisitions</w:t>
      </w:r>
    </w:p>
    <w:p>
      <w:pPr>
        <w:spacing w:after="0" w:line="97" w:lineRule="exact"/>
        <w:rPr>
          <w:sz w:val="20"/>
          <w:szCs w:val="20"/>
          <w:color w:val="auto"/>
        </w:rPr>
      </w:pPr>
    </w:p>
    <w:p>
      <w:pPr>
        <w:ind w:right="300" w:firstLine="457"/>
        <w:spacing w:after="0" w:line="318" w:lineRule="auto"/>
        <w:rPr>
          <w:sz w:val="20"/>
          <w:szCs w:val="20"/>
          <w:color w:val="auto"/>
        </w:rPr>
      </w:pPr>
      <w:r>
        <w:rPr>
          <w:rFonts w:ascii="Arial" w:cs="Arial" w:eastAsia="Arial" w:hAnsi="Arial"/>
          <w:sz w:val="15"/>
          <w:szCs w:val="15"/>
          <w:color w:val="auto"/>
        </w:rPr>
        <w:t>We anticipate further growth in earnings from acquisitions of neighborhood and community shopping centers in our primary markets in the East and West regions, as well as a reduction in earnings from selective dispositions. Any growth in earnings from acquisitions is contingent, however, on our ability to find properties that meet our qualitative standards at prices that meet our financial hurdles. Changes in interest rates also may affect our success in achieving growth through acquisitions by affecting both the price that must be paid to acquire a property, as well as our ability to economically finance the property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Same Center</w:t>
      </w:r>
    </w:p>
    <w:p>
      <w:pPr>
        <w:spacing w:after="0" w:line="97" w:lineRule="exact"/>
        <w:rPr>
          <w:sz w:val="20"/>
          <w:szCs w:val="20"/>
          <w:color w:val="auto"/>
        </w:rPr>
      </w:pPr>
    </w:p>
    <w:p>
      <w:pPr>
        <w:ind w:right="300" w:firstLine="457"/>
        <w:spacing w:after="0" w:line="293" w:lineRule="auto"/>
        <w:rPr>
          <w:sz w:val="20"/>
          <w:szCs w:val="20"/>
          <w:color w:val="auto"/>
        </w:rPr>
      </w:pPr>
      <w:r>
        <w:rPr>
          <w:rFonts w:ascii="Arial" w:cs="Arial" w:eastAsia="Arial" w:hAnsi="Arial"/>
          <w:sz w:val="16"/>
          <w:szCs w:val="16"/>
          <w:color w:val="auto"/>
        </w:rPr>
        <w:t>Throughout this section, we have provided certain information on a “same center” basis. Information provided on a same center basis is provided for only those properties that we owned and operated for the entirety of both periods being compared and excludes properties for which significant development, redevelopment or expansion occurred during either of the periods being compared and properties purchased during either of the periods being compared. Same center results further exclude any properties we have sold during or subsequent to the periods being compared.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277" w:right="239" w:bottom="1440" w:gutter="0" w:footer="0" w:header="0"/>
        </w:sectPr>
      </w:pPr>
    </w:p>
    <w:bookmarkStart w:id="37" w:name="page38"/>
    <w:bookmarkEnd w:id="37"/>
    <w:p>
      <w:pPr>
        <w:ind w:right="160" w:firstLine="457"/>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Our same center-basis results of operations for the year ended December 31, 2005 compared to the year ended December 31, 2004 exclude properties under redevelopment and the following:</w:t>
      </w:r>
    </w:p>
    <w:p>
      <w:pPr>
        <w:spacing w:after="0" w:line="32" w:lineRule="exact"/>
        <w:rPr>
          <w:sz w:val="20"/>
          <w:szCs w:val="20"/>
          <w:color w:val="auto"/>
        </w:rPr>
      </w:pPr>
    </w:p>
    <w:p>
      <w:pPr>
        <w:ind w:left="800" w:hanging="341"/>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Assembly Square, which we acquired in the first quarter of 2005,</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Crow Canyon Commons, which we acquired in the fourth quarter of 2005,</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Westgate Mall, which we acquired in the first quarter of 2004,</w:t>
      </w:r>
    </w:p>
    <w:p>
      <w:pPr>
        <w:spacing w:after="0" w:line="97" w:lineRule="exact"/>
        <w:rPr>
          <w:rFonts w:ascii="Arial" w:cs="Arial" w:eastAsia="Arial" w:hAnsi="Arial"/>
          <w:sz w:val="17"/>
          <w:szCs w:val="17"/>
          <w:color w:val="auto"/>
        </w:rPr>
      </w:pPr>
    </w:p>
    <w:p>
      <w:pPr>
        <w:ind w:left="800" w:hanging="341"/>
        <w:spacing w:after="0" w:line="291"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Shaw’s Plaza which we acquired in the fourth quarter of 2004 and sold in the third quarter of 2005, and other dispositions that occurred in 2005 including two buildings in Tempe, Arizona, and two buildings in Winter Park, Florida,</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dispositions that occurred in 2004 including Magruder’s Center, Plaza del Mercado and four other buildings located in Connecticut and Illinois, and</w:t>
      </w:r>
    </w:p>
    <w:p>
      <w:pPr>
        <w:spacing w:after="0" w:line="108" w:lineRule="exact"/>
        <w:rPr>
          <w:rFonts w:ascii="Arial" w:cs="Arial" w:eastAsia="Arial" w:hAnsi="Arial"/>
          <w:sz w:val="16"/>
          <w:szCs w:val="16"/>
          <w:color w:val="auto"/>
        </w:rPr>
      </w:pPr>
    </w:p>
    <w:p>
      <w:pPr>
        <w:ind w:left="800" w:hanging="341"/>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Santana Row, which is considered under development in both 2005 and 2004.</w:t>
      </w:r>
    </w:p>
    <w:p>
      <w:pPr>
        <w:spacing w:after="0" w:line="177"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Our same center-basis results of operations for the year ended December 31, 2004 compared to the year ended December 31, 2003, exclude South Valley Shopping Center and Mount Vernon Plaza, which were acquired in the first quarter of 2003, and Mercer Mall, which was acquired in the fourth quarter of 2003, in addition to the excluded properties listed above.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2005 COMPARED TO YEAR ENDED DECEMBER 31, 2004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5"/>
              </w:rPr>
              <w:t>Increase/</w:t>
            </w:r>
          </w:p>
        </w:tc>
        <w:tc>
          <w:tcPr>
            <w:tcW w:w="460" w:type="dxa"/>
            <w:vAlign w:val="bottom"/>
          </w:tcPr>
          <w:p>
            <w:pPr>
              <w:jc w:val="right"/>
              <w:ind w:right="7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2005</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2004</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(Decrease)</w:t>
            </w:r>
          </w:p>
        </w:tc>
        <w:tc>
          <w:tcPr>
            <w:tcW w:w="50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5"/>
          </w:tcPr>
          <w:p>
            <w:pPr>
              <w:jc w:val="right"/>
              <w:ind w:right="20"/>
              <w:spacing w:after="0" w:line="140" w:lineRule="exact"/>
              <w:rPr>
                <w:sz w:val="20"/>
                <w:szCs w:val="20"/>
                <w:color w:val="auto"/>
              </w:rPr>
            </w:pPr>
            <w:r>
              <w:rPr>
                <w:rFonts w:ascii="Arial" w:cs="Arial" w:eastAsia="Arial" w:hAnsi="Arial"/>
                <w:sz w:val="13"/>
                <w:szCs w:val="13"/>
                <w:b w:val="1"/>
                <w:bCs w:val="1"/>
                <w:color w:val="auto"/>
                <w:w w:val="88"/>
              </w:rPr>
              <w:t>(Dollar amounts in thousands)</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$ 395,403</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370,069</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w w:val="93"/>
              </w:rPr>
              <w:t>$ 25,334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Other property income</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9,557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10,403</w:t>
            </w:r>
          </w:p>
        </w:tc>
        <w:tc>
          <w:tcPr>
            <w:tcW w:w="4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7"/>
                <w:szCs w:val="17"/>
                <w:color w:val="auto"/>
              </w:rPr>
              <w:t>(846)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4,915</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7"/>
                <w:szCs w:val="17"/>
                <w:color w:val="auto"/>
              </w:rPr>
              <w:t>Total revenues</w:t>
            </w:r>
          </w:p>
        </w:tc>
        <w:tc>
          <w:tcPr>
            <w:tcW w:w="2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410,330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385,387</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24,943</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85,086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90,209</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(5,123)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Real estate taxes</w:t>
            </w:r>
          </w:p>
        </w:tc>
        <w:tc>
          <w:tcPr>
            <w:tcW w:w="2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39,564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37,549</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expenses</w:t>
            </w:r>
          </w:p>
        </w:tc>
        <w:tc>
          <w:tcPr>
            <w:tcW w:w="2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127,758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(3,108)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7"/>
                <w:szCs w:val="17"/>
                <w:color w:val="auto"/>
              </w:rPr>
              <w:t>Property operating income</w:t>
            </w:r>
          </w:p>
        </w:tc>
        <w:tc>
          <w:tcPr>
            <w:tcW w:w="21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285,680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257,629</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28,051</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711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Income from real estate partnership</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493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205</w:t>
            </w:r>
          </w:p>
        </w:tc>
        <w:tc>
          <w:tcPr>
            <w:tcW w:w="46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7"/>
                <w:szCs w:val="17"/>
                <w:color w:val="auto"/>
              </w:rPr>
              <w:t>288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120" w:type="dxa"/>
            <w:vAlign w:val="bottom"/>
            <w:gridSpan w:val="3"/>
            <w:shd w:val="clear" w:color="auto" w:fill="CCEEFF"/>
          </w:tcPr>
          <w:p>
            <w:pPr>
              <w:jc w:val="right"/>
              <w:ind w:right="173"/>
              <w:spacing w:after="0"/>
              <w:rPr>
                <w:sz w:val="20"/>
                <w:szCs w:val="20"/>
                <w:color w:val="auto"/>
              </w:rPr>
            </w:pPr>
            <w:r>
              <w:rPr>
                <w:rFonts w:ascii="Arial" w:cs="Arial" w:eastAsia="Arial" w:hAnsi="Arial"/>
                <w:sz w:val="17"/>
                <w:szCs w:val="17"/>
                <w:color w:val="auto"/>
              </w:rPr>
              <w:t>(88,566)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(85,058)</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(3,508)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3120" w:type="dxa"/>
            <w:vAlign w:val="bottom"/>
            <w:gridSpan w:val="3"/>
          </w:tcPr>
          <w:p>
            <w:pPr>
              <w:jc w:val="right"/>
              <w:ind w:right="173"/>
              <w:spacing w:after="0"/>
              <w:rPr>
                <w:sz w:val="20"/>
                <w:szCs w:val="20"/>
                <w:color w:val="auto"/>
              </w:rPr>
            </w:pPr>
            <w:r>
              <w:rPr>
                <w:rFonts w:ascii="Arial" w:cs="Arial" w:eastAsia="Arial" w:hAnsi="Arial"/>
                <w:sz w:val="17"/>
                <w:szCs w:val="17"/>
                <w:color w:val="auto"/>
              </w:rPr>
              <w:t>(19,909)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(18,164)</w:t>
            </w:r>
          </w:p>
        </w:tc>
        <w:tc>
          <w:tcPr>
            <w:tcW w:w="1140" w:type="dxa"/>
            <w:vAlign w:val="bottom"/>
            <w:gridSpan w:val="3"/>
          </w:tcPr>
          <w:p>
            <w:pPr>
              <w:jc w:val="right"/>
              <w:ind w:right="440"/>
              <w:spacing w:after="0"/>
              <w:rPr>
                <w:sz w:val="20"/>
                <w:szCs w:val="20"/>
                <w:color w:val="auto"/>
              </w:rPr>
            </w:pPr>
            <w:r>
              <w:rPr>
                <w:rFonts w:ascii="Arial" w:cs="Arial" w:eastAsia="Arial" w:hAnsi="Arial"/>
                <w:sz w:val="17"/>
                <w:szCs w:val="17"/>
                <w:color w:val="auto"/>
              </w:rPr>
              <w:t>(1,745)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(89,457)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(87,088)</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(2,369)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Total other expenses</w:t>
            </w:r>
          </w:p>
        </w:tc>
        <w:tc>
          <w:tcPr>
            <w:tcW w:w="2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line="20" w:lineRule="exact"/>
              <w:rPr>
                <w:sz w:val="1"/>
                <w:szCs w:val="1"/>
                <w:color w:val="auto"/>
              </w:rPr>
            </w:pPr>
          </w:p>
        </w:tc>
      </w:tr>
      <w:tr>
        <w:trPr>
          <w:trHeight w:val="226"/>
        </w:trPr>
        <w:tc>
          <w:tcPr>
            <w:tcW w:w="516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0" w:type="dxa"/>
            <w:vAlign w:val="bottom"/>
            <w:gridSpan w:val="2"/>
          </w:tcPr>
          <w:p>
            <w:pPr>
              <w:jc w:val="right"/>
              <w:ind w:right="173"/>
              <w:spacing w:after="0"/>
              <w:rPr>
                <w:sz w:val="20"/>
                <w:szCs w:val="20"/>
                <w:color w:val="auto"/>
              </w:rPr>
            </w:pPr>
            <w:r>
              <w:rPr>
                <w:rFonts w:ascii="Arial" w:cs="Arial" w:eastAsia="Arial" w:hAnsi="Arial"/>
                <w:sz w:val="17"/>
                <w:szCs w:val="17"/>
                <w:color w:val="auto"/>
              </w:rPr>
              <w:t>(195,224)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w w:val="93"/>
              </w:rPr>
              <w:t>(188,601)</w:t>
            </w:r>
          </w:p>
        </w:tc>
        <w:tc>
          <w:tcPr>
            <w:tcW w:w="1140" w:type="dxa"/>
            <w:vAlign w:val="bottom"/>
            <w:gridSpan w:val="3"/>
          </w:tcPr>
          <w:p>
            <w:pPr>
              <w:jc w:val="right"/>
              <w:ind w:right="440"/>
              <w:spacing w:after="0"/>
              <w:rPr>
                <w:sz w:val="20"/>
                <w:szCs w:val="20"/>
                <w:color w:val="auto"/>
              </w:rPr>
            </w:pPr>
            <w:r>
              <w:rPr>
                <w:rFonts w:ascii="Arial" w:cs="Arial" w:eastAsia="Arial" w:hAnsi="Arial"/>
                <w:sz w:val="17"/>
                <w:szCs w:val="17"/>
                <w:color w:val="auto"/>
              </w:rPr>
              <w:t>(6,623)</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before minority interests and discontinued operations</w:t>
            </w:r>
          </w:p>
        </w:tc>
        <w:tc>
          <w:tcPr>
            <w:tcW w:w="2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69,028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21,428</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Minority interests</w:t>
            </w:r>
          </w:p>
        </w:tc>
        <w:tc>
          <w:tcPr>
            <w:tcW w:w="3120" w:type="dxa"/>
            <w:vAlign w:val="bottom"/>
            <w:gridSpan w:val="3"/>
          </w:tcPr>
          <w:p>
            <w:pPr>
              <w:jc w:val="right"/>
              <w:ind w:right="173"/>
              <w:spacing w:after="0"/>
              <w:rPr>
                <w:sz w:val="20"/>
                <w:szCs w:val="20"/>
                <w:color w:val="auto"/>
              </w:rPr>
            </w:pPr>
            <w:r>
              <w:rPr>
                <w:rFonts w:ascii="Arial" w:cs="Arial" w:eastAsia="Arial" w:hAnsi="Arial"/>
                <w:sz w:val="17"/>
                <w:szCs w:val="17"/>
                <w:color w:val="auto"/>
              </w:rPr>
              <w:t>(5,234)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(4,170)</w:t>
            </w:r>
          </w:p>
        </w:tc>
        <w:tc>
          <w:tcPr>
            <w:tcW w:w="1140" w:type="dxa"/>
            <w:vAlign w:val="bottom"/>
            <w:gridSpan w:val="3"/>
          </w:tcPr>
          <w:p>
            <w:pPr>
              <w:jc w:val="right"/>
              <w:ind w:right="440"/>
              <w:spacing w:after="0"/>
              <w:rPr>
                <w:sz w:val="20"/>
                <w:szCs w:val="20"/>
                <w:color w:val="auto"/>
              </w:rPr>
            </w:pPr>
            <w:r>
              <w:rPr>
                <w:rFonts w:ascii="Arial" w:cs="Arial" w:eastAsia="Arial" w:hAnsi="Arial"/>
                <w:sz w:val="17"/>
                <w:szCs w:val="17"/>
                <w:color w:val="auto"/>
              </w:rPr>
              <w:t>(1,064)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discontinued operations</w:t>
            </w:r>
          </w:p>
        </w:tc>
        <w:tc>
          <w:tcPr>
            <w:tcW w:w="3120" w:type="dxa"/>
            <w:vAlign w:val="bottom"/>
            <w:gridSpan w:val="3"/>
            <w:shd w:val="clear" w:color="auto" w:fill="CCEEFF"/>
          </w:tcPr>
          <w:p>
            <w:pPr>
              <w:jc w:val="right"/>
              <w:ind w:right="173"/>
              <w:spacing w:after="0"/>
              <w:rPr>
                <w:sz w:val="20"/>
                <w:szCs w:val="20"/>
                <w:color w:val="auto"/>
              </w:rPr>
            </w:pPr>
            <w:r>
              <w:rPr>
                <w:rFonts w:ascii="Arial" w:cs="Arial" w:eastAsia="Arial" w:hAnsi="Arial"/>
                <w:sz w:val="17"/>
                <w:szCs w:val="17"/>
                <w:color w:val="auto"/>
              </w:rPr>
              <w:t>(1,358)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(6,604)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-125.9%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30,748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14,052</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16,696</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118.8%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$ 114,612</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w w:val="93"/>
              </w:rPr>
              <w:t>$ 30,456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20" w:type="dxa"/>
            <w:vAlign w:val="bottom"/>
            <w:vMerge w:val="restart"/>
          </w:tcPr>
          <w:p>
            <w:pPr>
              <w:jc w:val="right"/>
              <w:ind w:right="1394"/>
              <w:spacing w:after="0"/>
              <w:rPr>
                <w:sz w:val="20"/>
                <w:szCs w:val="20"/>
                <w:color w:val="auto"/>
              </w:rPr>
            </w:pPr>
            <w:r>
              <w:rPr>
                <w:rFonts w:ascii="Arial" w:cs="Arial" w:eastAsia="Arial" w:hAnsi="Arial"/>
                <w:sz w:val="17"/>
                <w:szCs w:val="17"/>
                <w:color w:val="auto"/>
              </w:rPr>
              <w:t>38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PROPERTY REVENUES</w:t>
      </w:r>
    </w:p>
    <w:p>
      <w:pPr>
        <w:spacing w:after="0" w:line="183" w:lineRule="exact"/>
        <w:rPr>
          <w:sz w:val="20"/>
          <w:szCs w:val="20"/>
          <w:color w:val="auto"/>
        </w:rPr>
      </w:pPr>
    </w:p>
    <w:p>
      <w:pPr>
        <w:ind w:right="640" w:firstLine="457"/>
        <w:spacing w:after="0" w:line="291" w:lineRule="auto"/>
        <w:rPr>
          <w:sz w:val="20"/>
          <w:szCs w:val="20"/>
          <w:color w:val="auto"/>
        </w:rPr>
      </w:pPr>
      <w:r>
        <w:rPr>
          <w:rFonts w:ascii="Arial" w:cs="Arial" w:eastAsia="Arial" w:hAnsi="Arial"/>
          <w:sz w:val="17"/>
          <w:szCs w:val="17"/>
          <w:color w:val="auto"/>
        </w:rPr>
        <w:t>Total revenues increased $24.9 million, or 6.5%, to $410.3 million in 2005 compared to $385.4 million in 2004. This increase is due primarily to the following:</w:t>
      </w:r>
    </w:p>
    <w:p>
      <w:pPr>
        <w:spacing w:after="0" w:line="32" w:lineRule="exact"/>
        <w:rPr>
          <w:sz w:val="20"/>
          <w:szCs w:val="20"/>
          <w:color w:val="auto"/>
        </w:rPr>
      </w:pPr>
    </w:p>
    <w:p>
      <w:pPr>
        <w:ind w:left="800" w:hanging="341"/>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growth in minimum rent at same center properties as a result of increased rental rates on new leases and increased occupancy,</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additional revenue contributed by properties acquired,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growth in minimum rent at redevelopment properties and at Santana Row due to increased rental rates on new leases and increased occupancy, and</w:t>
      </w:r>
    </w:p>
    <w:p>
      <w:pPr>
        <w:spacing w:after="0" w:line="108" w:lineRule="exact"/>
        <w:rPr>
          <w:rFonts w:ascii="Arial" w:cs="Arial" w:eastAsia="Arial" w:hAnsi="Arial"/>
          <w:sz w:val="16"/>
          <w:szCs w:val="16"/>
          <w:color w:val="auto"/>
        </w:rPr>
      </w:pPr>
    </w:p>
    <w:p>
      <w:pPr>
        <w:ind w:left="800" w:hanging="341"/>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cost recoveries from our tenants due primarily to real estate taxes and other costs at our properties.</w:t>
      </w:r>
    </w:p>
    <w:p>
      <w:pPr>
        <w:spacing w:after="0" w:line="177" w:lineRule="exact"/>
        <w:rPr>
          <w:sz w:val="20"/>
          <w:szCs w:val="20"/>
          <w:color w:val="auto"/>
        </w:rPr>
      </w:pPr>
    </w:p>
    <w:p>
      <w:pPr>
        <w:ind w:right="280" w:firstLine="457"/>
        <w:spacing w:after="0" w:line="291" w:lineRule="auto"/>
        <w:rPr>
          <w:sz w:val="20"/>
          <w:szCs w:val="20"/>
          <w:color w:val="auto"/>
        </w:rPr>
      </w:pPr>
      <w:r>
        <w:rPr>
          <w:rFonts w:ascii="Arial" w:cs="Arial" w:eastAsia="Arial" w:hAnsi="Arial"/>
          <w:sz w:val="17"/>
          <w:szCs w:val="17"/>
          <w:color w:val="auto"/>
        </w:rPr>
        <w:t>The percentage leased at our commercial properties increased to 96.3% at December 31, 2005 compared to 95.1% at December 31, 2004 due primarily to new leases signed at existing properties.</w:t>
      </w:r>
    </w:p>
    <w:p>
      <w:pPr>
        <w:spacing w:after="0" w:line="111" w:lineRule="exact"/>
        <w:rPr>
          <w:sz w:val="20"/>
          <w:szCs w:val="20"/>
          <w:color w:val="auto"/>
        </w:rPr>
      </w:pPr>
    </w:p>
    <w:p>
      <w:pPr>
        <w:ind w:right="60" w:firstLine="457"/>
        <w:spacing w:after="0" w:line="291" w:lineRule="auto"/>
        <w:rPr>
          <w:sz w:val="20"/>
          <w:szCs w:val="20"/>
          <w:color w:val="auto"/>
        </w:rPr>
      </w:pPr>
      <w:r>
        <w:rPr>
          <w:rFonts w:ascii="Arial" w:cs="Arial" w:eastAsia="Arial" w:hAnsi="Arial"/>
          <w:sz w:val="17"/>
          <w:szCs w:val="17"/>
          <w:i w:val="1"/>
          <w:iCs w:val="1"/>
          <w:color w:val="auto"/>
        </w:rPr>
        <w:t>Rental income</w:t>
      </w:r>
      <w:r>
        <w:rPr>
          <w:rFonts w:ascii="Arial" w:cs="Arial" w:eastAsia="Arial" w:hAnsi="Arial"/>
          <w:sz w:val="17"/>
          <w:szCs w:val="17"/>
          <w:color w:val="auto"/>
        </w:rPr>
        <w:t>. Rental income consists primarily of minimum rent, cost recoveries from tenants, and percentage rent. Rental income increased $25.3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6.8%, to $395.4 million in 2005 compared to $370.1 million in 2004. This increase is due primarily to the following:</w:t>
      </w:r>
    </w:p>
    <w:p>
      <w:pPr>
        <w:spacing w:after="0" w:line="32" w:lineRule="exact"/>
        <w:rPr>
          <w:sz w:val="20"/>
          <w:szCs w:val="20"/>
          <w:color w:val="auto"/>
        </w:rPr>
      </w:pPr>
    </w:p>
    <w:p>
      <w:pPr>
        <w:ind w:left="800" w:hanging="341"/>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 same center basis, an increase of $10.4 million, or 3.7%, due mainly to increased rental rates on new leases and increased occupancy,</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of $8.9 million at redevelopment properties and Santana Row due primarily to increased occupancy, and</w:t>
      </w:r>
    </w:p>
    <w:p>
      <w:pPr>
        <w:spacing w:after="0" w:line="97" w:lineRule="exact"/>
        <w:rPr>
          <w:rFonts w:ascii="Arial" w:cs="Arial" w:eastAsia="Arial" w:hAnsi="Arial"/>
          <w:sz w:val="17"/>
          <w:szCs w:val="17"/>
          <w:color w:val="auto"/>
        </w:rPr>
      </w:pPr>
    </w:p>
    <w:p>
      <w:pPr>
        <w:ind w:right="280" w:firstLine="459"/>
        <w:spacing w:after="0" w:line="359" w:lineRule="auto"/>
        <w:tabs>
          <w:tab w:leader="none" w:pos="78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of $7.7 million attributable to the properties acquired in 2005 and 2004, primarily Westgate Mall and Assembly Square/Sturtevant Street, partially offset by</w:t>
      </w:r>
    </w:p>
    <w:p>
      <w:pPr>
        <w:ind w:left="800" w:hanging="341"/>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decrease of approximately $3.1 million related to income recognized in 2004 attributable to proceeds from the Santana Row fire insurance settlement.</w:t>
      </w:r>
    </w:p>
    <w:p>
      <w:pPr>
        <w:spacing w:after="0" w:line="200" w:lineRule="exact"/>
        <w:rPr>
          <w:sz w:val="20"/>
          <w:szCs w:val="20"/>
          <w:color w:val="auto"/>
        </w:rPr>
      </w:pPr>
    </w:p>
    <w:p>
      <w:pPr>
        <w:jc w:val="both"/>
        <w:ind w:firstLine="457"/>
        <w:spacing w:after="0" w:line="301"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decreased $0.8 million, or 8.1%, to $9.6 million in 2005 compared to $10.4 million in 2004. Included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income are items which, although recurring, tend to fluctuate more than rental income from period to period, such as lease termination fees and temporary tenant income. This decrease in other property income in 2004 is primarily the result of lower lease termination fees and lower parking revenue.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Mortgage Interest Income. </w:t>
      </w:r>
      <w:r>
        <w:rPr>
          <w:rFonts w:ascii="Arial" w:cs="Arial" w:eastAsia="Arial" w:hAnsi="Arial"/>
          <w:sz w:val="16"/>
          <w:szCs w:val="16"/>
          <w:color w:val="auto"/>
        </w:rPr>
        <w:t>Interest on mortgage notes receivable increased $0.5 million, or 9.3%, to $5.4 million in 2005 compared to $4.9 million in 2004.</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This increase is due primarily to an increase in the weighted average effective interest rate on notes outstanding.</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PROPERTY EXPENSES</w:t>
      </w:r>
    </w:p>
    <w:p>
      <w:pPr>
        <w:spacing w:after="0" w:line="183" w:lineRule="exact"/>
        <w:rPr>
          <w:sz w:val="20"/>
          <w:szCs w:val="20"/>
          <w:color w:val="auto"/>
        </w:rPr>
      </w:pPr>
    </w:p>
    <w:p>
      <w:pPr>
        <w:ind w:right="460" w:firstLine="457"/>
        <w:spacing w:after="0" w:line="362" w:lineRule="auto"/>
        <w:rPr>
          <w:sz w:val="20"/>
          <w:szCs w:val="20"/>
          <w:color w:val="auto"/>
        </w:rPr>
      </w:pPr>
      <w:r>
        <w:rPr>
          <w:rFonts w:ascii="Arial" w:cs="Arial" w:eastAsia="Arial" w:hAnsi="Arial"/>
          <w:sz w:val="15"/>
          <w:szCs w:val="15"/>
          <w:color w:val="auto"/>
        </w:rPr>
        <w:t>Total property operating expenses decreased $3.1 million, or 2.4%, to $124.7 million in 2005 compared to $127.8 million in 2004. This decrease is due primarily to lower bad debt expense, lower insurance premiums and write-offs of fixed assets and deferred lease costs related to early lease terminations.</w:t>
      </w:r>
    </w:p>
    <w:p>
      <w:pPr>
        <w:spacing w:after="0" w:line="65" w:lineRule="exact"/>
        <w:rPr>
          <w:sz w:val="20"/>
          <w:szCs w:val="20"/>
          <w:color w:val="auto"/>
        </w:rPr>
      </w:pPr>
    </w:p>
    <w:p>
      <w:pPr>
        <w:ind w:right="240" w:firstLine="457"/>
        <w:spacing w:after="0" w:line="291" w:lineRule="auto"/>
        <w:rPr>
          <w:sz w:val="20"/>
          <w:szCs w:val="20"/>
          <w:color w:val="auto"/>
        </w:rPr>
      </w:pPr>
      <w:r>
        <w:rPr>
          <w:rFonts w:ascii="Arial" w:cs="Arial" w:eastAsia="Arial" w:hAnsi="Arial"/>
          <w:sz w:val="17"/>
          <w:szCs w:val="17"/>
          <w:i w:val="1"/>
          <w:iCs w:val="1"/>
          <w:color w:val="auto"/>
        </w:rPr>
        <w:t xml:space="preserve">Rental Expenses. </w:t>
      </w:r>
      <w:r>
        <w:rPr>
          <w:rFonts w:ascii="Arial" w:cs="Arial" w:eastAsia="Arial" w:hAnsi="Arial"/>
          <w:sz w:val="17"/>
          <w:szCs w:val="17"/>
          <w:color w:val="auto"/>
        </w:rPr>
        <w:t>Rental expenses decreased $5.1 million, or 5.7%, to $85.1 million in 2005 compared to $90.2 million in 2004. This decrease is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following:</w:t>
      </w:r>
    </w:p>
    <w:p>
      <w:pPr>
        <w:spacing w:after="0" w:line="32" w:lineRule="exact"/>
        <w:rPr>
          <w:sz w:val="20"/>
          <w:szCs w:val="20"/>
          <w:color w:val="auto"/>
        </w:rPr>
      </w:pPr>
    </w:p>
    <w:p>
      <w:pPr>
        <w:ind w:left="800" w:hanging="341"/>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decrease of $4.5 million due to lower bad debt expense and insurance premiums, and</w:t>
      </w:r>
    </w:p>
    <w:p>
      <w:pPr>
        <w:spacing w:after="0" w:line="177" w:lineRule="exact"/>
        <w:rPr>
          <w:rFonts w:ascii="Arial" w:cs="Arial" w:eastAsia="Arial" w:hAnsi="Arial"/>
          <w:sz w:val="17"/>
          <w:szCs w:val="17"/>
          <w:color w:val="auto"/>
        </w:rPr>
      </w:pPr>
    </w:p>
    <w:p>
      <w:pPr>
        <w:ind w:left="5620" w:right="1340" w:hanging="5161"/>
        <w:spacing w:after="0" w:line="471" w:lineRule="auto"/>
        <w:tabs>
          <w:tab w:leader="none" w:pos="78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decrease of $2.0 million due to lower write-offs of fixed assets and deferred lease costs related primarily to early lease terminations, 39</w:t>
      </w:r>
    </w:p>
    <w:p>
      <w:pPr>
        <w:sectPr>
          <w:pgSz w:w="11900" w:h="16838" w:orient="portrait"/>
          <w:cols w:equalWidth="0" w:num="1">
            <w:col w:w="11380"/>
          </w:cols>
          <w:pgMar w:left="240" w:top="271" w:right="279" w:bottom="1440" w:gutter="0" w:footer="0" w:header="0"/>
        </w:sectPr>
      </w:pPr>
    </w:p>
    <w:bookmarkStart w:id="39" w:name="page40"/>
    <w:bookmarkEnd w:id="39"/>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partially offset by</w:t>
      </w:r>
    </w:p>
    <w:p>
      <w:pPr>
        <w:spacing w:after="0" w:line="97" w:lineRule="exact"/>
        <w:rPr>
          <w:sz w:val="20"/>
          <w:szCs w:val="20"/>
          <w:color w:val="auto"/>
        </w:rPr>
      </w:pPr>
    </w:p>
    <w:p>
      <w:pPr>
        <w:ind w:left="800" w:hanging="341"/>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of $1.6 million in maintenance expense at same center properties due primarily to higher snow removal costs in the East region, and</w:t>
      </w:r>
    </w:p>
    <w:p>
      <w:pPr>
        <w:spacing w:after="0" w:line="108" w:lineRule="exact"/>
        <w:rPr>
          <w:rFonts w:ascii="Arial" w:cs="Arial" w:eastAsia="Arial" w:hAnsi="Arial"/>
          <w:sz w:val="16"/>
          <w:szCs w:val="16"/>
          <w:color w:val="auto"/>
        </w:rPr>
      </w:pPr>
    </w:p>
    <w:p>
      <w:pPr>
        <w:ind w:left="800" w:hanging="341"/>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$1.2 million in expenses attributable to the additional properties acquired during 2005 and 2004.</w:t>
      </w:r>
    </w:p>
    <w:p>
      <w:pPr>
        <w:spacing w:after="0" w:line="177" w:lineRule="exact"/>
        <w:rPr>
          <w:sz w:val="20"/>
          <w:szCs w:val="20"/>
          <w:color w:val="auto"/>
        </w:rPr>
      </w:pPr>
    </w:p>
    <w:p>
      <w:pPr>
        <w:ind w:right="80" w:firstLine="457"/>
        <w:spacing w:after="0" w:line="291" w:lineRule="auto"/>
        <w:rPr>
          <w:sz w:val="20"/>
          <w:szCs w:val="20"/>
          <w:color w:val="auto"/>
        </w:rPr>
      </w:pPr>
      <w:r>
        <w:rPr>
          <w:rFonts w:ascii="Arial" w:cs="Arial" w:eastAsia="Arial" w:hAnsi="Arial"/>
          <w:sz w:val="17"/>
          <w:szCs w:val="17"/>
          <w:color w:val="auto"/>
        </w:rPr>
        <w:t>As a result of these changes in rental expenses, rental income and other property income, rental expense as a percentage of rental income plus other property income decreased from 23.7% in 2004 to 21.0% in 2005.</w:t>
      </w:r>
    </w:p>
    <w:p>
      <w:pPr>
        <w:spacing w:after="0" w:line="111"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i w:val="1"/>
          <w:iCs w:val="1"/>
          <w:color w:val="auto"/>
        </w:rPr>
        <w:t xml:space="preserve">Real Estate Taxes. </w:t>
      </w:r>
      <w:r>
        <w:rPr>
          <w:rFonts w:ascii="Arial" w:cs="Arial" w:eastAsia="Arial" w:hAnsi="Arial"/>
          <w:sz w:val="17"/>
          <w:szCs w:val="17"/>
          <w:color w:val="auto"/>
        </w:rPr>
        <w:t>Real estate tax expense increased $2.0 million, or 5.4%, to $39.6 million in 2005 compared to $37.5 million in 2004. This increase in 2005</w:t>
      </w:r>
      <w:r>
        <w:rPr>
          <w:rFonts w:ascii="Arial" w:cs="Arial" w:eastAsia="Arial" w:hAnsi="Arial"/>
          <w:sz w:val="17"/>
          <w:szCs w:val="17"/>
          <w:i w:val="1"/>
          <w:iCs w:val="1"/>
          <w:color w:val="auto"/>
        </w:rPr>
        <w:t xml:space="preserve"> </w:t>
      </w:r>
      <w:r>
        <w:rPr>
          <w:rFonts w:ascii="Arial" w:cs="Arial" w:eastAsia="Arial" w:hAnsi="Arial"/>
          <w:sz w:val="17"/>
          <w:szCs w:val="17"/>
          <w:color w:val="auto"/>
        </w:rPr>
        <w:t>is due largely to increased taxes of $1.5 million attributable to acquired properties and higher tax assessments for our properties.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PROPERTY OPERATING INCOME</w:t>
      </w:r>
    </w:p>
    <w:p>
      <w:pPr>
        <w:spacing w:after="0" w:line="183"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color w:val="auto"/>
        </w:rPr>
        <w:t>Property operating income increased $28.1 million, or 10.9%, to $285.7 million in 2005 compared to $257.6 million in 2004. Income recognized from fire insurance proceeds attributable to rental income lost at Santana Row due to the August 2002 fire amounted to approximately $3.1 million in 2004 and was insignificant in 2005. Excluding these proceeds, property operating income increased $31.2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increase is due primarily to the following:</w:t>
      </w:r>
    </w:p>
    <w:p>
      <w:pPr>
        <w:spacing w:after="0" w:line="97" w:lineRule="exact"/>
        <w:rPr>
          <w:sz w:val="20"/>
          <w:szCs w:val="20"/>
          <w:color w:val="auto"/>
        </w:rPr>
      </w:pPr>
    </w:p>
    <w:p>
      <w:pPr>
        <w:ind w:left="800" w:hanging="341"/>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growth in same center earnings,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growth in Santana Row earnings due to higher rental income and lower operating expenses,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growth at redevelopment properties where occupancy has increased,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earnings attributable to our 2005 and 2004 acquisitions.</w:t>
      </w:r>
    </w:p>
    <w:p>
      <w:pPr>
        <w:spacing w:after="0" w:line="177" w:lineRule="exact"/>
        <w:rPr>
          <w:sz w:val="20"/>
          <w:szCs w:val="20"/>
          <w:color w:val="auto"/>
        </w:rPr>
      </w:pPr>
    </w:p>
    <w:p>
      <w:pPr>
        <w:ind w:right="440" w:firstLine="457"/>
        <w:spacing w:after="0" w:line="276" w:lineRule="auto"/>
        <w:rPr>
          <w:sz w:val="20"/>
          <w:szCs w:val="20"/>
          <w:color w:val="auto"/>
        </w:rPr>
      </w:pPr>
      <w:r>
        <w:rPr>
          <w:rFonts w:ascii="Arial" w:cs="Arial" w:eastAsia="Arial" w:hAnsi="Arial"/>
          <w:sz w:val="17"/>
          <w:szCs w:val="17"/>
          <w:color w:val="auto"/>
        </w:rPr>
        <w:t>Same center property operating income increased 4.5%, or $9.3 million, in 2005 over 2004. This increase is primarily due to increased rental income associated with new leases and increased occupancy. When redevelopment and expansion properties are included with same center results, property operating income increased by 6.1% or $14.3 million in 2005 over 2004.</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OTHER</w:t>
      </w:r>
    </w:p>
    <w:p>
      <w:pPr>
        <w:spacing w:after="0" w:line="183" w:lineRule="exact"/>
        <w:rPr>
          <w:sz w:val="20"/>
          <w:szCs w:val="20"/>
          <w:color w:val="auto"/>
        </w:rPr>
      </w:pPr>
    </w:p>
    <w:p>
      <w:pPr>
        <w:ind w:right="100" w:firstLine="457"/>
        <w:spacing w:after="0" w:line="291" w:lineRule="auto"/>
        <w:rPr>
          <w:sz w:val="20"/>
          <w:szCs w:val="20"/>
          <w:color w:val="auto"/>
        </w:rPr>
      </w:pPr>
      <w:r>
        <w:rPr>
          <w:rFonts w:ascii="Arial" w:cs="Arial" w:eastAsia="Arial" w:hAnsi="Arial"/>
          <w:sz w:val="17"/>
          <w:szCs w:val="17"/>
          <w:i w:val="1"/>
          <w:iCs w:val="1"/>
          <w:color w:val="auto"/>
        </w:rPr>
        <w:t xml:space="preserve">Other Interest Income. </w:t>
      </w:r>
      <w:r>
        <w:rPr>
          <w:rFonts w:ascii="Arial" w:cs="Arial" w:eastAsia="Arial" w:hAnsi="Arial"/>
          <w:sz w:val="17"/>
          <w:szCs w:val="17"/>
          <w:color w:val="auto"/>
        </w:rPr>
        <w:t>Other interest income increased $0.7 million to $2.2 million in 2005 compared to $1.5 million in 2004. This increase is due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to non-recurring additional interest income from the early pay-off of a $7.5 million note receivable in June 2005.</w:t>
      </w:r>
    </w:p>
    <w:p>
      <w:pPr>
        <w:spacing w:after="0" w:line="111"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$3.5 million, or 4.1%, to $88.6 million in 2005 compared to $85.1 million in 2004. This increase is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higher outstanding balances on our revolving credit facilities, which we used to finance acquisitions on an interim basis, and higher interest rates on our variable-rate debt. Gross interest costs in 2005 were $94.2 million compared to $90.2 million in 2004. Capitalized interest amounted to $5.7 million and $5.1 million in 2005 and 2004, respectively.</w:t>
      </w:r>
    </w:p>
    <w:p>
      <w:pPr>
        <w:spacing w:after="0" w:line="128" w:lineRule="exact"/>
        <w:rPr>
          <w:sz w:val="20"/>
          <w:szCs w:val="20"/>
          <w:color w:val="auto"/>
        </w:rPr>
      </w:pPr>
    </w:p>
    <w:p>
      <w:pPr>
        <w:ind w:right="640" w:firstLine="457"/>
        <w:spacing w:after="0" w:line="291"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expenses increased by $1.7 million, or 9.6%, to $19.9 million in 2005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$18.2 million in 2004. This increase resulted primarily from increased payroll and benefits.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277" w:right="279" w:bottom="1440" w:gutter="0" w:footer="0" w:header="0"/>
        </w:sectPr>
      </w:pPr>
    </w:p>
    <w:bookmarkStart w:id="40" w:name="page41"/>
    <w:bookmarkEnd w:id="40"/>
    <w:p>
      <w:pPr>
        <w:ind w:right="140" w:firstLine="457"/>
        <w:spacing w:after="0" w:line="29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 xml:space="preserve">Depreciation and Amortization. </w:t>
      </w:r>
      <w:r>
        <w:rPr>
          <w:rFonts w:ascii="Arial" w:cs="Arial" w:eastAsia="Arial" w:hAnsi="Arial"/>
          <w:sz w:val="17"/>
          <w:szCs w:val="17"/>
          <w:color w:val="auto"/>
        </w:rPr>
        <w:t>Depreciation and amortization expense increased $2.4 million, or 2.7%, to $89.5 million in 2005 compared to $87.1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2004. This increase is primarily due to depreciation and amortization on properties acquired.</w:t>
      </w:r>
    </w:p>
    <w:p>
      <w:pPr>
        <w:spacing w:after="0" w:line="111"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i w:val="1"/>
          <w:iCs w:val="1"/>
          <w:color w:val="auto"/>
        </w:rPr>
        <w:t>Minority Interests</w:t>
      </w:r>
      <w:r>
        <w:rPr>
          <w:rFonts w:ascii="Arial" w:cs="Arial" w:eastAsia="Arial" w:hAnsi="Arial"/>
          <w:sz w:val="17"/>
          <w:szCs w:val="17"/>
          <w:color w:val="auto"/>
        </w:rPr>
        <w:t>. Income to minority partners increased $1.1 million to $5.2 million in 2005 compared to $4.2 million in 2004. This is the result of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at majority-owned real estate partnerships partially offset by a decrease in the interest held by the minority partners.</w:t>
      </w:r>
    </w:p>
    <w:p>
      <w:pPr>
        <w:spacing w:after="0" w:line="111" w:lineRule="exact"/>
        <w:rPr>
          <w:sz w:val="20"/>
          <w:szCs w:val="20"/>
          <w:color w:val="auto"/>
        </w:rPr>
      </w:pPr>
    </w:p>
    <w:p>
      <w:pPr>
        <w:ind w:right="120" w:firstLine="457"/>
        <w:spacing w:after="0" w:line="301" w:lineRule="auto"/>
        <w:rPr>
          <w:sz w:val="20"/>
          <w:szCs w:val="20"/>
          <w:color w:val="auto"/>
        </w:rPr>
      </w:pPr>
      <w:r>
        <w:rPr>
          <w:rFonts w:ascii="Arial" w:cs="Arial" w:eastAsia="Arial" w:hAnsi="Arial"/>
          <w:sz w:val="16"/>
          <w:szCs w:val="16"/>
          <w:i w:val="1"/>
          <w:iCs w:val="1"/>
          <w:color w:val="auto"/>
        </w:rPr>
        <w:t xml:space="preserve">(Loss) Income from Discontinued Operations. </w:t>
      </w:r>
      <w:r>
        <w:rPr>
          <w:rFonts w:ascii="Arial" w:cs="Arial" w:eastAsia="Arial" w:hAnsi="Arial"/>
          <w:sz w:val="16"/>
          <w:szCs w:val="16"/>
          <w:color w:val="auto"/>
        </w:rPr>
        <w:t>(Loss) income from discontinued operations represents the operating loss or income of properties that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disposed, which is required to be reported separately from results of ongoing operations. The reported loss of $1.4 million and income of $5.2 million in 2005 and 2004, respectively, represent the operating (loss) income for the period during which we owned the properties sold in 2005 and 2004.</w:t>
      </w:r>
    </w:p>
    <w:p>
      <w:pPr>
        <w:spacing w:after="0" w:line="106" w:lineRule="exact"/>
        <w:rPr>
          <w:sz w:val="20"/>
          <w:szCs w:val="20"/>
          <w:color w:val="auto"/>
        </w:rPr>
      </w:pPr>
    </w:p>
    <w:p>
      <w:pPr>
        <w:ind w:right="180" w:firstLine="457"/>
        <w:spacing w:after="0" w:line="291" w:lineRule="auto"/>
        <w:rPr>
          <w:sz w:val="20"/>
          <w:szCs w:val="20"/>
          <w:color w:val="auto"/>
        </w:rPr>
      </w:pPr>
      <w:r>
        <w:rPr>
          <w:rFonts w:ascii="Arial" w:cs="Arial" w:eastAsia="Arial" w:hAnsi="Arial"/>
          <w:sz w:val="17"/>
          <w:szCs w:val="17"/>
          <w:i w:val="1"/>
          <w:iCs w:val="1"/>
          <w:color w:val="auto"/>
        </w:rPr>
        <w:t xml:space="preserve">Gain on Sale of Real Estate. </w:t>
      </w:r>
      <w:r>
        <w:rPr>
          <w:rFonts w:ascii="Arial" w:cs="Arial" w:eastAsia="Arial" w:hAnsi="Arial"/>
          <w:sz w:val="17"/>
          <w:szCs w:val="17"/>
          <w:color w:val="auto"/>
        </w:rPr>
        <w:t>The gain on sale of real estate increased $16.7 million to $30.7 million in 2005 compared to $14.1 million in 2004.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sold in 2005 and 2004 resulted in a gain.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2004 COMPARED TO YEAR ENDED DECEMBER 31, 2003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5"/>
              </w:rPr>
              <w:t>Increase/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2004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2003</w:t>
            </w:r>
          </w:p>
        </w:tc>
        <w:tc>
          <w:tcPr>
            <w:tcW w:w="5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(Decrease)</w:t>
            </w: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 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(Dollar</w:t>
            </w:r>
          </w:p>
        </w:tc>
        <w:tc>
          <w:tcPr>
            <w:tcW w:w="12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83"/>
              </w:rPr>
              <w:t>amounts in thousands)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w w:val="97"/>
              </w:rPr>
              <w:t>370,069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336,530</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3"/>
              </w:rPr>
              <w:t>$ 33,539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Other property income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3"/>
              <w:spacing w:after="0"/>
              <w:rPr>
                <w:sz w:val="20"/>
                <w:szCs w:val="20"/>
                <w:color w:val="auto"/>
              </w:rPr>
            </w:pPr>
            <w:r>
              <w:rPr>
                <w:rFonts w:ascii="Arial" w:cs="Arial" w:eastAsia="Arial" w:hAnsi="Arial"/>
                <w:sz w:val="17"/>
                <w:szCs w:val="17"/>
                <w:color w:val="auto"/>
              </w:rPr>
              <w:t>10,403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5,129</w:t>
            </w: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5,274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4,915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7"/>
                <w:szCs w:val="17"/>
                <w:color w:val="auto"/>
              </w:rPr>
              <w:t>Total revenues</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13"/>
              <w:spacing w:after="0"/>
              <w:rPr>
                <w:sz w:val="20"/>
                <w:szCs w:val="20"/>
                <w:color w:val="auto"/>
              </w:rPr>
            </w:pPr>
            <w:r>
              <w:rPr>
                <w:rFonts w:ascii="Arial" w:cs="Arial" w:eastAsia="Arial" w:hAnsi="Arial"/>
                <w:sz w:val="17"/>
                <w:szCs w:val="17"/>
                <w:color w:val="auto"/>
                <w:w w:val="97"/>
              </w:rPr>
              <w:t>385,387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345,762</w:t>
            </w:r>
          </w:p>
        </w:tc>
        <w:tc>
          <w:tcPr>
            <w:tcW w:w="5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39,625</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90,209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80,782</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9,427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Real estate taxes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3"/>
              <w:spacing w:after="0"/>
              <w:rPr>
                <w:sz w:val="20"/>
                <w:szCs w:val="20"/>
                <w:color w:val="auto"/>
              </w:rPr>
            </w:pPr>
            <w:r>
              <w:rPr>
                <w:rFonts w:ascii="Arial" w:cs="Arial" w:eastAsia="Arial" w:hAnsi="Arial"/>
                <w:sz w:val="17"/>
                <w:szCs w:val="17"/>
                <w:color w:val="auto"/>
              </w:rPr>
              <w:t>37,549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33,658</w:t>
            </w: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3,891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expenses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w w:val="97"/>
              </w:rPr>
              <w:t>127,758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114,440</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13,318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7"/>
                <w:szCs w:val="17"/>
                <w:color w:val="auto"/>
              </w:rPr>
              <w:t>Property operating income</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3"/>
              <w:spacing w:after="0"/>
              <w:rPr>
                <w:sz w:val="20"/>
                <w:szCs w:val="20"/>
                <w:color w:val="auto"/>
              </w:rPr>
            </w:pPr>
            <w:r>
              <w:rPr>
                <w:rFonts w:ascii="Arial" w:cs="Arial" w:eastAsia="Arial" w:hAnsi="Arial"/>
                <w:sz w:val="17"/>
                <w:szCs w:val="17"/>
                <w:color w:val="auto"/>
                <w:w w:val="97"/>
              </w:rPr>
              <w:t>257,629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231,322</w:t>
            </w:r>
          </w:p>
        </w:tc>
        <w:tc>
          <w:tcPr>
            <w:tcW w:w="5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26,307</w:t>
            </w: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1,504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Income from real estate partnership</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3"/>
              <w:spacing w:after="0"/>
              <w:rPr>
                <w:sz w:val="20"/>
                <w:szCs w:val="20"/>
                <w:color w:val="auto"/>
              </w:rPr>
            </w:pPr>
            <w:r>
              <w:rPr>
                <w:rFonts w:ascii="Arial" w:cs="Arial" w:eastAsia="Arial" w:hAnsi="Arial"/>
                <w:sz w:val="17"/>
                <w:szCs w:val="17"/>
                <w:color w:val="auto"/>
              </w:rPr>
              <w:t>205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205</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(85,058)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(75,232)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(9,826)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53"/>
              <w:spacing w:after="0"/>
              <w:rPr>
                <w:sz w:val="20"/>
                <w:szCs w:val="20"/>
                <w:color w:val="auto"/>
              </w:rPr>
            </w:pPr>
            <w:r>
              <w:rPr>
                <w:rFonts w:ascii="Arial" w:cs="Arial" w:eastAsia="Arial" w:hAnsi="Arial"/>
                <w:sz w:val="17"/>
                <w:szCs w:val="17"/>
                <w:color w:val="auto"/>
              </w:rPr>
              <w:t>(18,164)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(11,820)</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(6,344)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(87,088)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(72,669)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(14,419)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Total other expenses</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line="20" w:lineRule="exact"/>
              <w:rPr>
                <w:sz w:val="1"/>
                <w:szCs w:val="1"/>
                <w:color w:val="auto"/>
              </w:rPr>
            </w:pPr>
          </w:p>
        </w:tc>
      </w:tr>
      <w:tr>
        <w:trPr>
          <w:trHeight w:val="219"/>
        </w:trPr>
        <w:tc>
          <w:tcPr>
            <w:tcW w:w="516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53"/>
              <w:spacing w:after="0"/>
              <w:rPr>
                <w:sz w:val="20"/>
                <w:szCs w:val="20"/>
                <w:color w:val="auto"/>
              </w:rPr>
            </w:pPr>
            <w:r>
              <w:rPr>
                <w:rFonts w:ascii="Arial" w:cs="Arial" w:eastAsia="Arial" w:hAnsi="Arial"/>
                <w:sz w:val="17"/>
                <w:szCs w:val="17"/>
                <w:color w:val="auto"/>
                <w:w w:val="90"/>
              </w:rPr>
              <w:t>(188,601)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w w:val="90"/>
              </w:rPr>
              <w:t>(158,447)</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(30,154)</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before minority interests and discontinued operations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69,028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72,875</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(3,847)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Minority interests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53"/>
              <w:spacing w:after="0"/>
              <w:rPr>
                <w:sz w:val="20"/>
                <w:szCs w:val="20"/>
                <w:color w:val="auto"/>
              </w:rPr>
            </w:pPr>
            <w:r>
              <w:rPr>
                <w:rFonts w:ascii="Arial" w:cs="Arial" w:eastAsia="Arial" w:hAnsi="Arial"/>
                <w:sz w:val="17"/>
                <w:szCs w:val="17"/>
                <w:color w:val="auto"/>
              </w:rPr>
              <w:t>(4,170)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(4,670)</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500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discontinued operations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5,246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3"/>
              <w:spacing w:after="0"/>
              <w:rPr>
                <w:sz w:val="20"/>
                <w:szCs w:val="20"/>
                <w:color w:val="auto"/>
              </w:rPr>
            </w:pPr>
            <w:r>
              <w:rPr>
                <w:rFonts w:ascii="Arial" w:cs="Arial" w:eastAsia="Arial" w:hAnsi="Arial"/>
                <w:sz w:val="17"/>
                <w:szCs w:val="17"/>
                <w:color w:val="auto"/>
              </w:rPr>
              <w:t>14,052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20,053</w:t>
            </w:r>
          </w:p>
        </w:tc>
        <w:tc>
          <w:tcPr>
            <w:tcW w:w="5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(6,001)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84,156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94,497</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u w:val="single" w:color="auto"/>
                <w:color w:val="auto"/>
                <w:w w:val="85"/>
              </w:rPr>
              <w:t>$</w:t>
            </w:r>
            <w:r>
              <w:rPr>
                <w:rFonts w:ascii="Arial" w:cs="Arial" w:eastAsia="Arial" w:hAnsi="Arial"/>
                <w:sz w:val="17"/>
                <w:szCs w:val="17"/>
                <w:color w:val="auto"/>
                <w:w w:val="85"/>
              </w:rPr>
              <w:t xml:space="preserve"> (10,341)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60" w:type="dxa"/>
            <w:vAlign w:val="bottom"/>
            <w:vMerge w:val="restart"/>
          </w:tcPr>
          <w:p>
            <w:pPr>
              <w:jc w:val="right"/>
              <w:ind w:right="1234"/>
              <w:spacing w:after="0"/>
              <w:rPr>
                <w:sz w:val="20"/>
                <w:szCs w:val="20"/>
                <w:color w:val="auto"/>
              </w:rPr>
            </w:pPr>
            <w:r>
              <w:rPr>
                <w:rFonts w:ascii="Arial" w:cs="Arial" w:eastAsia="Arial" w:hAnsi="Arial"/>
                <w:sz w:val="17"/>
                <w:szCs w:val="17"/>
                <w:color w:val="auto"/>
              </w:rPr>
              <w:t>41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PROPERTY REVENUES</w:t>
      </w:r>
    </w:p>
    <w:p>
      <w:pPr>
        <w:spacing w:after="0" w:line="183" w:lineRule="exact"/>
        <w:rPr>
          <w:sz w:val="20"/>
          <w:szCs w:val="20"/>
          <w:color w:val="auto"/>
        </w:rPr>
      </w:pPr>
    </w:p>
    <w:p>
      <w:pPr>
        <w:ind w:right="560" w:firstLine="457"/>
        <w:spacing w:after="0" w:line="291" w:lineRule="auto"/>
        <w:rPr>
          <w:sz w:val="20"/>
          <w:szCs w:val="20"/>
          <w:color w:val="auto"/>
        </w:rPr>
      </w:pPr>
      <w:r>
        <w:rPr>
          <w:rFonts w:ascii="Arial" w:cs="Arial" w:eastAsia="Arial" w:hAnsi="Arial"/>
          <w:sz w:val="17"/>
          <w:szCs w:val="17"/>
          <w:color w:val="auto"/>
        </w:rPr>
        <w:t>Total revenues increased $39.6 million, or 11.5%, to $385.4 million in 2004 compared to $345.8 million in 2003. This increase is due primarily to the following:</w:t>
      </w:r>
    </w:p>
    <w:p>
      <w:pPr>
        <w:spacing w:after="0" w:line="32" w:lineRule="exact"/>
        <w:rPr>
          <w:sz w:val="20"/>
          <w:szCs w:val="20"/>
          <w:color w:val="auto"/>
        </w:rPr>
      </w:pPr>
    </w:p>
    <w:p>
      <w:pPr>
        <w:ind w:left="800" w:hanging="341"/>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additional revenue contributed by properties acquired,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additional revenue at Santana Row, which is being phased into service,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increase in same center revenues as a result of increased rental rates on new leases and increased occupancy,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increased cost recoveries attributable to higher property operating costs.</w:t>
      </w:r>
    </w:p>
    <w:p>
      <w:pPr>
        <w:spacing w:after="0" w:line="177" w:lineRule="exact"/>
        <w:rPr>
          <w:sz w:val="20"/>
          <w:szCs w:val="20"/>
          <w:color w:val="auto"/>
        </w:rPr>
      </w:pPr>
    </w:p>
    <w:p>
      <w:pPr>
        <w:ind w:right="340" w:firstLine="457"/>
        <w:spacing w:after="0" w:line="291" w:lineRule="auto"/>
        <w:rPr>
          <w:sz w:val="20"/>
          <w:szCs w:val="20"/>
          <w:color w:val="auto"/>
        </w:rPr>
      </w:pPr>
      <w:r>
        <w:rPr>
          <w:rFonts w:ascii="Arial" w:cs="Arial" w:eastAsia="Arial" w:hAnsi="Arial"/>
          <w:sz w:val="17"/>
          <w:szCs w:val="17"/>
          <w:color w:val="auto"/>
        </w:rPr>
        <w:t>The percentage leased at our shopping centers increased to 95.1% at December 31, 2004 compared to 93.1% at December 31, 2003 due primarily to new leases signed at existing properties.</w:t>
      </w:r>
    </w:p>
    <w:p>
      <w:pPr>
        <w:spacing w:after="0" w:line="111" w:lineRule="exact"/>
        <w:rPr>
          <w:sz w:val="20"/>
          <w:szCs w:val="20"/>
          <w:color w:val="auto"/>
        </w:rPr>
      </w:pPr>
    </w:p>
    <w:p>
      <w:pPr>
        <w:ind w:right="60" w:firstLine="457"/>
        <w:spacing w:after="0" w:line="291" w:lineRule="auto"/>
        <w:rPr>
          <w:sz w:val="20"/>
          <w:szCs w:val="20"/>
          <w:color w:val="auto"/>
        </w:rPr>
      </w:pPr>
      <w:r>
        <w:rPr>
          <w:rFonts w:ascii="Arial" w:cs="Arial" w:eastAsia="Arial" w:hAnsi="Arial"/>
          <w:sz w:val="17"/>
          <w:szCs w:val="17"/>
          <w:i w:val="1"/>
          <w:iCs w:val="1"/>
          <w:color w:val="auto"/>
        </w:rPr>
        <w:t>Rental Income</w:t>
      </w:r>
      <w:r>
        <w:rPr>
          <w:rFonts w:ascii="Arial" w:cs="Arial" w:eastAsia="Arial" w:hAnsi="Arial"/>
          <w:sz w:val="17"/>
          <w:szCs w:val="17"/>
          <w:color w:val="auto"/>
        </w:rPr>
        <w:t>. Rental income consists primarily of minimum rent, cost recoveries from tenants, and percentage rent. Rental income increased $33.5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10.0%, to $370.1 million in 2004 compared to $336.5 million in 2003 due largely to the following:</w:t>
      </w:r>
    </w:p>
    <w:p>
      <w:pPr>
        <w:spacing w:after="0" w:line="32" w:lineRule="exact"/>
        <w:rPr>
          <w:sz w:val="20"/>
          <w:szCs w:val="20"/>
          <w:color w:val="auto"/>
        </w:rPr>
      </w:pPr>
    </w:p>
    <w:p>
      <w:pPr>
        <w:ind w:left="800" w:hanging="341"/>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approximately $31.2 million due to properties acquired in 2004 and 2003 and from Santana Row,</w:t>
      </w:r>
    </w:p>
    <w:p>
      <w:pPr>
        <w:spacing w:after="0" w:line="97" w:lineRule="exact"/>
        <w:rPr>
          <w:rFonts w:ascii="Arial" w:cs="Arial" w:eastAsia="Arial" w:hAnsi="Arial"/>
          <w:sz w:val="17"/>
          <w:szCs w:val="17"/>
          <w:color w:val="auto"/>
        </w:rPr>
      </w:pPr>
    </w:p>
    <w:p>
      <w:pPr>
        <w:ind w:right="120" w:firstLine="459"/>
        <w:spacing w:after="0" w:line="359" w:lineRule="auto"/>
        <w:tabs>
          <w:tab w:leader="none" w:pos="78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same center basis, an increase of $7.8 million, or approximately 2.9%, due mainly to increased rental rates on new leases and increased occupancy partially offset by</w:t>
      </w:r>
    </w:p>
    <w:p>
      <w:pPr>
        <w:ind w:left="800" w:hanging="341"/>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decrease of $5.0 million of proceeds from the Santana Row fire insurance settlement.</w:t>
      </w:r>
    </w:p>
    <w:p>
      <w:pPr>
        <w:spacing w:after="0" w:line="17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Other Property Income. </w:t>
      </w:r>
      <w:r>
        <w:rPr>
          <w:rFonts w:ascii="Arial" w:cs="Arial" w:eastAsia="Arial" w:hAnsi="Arial"/>
          <w:sz w:val="17"/>
          <w:szCs w:val="17"/>
          <w:color w:val="auto"/>
        </w:rPr>
        <w:t>Other property income increased $5.3 million to $10.4 million in 2004 compared to $5.1 million in 2003. Included in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are items which, although recurring, tend to fluctuate more than rental income from period to period, such as lease termination fees and temporary tenant income. This increase in other property income in 2004 is primarily the result of higher lease termination fees, parking revenue and income from our restaurant joint ventures.</w:t>
      </w:r>
    </w:p>
    <w:p>
      <w:pPr>
        <w:spacing w:after="0" w:line="128" w:lineRule="exact"/>
        <w:rPr>
          <w:sz w:val="20"/>
          <w:szCs w:val="20"/>
          <w:color w:val="auto"/>
        </w:rPr>
      </w:pPr>
    </w:p>
    <w:p>
      <w:pPr>
        <w:ind w:right="460" w:firstLine="457"/>
        <w:spacing w:after="0" w:line="291" w:lineRule="auto"/>
        <w:rPr>
          <w:sz w:val="20"/>
          <w:szCs w:val="20"/>
          <w:color w:val="auto"/>
        </w:rPr>
      </w:pPr>
      <w:r>
        <w:rPr>
          <w:rFonts w:ascii="Arial" w:cs="Arial" w:eastAsia="Arial" w:hAnsi="Arial"/>
          <w:sz w:val="17"/>
          <w:szCs w:val="17"/>
          <w:i w:val="1"/>
          <w:iCs w:val="1"/>
          <w:color w:val="auto"/>
        </w:rPr>
        <w:t xml:space="preserve">Mortgage Interest Income. </w:t>
      </w:r>
      <w:r>
        <w:rPr>
          <w:rFonts w:ascii="Arial" w:cs="Arial" w:eastAsia="Arial" w:hAnsi="Arial"/>
          <w:sz w:val="17"/>
          <w:szCs w:val="17"/>
          <w:color w:val="auto"/>
        </w:rPr>
        <w:t>Interest on mortgage notes receivable increased $0.8 million to $4.9 million in 2004 compared to $4.1 million in 2003.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is due to higher principal balances on notes outstanding.</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PROPERTY EXPENSES</w:t>
      </w:r>
    </w:p>
    <w:p>
      <w:pPr>
        <w:spacing w:after="0" w:line="183" w:lineRule="exact"/>
        <w:rPr>
          <w:sz w:val="20"/>
          <w:szCs w:val="20"/>
          <w:color w:val="auto"/>
        </w:rPr>
      </w:pPr>
    </w:p>
    <w:p>
      <w:pPr>
        <w:ind w:right="320" w:firstLine="457"/>
        <w:spacing w:after="0" w:line="324" w:lineRule="auto"/>
        <w:rPr>
          <w:sz w:val="20"/>
          <w:szCs w:val="20"/>
          <w:color w:val="auto"/>
        </w:rPr>
      </w:pPr>
      <w:r>
        <w:rPr>
          <w:rFonts w:ascii="Arial" w:cs="Arial" w:eastAsia="Arial" w:hAnsi="Arial"/>
          <w:sz w:val="16"/>
          <w:szCs w:val="16"/>
          <w:color w:val="auto"/>
        </w:rPr>
        <w:t>Total property operating expenses increased $13.3 million, or 11.6%, to $127.8 million in 2004, compared to $114.4 million in 2003. This increase is due primarily to increased real estate tax assessments, utility and maintenance costs and other operating costs incurred during 2004 as detailed below.</w:t>
      </w:r>
    </w:p>
    <w:p>
      <w:pPr>
        <w:spacing w:after="0" w:line="89" w:lineRule="exact"/>
        <w:rPr>
          <w:sz w:val="20"/>
          <w:szCs w:val="20"/>
          <w:color w:val="auto"/>
        </w:rPr>
      </w:pPr>
    </w:p>
    <w:p>
      <w:pPr>
        <w:ind w:right="600" w:firstLine="457"/>
        <w:spacing w:after="0" w:line="291" w:lineRule="auto"/>
        <w:rPr>
          <w:sz w:val="20"/>
          <w:szCs w:val="20"/>
          <w:color w:val="auto"/>
        </w:rPr>
      </w:pPr>
      <w:r>
        <w:rPr>
          <w:rFonts w:ascii="Arial" w:cs="Arial" w:eastAsia="Arial" w:hAnsi="Arial"/>
          <w:sz w:val="17"/>
          <w:szCs w:val="17"/>
          <w:i w:val="1"/>
          <w:iCs w:val="1"/>
          <w:color w:val="auto"/>
        </w:rPr>
        <w:t xml:space="preserve">Rental Expenses. </w:t>
      </w:r>
      <w:r>
        <w:rPr>
          <w:rFonts w:ascii="Arial" w:cs="Arial" w:eastAsia="Arial" w:hAnsi="Arial"/>
          <w:sz w:val="17"/>
          <w:szCs w:val="17"/>
          <w:color w:val="auto"/>
        </w:rPr>
        <w:t>Rental expenses increased $9.4 million, or 11.7%, to $90.2 million in 2004 compared to $80.8 million in 2003. This increase is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the following:</w:t>
      </w:r>
    </w:p>
    <w:p>
      <w:pPr>
        <w:spacing w:after="0" w:line="32" w:lineRule="exact"/>
        <w:rPr>
          <w:sz w:val="20"/>
          <w:szCs w:val="20"/>
          <w:color w:val="auto"/>
        </w:rPr>
      </w:pPr>
    </w:p>
    <w:p>
      <w:pPr>
        <w:ind w:left="800" w:hanging="341"/>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 of $4.1 million attributable to properties acquired in 2003 and 2004,</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of $2.9 million due primarily to reserves related to mortgage notes receivable,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of $0.8 million at development properties due to lower capitalized costs and increased utility expense,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 same center basis, an increase of $0.5 million, due primarily to increases in utility and other and administrative operating costs.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271" w:right="279" w:bottom="1440" w:gutter="0" w:footer="0" w:header="0"/>
        </w:sectPr>
      </w:pPr>
    </w:p>
    <w:bookmarkStart w:id="42" w:name="page43"/>
    <w:bookmarkEnd w:id="42"/>
    <w:p>
      <w:pPr>
        <w:ind w:right="40" w:firstLine="457"/>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As a result of these changes in rental expenses, rental income and other property income, rental expense as a percentage of rental income plus other property income increased from 23.6% in 2003 to 23.7% in 2004.</w:t>
      </w:r>
    </w:p>
    <w:p>
      <w:pPr>
        <w:spacing w:after="0" w:line="111"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i w:val="1"/>
          <w:iCs w:val="1"/>
          <w:color w:val="auto"/>
        </w:rPr>
        <w:t xml:space="preserve">Real Estate Taxes. </w:t>
      </w:r>
      <w:r>
        <w:rPr>
          <w:rFonts w:ascii="Arial" w:cs="Arial" w:eastAsia="Arial" w:hAnsi="Arial"/>
          <w:sz w:val="17"/>
          <w:szCs w:val="17"/>
          <w:color w:val="auto"/>
        </w:rPr>
        <w:t>Real estate tax expense increased $3.9 million, or 11.6%, to $37.5 million in 2004 compared to $33.7 million in 2003. This increase is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increased taxes of $2.8 million related to acquired and developed properties, including Santana Row, and higher tax assessments for our properties in the East.</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PROPERTY OPERATING INCOME</w:t>
      </w:r>
    </w:p>
    <w:p>
      <w:pPr>
        <w:spacing w:after="0" w:line="183" w:lineRule="exact"/>
        <w:rPr>
          <w:sz w:val="20"/>
          <w:szCs w:val="20"/>
          <w:color w:val="auto"/>
        </w:rPr>
      </w:pPr>
    </w:p>
    <w:p>
      <w:pPr>
        <w:ind w:right="20" w:firstLine="457"/>
        <w:spacing w:after="0" w:line="301" w:lineRule="auto"/>
        <w:rPr>
          <w:sz w:val="20"/>
          <w:szCs w:val="20"/>
          <w:color w:val="auto"/>
        </w:rPr>
      </w:pPr>
      <w:r>
        <w:rPr>
          <w:rFonts w:ascii="Arial" w:cs="Arial" w:eastAsia="Arial" w:hAnsi="Arial"/>
          <w:sz w:val="16"/>
          <w:szCs w:val="16"/>
          <w:color w:val="auto"/>
        </w:rPr>
        <w:t>Property operating income increased $26.3 million, or 11.4%, to $257.6 million in 2004 compared to $231.3 million in 2003. Income recognized from fire insurance proceeds attributable to rental income lost at Santana Row due to the August, 2002 fire amounted to approximately $3.0 million and $8.0 million in 2004 and 2003, respectively. Excluding these proceeds, property operating income increased $31.3 million. This increase is due primarily to the following:</w:t>
      </w:r>
    </w:p>
    <w:p>
      <w:pPr>
        <w:spacing w:after="0" w:line="26" w:lineRule="exact"/>
        <w:rPr>
          <w:sz w:val="20"/>
          <w:szCs w:val="20"/>
          <w:color w:val="auto"/>
        </w:rPr>
      </w:pPr>
    </w:p>
    <w:p>
      <w:pPr>
        <w:ind w:left="800" w:hanging="341"/>
        <w:spacing w:after="0"/>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growth in Santana Row earnings due to additional phases brought into service,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earnings attributable to our 2004 and 2003 acquisitions,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growth in same center earnings.</w:t>
      </w:r>
    </w:p>
    <w:p>
      <w:pPr>
        <w:spacing w:after="0" w:line="177" w:lineRule="exact"/>
        <w:rPr>
          <w:sz w:val="20"/>
          <w:szCs w:val="20"/>
          <w:color w:val="auto"/>
        </w:rPr>
      </w:pPr>
    </w:p>
    <w:p>
      <w:pPr>
        <w:ind w:right="280" w:firstLine="457"/>
        <w:spacing w:after="0" w:line="276" w:lineRule="auto"/>
        <w:rPr>
          <w:sz w:val="20"/>
          <w:szCs w:val="20"/>
          <w:color w:val="auto"/>
        </w:rPr>
      </w:pPr>
      <w:r>
        <w:rPr>
          <w:rFonts w:ascii="Arial" w:cs="Arial" w:eastAsia="Arial" w:hAnsi="Arial"/>
          <w:sz w:val="17"/>
          <w:szCs w:val="17"/>
          <w:color w:val="auto"/>
        </w:rPr>
        <w:t>Same center property operating income increased 3.5%, or approximately $6.8 million, in 2004. This increase is primarily due to increased rental income associated with new leases and higher real estate tax recoveries, partly offset by increased property operating expenses. When redevelopment and expansion properties are included with same center results, property operating income increased by 4.3% in 2004 over 2003.</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OTHER</w:t>
      </w:r>
    </w:p>
    <w:p>
      <w:pPr>
        <w:spacing w:after="0" w:line="183"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$9.8 million, or 13.1%, to $85.1 million in 2004 compared to $75.3 million in 2003. This increase is almost</w:t>
      </w:r>
      <w:r>
        <w:rPr>
          <w:rFonts w:ascii="Arial" w:cs="Arial" w:eastAsia="Arial" w:hAnsi="Arial"/>
          <w:sz w:val="17"/>
          <w:szCs w:val="17"/>
          <w:i w:val="1"/>
          <w:iCs w:val="1"/>
          <w:color w:val="auto"/>
        </w:rPr>
        <w:t xml:space="preserve"> </w:t>
      </w:r>
      <w:r>
        <w:rPr>
          <w:rFonts w:ascii="Arial" w:cs="Arial" w:eastAsia="Arial" w:hAnsi="Arial"/>
          <w:sz w:val="17"/>
          <w:szCs w:val="17"/>
          <w:color w:val="auto"/>
        </w:rPr>
        <w:t>entirely due to lower capitalization of interest and therefore higher interest expense, as most of our properties under development, particularly at Santana Row, have been placed into service. Gross interest costs in 2004 were $90.2 million compared to $88.7 million in 2003. Capitalized interest amounted to $5.1 million and $13.5 million in 2004 and 2003, respectively.</w:t>
      </w:r>
    </w:p>
    <w:p>
      <w:pPr>
        <w:spacing w:after="0" w:line="128" w:lineRule="exact"/>
        <w:rPr>
          <w:sz w:val="20"/>
          <w:szCs w:val="20"/>
          <w:color w:val="auto"/>
        </w:rPr>
      </w:pPr>
    </w:p>
    <w:p>
      <w:pPr>
        <w:ind w:right="580" w:firstLine="457"/>
        <w:spacing w:after="0" w:line="324"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increased by $6.3 million, or 53.7%, to $18.2 million in 2004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$11.8 million in 2003. This increase resulted primarily from costs of personnel and compliance with the requirements of Sarbanes-Oxley.</w:t>
      </w:r>
    </w:p>
    <w:p>
      <w:pPr>
        <w:spacing w:after="0" w:line="89" w:lineRule="exact"/>
        <w:rPr>
          <w:sz w:val="20"/>
          <w:szCs w:val="20"/>
          <w:color w:val="auto"/>
        </w:rPr>
      </w:pPr>
    </w:p>
    <w:p>
      <w:pPr>
        <w:ind w:right="240" w:firstLine="457"/>
        <w:spacing w:after="0" w:line="324"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increased $14.4 million, or 19.8%, to $87.1 million in 2004 from $72.7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2003. This increase is due primarily to depreciation on completed developments, same center property increases and on properties acquired.</w:t>
      </w:r>
    </w:p>
    <w:p>
      <w:pPr>
        <w:spacing w:after="0" w:line="89"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i w:val="1"/>
          <w:iCs w:val="1"/>
          <w:color w:val="auto"/>
        </w:rPr>
        <w:t>Minority Interests</w:t>
      </w:r>
      <w:r>
        <w:rPr>
          <w:rFonts w:ascii="Arial" w:cs="Arial" w:eastAsia="Arial" w:hAnsi="Arial"/>
          <w:sz w:val="17"/>
          <w:szCs w:val="17"/>
          <w:color w:val="auto"/>
        </w:rPr>
        <w:t>. Income to minority partners decreased $0.5 million, or 10.7% to $4.2 million in 2004 from $4.7 million in 2003. This is the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earnings at majority-owned real estate partnerships, primarily from a lower gain on the sale of real estate, and a decrease in the interest held by minority partners.</w:t>
      </w:r>
    </w:p>
    <w:p>
      <w:pPr>
        <w:spacing w:after="0" w:line="124" w:lineRule="exact"/>
        <w:rPr>
          <w:sz w:val="20"/>
          <w:szCs w:val="20"/>
          <w:color w:val="auto"/>
        </w:rPr>
      </w:pPr>
    </w:p>
    <w:p>
      <w:pPr>
        <w:ind w:right="20" w:firstLine="457"/>
        <w:spacing w:after="0" w:line="301" w:lineRule="auto"/>
        <w:rPr>
          <w:sz w:val="20"/>
          <w:szCs w:val="20"/>
          <w:color w:val="auto"/>
        </w:rPr>
      </w:pPr>
      <w:r>
        <w:rPr>
          <w:rFonts w:ascii="Arial" w:cs="Arial" w:eastAsia="Arial" w:hAnsi="Arial"/>
          <w:sz w:val="16"/>
          <w:szCs w:val="16"/>
          <w:i w:val="1"/>
          <w:iCs w:val="1"/>
          <w:color w:val="auto"/>
        </w:rPr>
        <w:t xml:space="preserve">Income from Discontinued Operations. </w:t>
      </w:r>
      <w:r>
        <w:rPr>
          <w:rFonts w:ascii="Arial" w:cs="Arial" w:eastAsia="Arial" w:hAnsi="Arial"/>
          <w:sz w:val="16"/>
          <w:szCs w:val="16"/>
          <w:color w:val="auto"/>
        </w:rPr>
        <w:t>Income from discontinued operations represents the operating income of properties that have been disposed,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reported separately from results of ongoing operations. The reported operating income of $5.2 million and $6.2 million in 2004 and 2003, respectively, represent the operating income for the period during which we owned properties sold in 2003 and subsequent years.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40"/>
          </w:cols>
          <w:pgMar w:left="240" w:top="277" w:right="319" w:bottom="1440" w:gutter="0" w:footer="0" w:header="0"/>
        </w:sectPr>
      </w:pPr>
    </w:p>
    <w:bookmarkStart w:id="43" w:name="page44"/>
    <w:bookmarkEnd w:id="43"/>
    <w:p>
      <w:pPr>
        <w:ind w:right="40" w:firstLine="457"/>
        <w:spacing w:after="0" w:line="29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 xml:space="preserve">Gain on Sale of Real Estate. </w:t>
      </w:r>
      <w:r>
        <w:rPr>
          <w:rFonts w:ascii="Arial" w:cs="Arial" w:eastAsia="Arial" w:hAnsi="Arial"/>
          <w:sz w:val="17"/>
          <w:szCs w:val="17"/>
          <w:color w:val="auto"/>
        </w:rPr>
        <w:t>The gain on sale of real estate in 2004 decreased $6.0 million to $14.0 million in 2004 compared to $20.0 million in 2003.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properties sold in 2004 and 2003 resulted in gains.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103"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24" w:lineRule="exact"/>
        <w:rPr>
          <w:sz w:val="20"/>
          <w:szCs w:val="20"/>
          <w:color w:val="auto"/>
        </w:rPr>
      </w:pPr>
    </w:p>
    <w:p>
      <w:pPr>
        <w:ind w:right="220" w:firstLine="457"/>
        <w:spacing w:after="0" w:line="291" w:lineRule="auto"/>
        <w:rPr>
          <w:sz w:val="20"/>
          <w:szCs w:val="20"/>
          <w:color w:val="auto"/>
        </w:rPr>
      </w:pPr>
      <w:r>
        <w:rPr>
          <w:rFonts w:ascii="Arial" w:cs="Arial" w:eastAsia="Arial" w:hAnsi="Arial"/>
          <w:sz w:val="17"/>
          <w:szCs w:val="17"/>
          <w:color w:val="auto"/>
        </w:rPr>
        <w:t>The following selected key segment data presented is for 2005, 2004 and 2003. The results of operations of properties that have been subsequently sold are excluded from property operating income data in the following table, in accordance with SFAS No. 144.</w:t>
      </w:r>
    </w:p>
    <w:p>
      <w:pPr>
        <w:spacing w:after="0" w:line="111" w:lineRule="exact"/>
        <w:rPr>
          <w:sz w:val="20"/>
          <w:szCs w:val="20"/>
          <w:color w:val="auto"/>
        </w:rPr>
      </w:pPr>
    </w:p>
    <w:p>
      <w:pPr>
        <w:ind w:right="360" w:firstLine="457"/>
        <w:spacing w:after="0" w:line="324"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2004</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2003</w:t>
            </w:r>
          </w:p>
        </w:tc>
        <w:tc>
          <w:tcPr>
            <w:tcW w:w="140" w:type="dxa"/>
            <w:vAlign w:val="bottom"/>
          </w:tcPr>
          <w:p>
            <w:pPr>
              <w:spacing w:after="0"/>
              <w:rPr>
                <w:sz w:val="13"/>
                <w:szCs w:val="13"/>
                <w:color w:val="auto"/>
              </w:rPr>
            </w:pPr>
          </w:p>
        </w:tc>
      </w:tr>
      <w:tr>
        <w:trPr>
          <w:trHeight w:val="140"/>
        </w:trPr>
        <w:tc>
          <w:tcPr>
            <w:tcW w:w="7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tcPr>
          <w:p>
            <w:pPr>
              <w:jc w:val="right"/>
              <w:ind w:right="180"/>
              <w:spacing w:after="0" w:line="140" w:lineRule="exact"/>
              <w:rPr>
                <w:sz w:val="20"/>
                <w:szCs w:val="20"/>
                <w:color w:val="auto"/>
              </w:rPr>
            </w:pPr>
            <w:r>
              <w:rPr>
                <w:rFonts w:ascii="Arial" w:cs="Arial" w:eastAsia="Arial" w:hAnsi="Arial"/>
                <w:sz w:val="13"/>
                <w:szCs w:val="13"/>
                <w:b w:val="1"/>
                <w:bCs w:val="1"/>
                <w:color w:val="auto"/>
                <w:w w:val="97"/>
              </w:rPr>
              <w:t>(Dollars 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3"/>
        </w:trPr>
        <w:tc>
          <w:tcPr>
            <w:tcW w:w="7740" w:type="dxa"/>
            <w:vAlign w:val="bottom"/>
          </w:tcPr>
          <w:p>
            <w:pPr>
              <w:ind w:left="440"/>
              <w:spacing w:after="0"/>
              <w:rPr>
                <w:sz w:val="20"/>
                <w:szCs w:val="20"/>
                <w:color w:val="auto"/>
              </w:rPr>
            </w:pPr>
            <w:r>
              <w:rPr>
                <w:rFonts w:ascii="Arial" w:cs="Arial" w:eastAsia="Arial" w:hAnsi="Arial"/>
                <w:sz w:val="17"/>
                <w:szCs w:val="17"/>
                <w:color w:val="auto"/>
              </w:rPr>
              <w:t>Rental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311,918</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295,061</w:t>
            </w:r>
          </w:p>
        </w:tc>
        <w:tc>
          <w:tcPr>
            <w:tcW w:w="4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276,733</w:t>
            </w:r>
          </w:p>
        </w:tc>
        <w:tc>
          <w:tcPr>
            <w:tcW w:w="140" w:type="dxa"/>
            <w:vAlign w:val="bottom"/>
          </w:tcPr>
          <w:p>
            <w:pPr>
              <w:spacing w:after="0"/>
              <w:rPr>
                <w:sz w:val="18"/>
                <w:szCs w:val="18"/>
                <w:color w:val="auto"/>
              </w:rPr>
            </w:pPr>
          </w:p>
        </w:tc>
      </w:tr>
      <w:tr>
        <w:trPr>
          <w:trHeight w:val="213"/>
        </w:trPr>
        <w:tc>
          <w:tcPr>
            <w:tcW w:w="7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318,905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301,787</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283,190</w:t>
            </w:r>
          </w:p>
        </w:tc>
        <w:tc>
          <w:tcPr>
            <w:tcW w:w="140" w:type="dxa"/>
            <w:vAlign w:val="bottom"/>
            <w:shd w:val="clear" w:color="auto" w:fill="CCEEFF"/>
          </w:tcPr>
          <w:p>
            <w:pPr>
              <w:spacing w:after="0"/>
              <w:rPr>
                <w:sz w:val="18"/>
                <w:szCs w:val="18"/>
                <w:color w:val="auto"/>
              </w:rPr>
            </w:pPr>
          </w:p>
        </w:tc>
      </w:tr>
      <w:tr>
        <w:trPr>
          <w:trHeight w:val="213"/>
        </w:trPr>
        <w:tc>
          <w:tcPr>
            <w:tcW w:w="7740" w:type="dxa"/>
            <w:vAlign w:val="bottom"/>
          </w:tcPr>
          <w:p>
            <w:pPr>
              <w:ind w:left="440"/>
              <w:spacing w:after="0"/>
              <w:rPr>
                <w:sz w:val="20"/>
                <w:szCs w:val="20"/>
                <w:color w:val="auto"/>
              </w:rPr>
            </w:pPr>
            <w:r>
              <w:rPr>
                <w:rFonts w:ascii="Arial" w:cs="Arial" w:eastAsia="Arial" w:hAnsi="Arial"/>
                <w:sz w:val="17"/>
                <w:szCs w:val="17"/>
                <w:color w:val="auto"/>
              </w:rPr>
              <w:t>Property operating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227,405</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209,248</w:t>
            </w:r>
          </w:p>
        </w:tc>
        <w:tc>
          <w:tcPr>
            <w:tcW w:w="4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196,430</w:t>
            </w:r>
          </w:p>
        </w:tc>
        <w:tc>
          <w:tcPr>
            <w:tcW w:w="140" w:type="dxa"/>
            <w:vAlign w:val="bottom"/>
          </w:tcPr>
          <w:p>
            <w:pPr>
              <w:spacing w:after="0"/>
              <w:rPr>
                <w:sz w:val="18"/>
                <w:szCs w:val="18"/>
                <w:color w:val="auto"/>
              </w:rPr>
            </w:pPr>
          </w:p>
        </w:tc>
      </w:tr>
      <w:tr>
        <w:trPr>
          <w:trHeight w:val="213"/>
        </w:trPr>
        <w:tc>
          <w:tcPr>
            <w:tcW w:w="7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69.4%</w:t>
            </w:r>
          </w:p>
        </w:tc>
      </w:tr>
      <w:tr>
        <w:trPr>
          <w:trHeight w:val="213"/>
        </w:trPr>
        <w:tc>
          <w:tcPr>
            <w:tcW w:w="774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1,368,925</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1,264,135</w:t>
            </w:r>
          </w:p>
        </w:tc>
        <w:tc>
          <w:tcPr>
            <w:tcW w:w="4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1,309,803</w:t>
            </w:r>
          </w:p>
        </w:tc>
        <w:tc>
          <w:tcPr>
            <w:tcW w:w="140" w:type="dxa"/>
            <w:vAlign w:val="bottom"/>
          </w:tcPr>
          <w:p>
            <w:pPr>
              <w:spacing w:after="0"/>
              <w:rPr>
                <w:sz w:val="18"/>
                <w:szCs w:val="18"/>
                <w:color w:val="auto"/>
              </w:rPr>
            </w:pPr>
          </w:p>
        </w:tc>
      </w:tr>
      <w:tr>
        <w:trPr>
          <w:trHeight w:val="213"/>
        </w:trPr>
        <w:tc>
          <w:tcPr>
            <w:tcW w:w="7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Gross leasable area (square feet)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14,941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14,495</w:t>
            </w:r>
          </w:p>
        </w:tc>
        <w:tc>
          <w:tcPr>
            <w:tcW w:w="140" w:type="dxa"/>
            <w:vAlign w:val="bottom"/>
            <w:shd w:val="clear" w:color="auto" w:fill="CCEEFF"/>
          </w:tcPr>
          <w:p>
            <w:pPr>
              <w:spacing w:after="0"/>
              <w:rPr>
                <w:sz w:val="18"/>
                <w:szCs w:val="18"/>
                <w:color w:val="auto"/>
              </w:rPr>
            </w:pPr>
          </w:p>
        </w:tc>
      </w:tr>
      <w:tr>
        <w:trPr>
          <w:trHeight w:val="319"/>
        </w:trPr>
        <w:tc>
          <w:tcPr>
            <w:tcW w:w="7740" w:type="dxa"/>
            <w:vAlign w:val="bottom"/>
          </w:tcPr>
          <w:p>
            <w:pPr>
              <w:spacing w:after="0"/>
              <w:rPr>
                <w:sz w:val="20"/>
                <w:szCs w:val="20"/>
                <w:color w:val="auto"/>
              </w:rPr>
            </w:pPr>
            <w:r>
              <w:rPr>
                <w:rFonts w:ascii="Arial" w:cs="Arial" w:eastAsia="Arial" w:hAnsi="Arial"/>
                <w:sz w:val="17"/>
                <w:szCs w:val="17"/>
                <w:b w:val="1"/>
                <w:bCs w:val="1"/>
                <w:color w:val="auto"/>
              </w:rPr>
              <w:t>West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7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83,485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75,008</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59,797</w:t>
            </w:r>
          </w:p>
        </w:tc>
        <w:tc>
          <w:tcPr>
            <w:tcW w:w="140" w:type="dxa"/>
            <w:vAlign w:val="bottom"/>
            <w:shd w:val="clear" w:color="auto" w:fill="CCEEFF"/>
          </w:tcPr>
          <w:p>
            <w:pPr>
              <w:spacing w:after="0"/>
              <w:rPr>
                <w:sz w:val="18"/>
                <w:szCs w:val="18"/>
                <w:color w:val="auto"/>
              </w:rPr>
            </w:pPr>
          </w:p>
        </w:tc>
      </w:tr>
      <w:tr>
        <w:trPr>
          <w:trHeight w:val="213"/>
        </w:trPr>
        <w:tc>
          <w:tcPr>
            <w:tcW w:w="774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91,425</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83,600</w:t>
            </w:r>
          </w:p>
        </w:tc>
        <w:tc>
          <w:tcPr>
            <w:tcW w:w="4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62,572</w:t>
            </w:r>
          </w:p>
        </w:tc>
        <w:tc>
          <w:tcPr>
            <w:tcW w:w="140" w:type="dxa"/>
            <w:vAlign w:val="bottom"/>
          </w:tcPr>
          <w:p>
            <w:pPr>
              <w:spacing w:after="0"/>
              <w:rPr>
                <w:sz w:val="18"/>
                <w:szCs w:val="18"/>
                <w:color w:val="auto"/>
              </w:rPr>
            </w:pPr>
          </w:p>
        </w:tc>
      </w:tr>
      <w:tr>
        <w:trPr>
          <w:trHeight w:val="213"/>
        </w:trPr>
        <w:tc>
          <w:tcPr>
            <w:tcW w:w="7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Property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58,275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48,381</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34,892</w:t>
            </w:r>
          </w:p>
        </w:tc>
        <w:tc>
          <w:tcPr>
            <w:tcW w:w="140" w:type="dxa"/>
            <w:vAlign w:val="bottom"/>
            <w:shd w:val="clear" w:color="auto" w:fill="CCEEFF"/>
          </w:tcPr>
          <w:p>
            <w:pPr>
              <w:spacing w:after="0"/>
              <w:rPr>
                <w:sz w:val="18"/>
                <w:szCs w:val="18"/>
                <w:color w:val="auto"/>
              </w:rPr>
            </w:pPr>
          </w:p>
        </w:tc>
      </w:tr>
      <w:tr>
        <w:trPr>
          <w:trHeight w:val="213"/>
        </w:trPr>
        <w:tc>
          <w:tcPr>
            <w:tcW w:w="7740" w:type="dxa"/>
            <w:vAlign w:val="bottom"/>
          </w:tcPr>
          <w:p>
            <w:pPr>
              <w:ind w:left="440"/>
              <w:spacing w:after="0"/>
              <w:rPr>
                <w:sz w:val="20"/>
                <w:szCs w:val="20"/>
                <w:color w:val="auto"/>
              </w:rPr>
            </w:pPr>
            <w:r>
              <w:rPr>
                <w:rFonts w:ascii="Arial" w:cs="Arial" w:eastAsia="Arial" w:hAnsi="Arial"/>
                <w:sz w:val="17"/>
                <w:szCs w:val="17"/>
                <w:color w:val="auto"/>
              </w:rPr>
              <w:t>Property operating income as a percent of total revenue</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57.9%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55.8%</w:t>
            </w:r>
          </w:p>
        </w:tc>
      </w:tr>
      <w:tr>
        <w:trPr>
          <w:trHeight w:val="213"/>
        </w:trPr>
        <w:tc>
          <w:tcPr>
            <w:tcW w:w="7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908,621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911,136</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751,717</w:t>
            </w:r>
          </w:p>
        </w:tc>
        <w:tc>
          <w:tcPr>
            <w:tcW w:w="140" w:type="dxa"/>
            <w:vAlign w:val="bottom"/>
            <w:shd w:val="clear" w:color="auto" w:fill="CCEEFF"/>
          </w:tcPr>
          <w:p>
            <w:pPr>
              <w:spacing w:after="0"/>
              <w:rPr>
                <w:sz w:val="18"/>
                <w:szCs w:val="18"/>
                <w:color w:val="auto"/>
              </w:rPr>
            </w:pPr>
          </w:p>
        </w:tc>
      </w:tr>
      <w:tr>
        <w:trPr>
          <w:trHeight w:val="220"/>
        </w:trPr>
        <w:tc>
          <w:tcPr>
            <w:tcW w:w="7740" w:type="dxa"/>
            <w:vAlign w:val="bottom"/>
          </w:tcPr>
          <w:p>
            <w:pPr>
              <w:ind w:left="440"/>
              <w:spacing w:after="0"/>
              <w:rPr>
                <w:sz w:val="20"/>
                <w:szCs w:val="20"/>
                <w:color w:val="auto"/>
              </w:rPr>
            </w:pPr>
            <w:r>
              <w:rPr>
                <w:rFonts w:ascii="Arial" w:cs="Arial" w:eastAsia="Arial" w:hAnsi="Arial"/>
                <w:sz w:val="17"/>
                <w:szCs w:val="17"/>
                <w:color w:val="auto"/>
              </w:rPr>
              <w:t>Gross leasable area (square feet)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2,610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2,408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1,739</w:t>
            </w:r>
          </w:p>
        </w:tc>
        <w:tc>
          <w:tcPr>
            <w:tcW w:w="140" w:type="dxa"/>
            <w:vAlign w:val="bottom"/>
          </w:tcPr>
          <w:p>
            <w:pPr>
              <w:spacing w:after="0"/>
              <w:rPr>
                <w:sz w:val="19"/>
                <w:szCs w:val="19"/>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EAST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This region also includes several properties in Illinois and Michigan. As of December 31, 2005, the East segment consisted of 70 properties.</w:t>
      </w:r>
    </w:p>
    <w:p>
      <w:pPr>
        <w:spacing w:after="0" w:line="170" w:lineRule="exact"/>
        <w:rPr>
          <w:sz w:val="20"/>
          <w:szCs w:val="20"/>
          <w:color w:val="auto"/>
        </w:rPr>
      </w:pPr>
    </w:p>
    <w:p>
      <w:pPr>
        <w:ind w:right="40" w:firstLine="457"/>
        <w:spacing w:after="0" w:line="312" w:lineRule="auto"/>
        <w:rPr>
          <w:sz w:val="20"/>
          <w:szCs w:val="20"/>
          <w:color w:val="auto"/>
        </w:rPr>
      </w:pPr>
      <w:r>
        <w:rPr>
          <w:rFonts w:ascii="Arial" w:cs="Arial" w:eastAsia="Arial" w:hAnsi="Arial"/>
          <w:sz w:val="15"/>
          <w:szCs w:val="15"/>
          <w:color w:val="auto"/>
        </w:rPr>
        <w:t>Total revenue in our East region increased $17.1 million, or 5.7%, in 2005 and $18.6 million, or 6.6%, in 2004. These increases are primarily attributable to increased rental rates and occupancy, acquisitions, and higher recoveries in 2005 related to increased snow removal costs. Growth in total revenue attributable to acquisitions was $2.9 million in 2005 and $9.8 million in 2004. The percentage leased was 97%, 96% and 94% at December 31, 2005, 2004, and 2003, respectively. The ratio of property operating income to total revenue was 71.3%, 69.3% and 69.4% in 2005, 2004 and 2003. The improvement in this ratio in 2005 is due primarily to increased rental rates and occupancy and lower bad debt expense and insurance premiums partially offset by increased real estate taxes.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277"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WEST</w:t>
      </w:r>
    </w:p>
    <w:p>
      <w:pPr>
        <w:spacing w:after="0" w:line="183" w:lineRule="exact"/>
        <w:rPr>
          <w:sz w:val="20"/>
          <w:szCs w:val="20"/>
          <w:color w:val="auto"/>
        </w:rPr>
      </w:pPr>
    </w:p>
    <w:p>
      <w:pPr>
        <w:ind w:right="360" w:firstLine="457"/>
        <w:spacing w:after="0" w:line="291" w:lineRule="auto"/>
        <w:rPr>
          <w:sz w:val="20"/>
          <w:szCs w:val="20"/>
          <w:color w:val="auto"/>
        </w:rPr>
      </w:pPr>
      <w:r>
        <w:rPr>
          <w:rFonts w:ascii="Arial" w:cs="Arial" w:eastAsia="Arial" w:hAnsi="Arial"/>
          <w:sz w:val="17"/>
          <w:szCs w:val="17"/>
          <w:color w:val="auto"/>
        </w:rPr>
        <w:t>The West region extends from Texas to the West Coast. As of December 31, 2005, 34 of our properties, including Santana Row, were located in the West region.</w:t>
      </w:r>
    </w:p>
    <w:p>
      <w:pPr>
        <w:spacing w:after="0" w:line="111"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color w:val="auto"/>
        </w:rPr>
        <w:t>Total revenue in our West region increased $7.8 million, or 9.4%, in 2005 and $21.0 million, or 33.6%, in 2004. These increases are primarily attributable to growth in total revenue at Santana Row as additional phases are brought into service and the acquisition of Westgate Mall in the first quarter of 2004. These increases in rental revenue were partially offset by decreases in fire insurance proceeds of $3.1 million and $5.0 million in 2005 and 2004 respectively. The insurance proceeds were included in rental income as they relate largely to lost rents on delayed openings of the residential and retail units and rental concessions to tenants due to the August 2002 fire at Santana Row. The percentage leased was 94%, 93% and 88% at December 31, 2005, 2004, and 2003, respectively. The ratio of property operating income to total revenue was 63.7%, 57.9% and 55.8% in 2005, 2004 and 2003, respectively. The improvement in this ratio is due primarily to increased occupancy at Santana Row and decreased operating expenses resulting from leasing, marketing and other start-up activities related to Santana Row.</w:t>
      </w:r>
    </w:p>
    <w:p>
      <w:pPr>
        <w:spacing w:after="0" w:line="105" w:lineRule="exact"/>
        <w:rPr>
          <w:sz w:val="20"/>
          <w:szCs w:val="20"/>
          <w:color w:val="auto"/>
        </w:rPr>
      </w:pPr>
    </w:p>
    <w:p>
      <w:pPr>
        <w:ind w:right="140" w:firstLine="457"/>
        <w:spacing w:after="0" w:line="291" w:lineRule="auto"/>
        <w:rPr>
          <w:sz w:val="20"/>
          <w:szCs w:val="20"/>
          <w:color w:val="auto"/>
        </w:rPr>
      </w:pPr>
      <w:r>
        <w:rPr>
          <w:rFonts w:ascii="Arial" w:cs="Arial" w:eastAsia="Arial" w:hAnsi="Arial"/>
          <w:sz w:val="17"/>
          <w:szCs w:val="17"/>
          <w:color w:val="auto"/>
        </w:rPr>
        <w:t>The overall return on investment in our West region is significantly less than the overall return on investment in our East region. This is due primarily to the following factors:</w:t>
      </w:r>
    </w:p>
    <w:p>
      <w:pPr>
        <w:spacing w:after="0" w:line="32" w:lineRule="exact"/>
        <w:rPr>
          <w:sz w:val="20"/>
          <w:szCs w:val="20"/>
          <w:color w:val="auto"/>
        </w:rPr>
      </w:pPr>
    </w:p>
    <w:p>
      <w:pPr>
        <w:ind w:left="800" w:hanging="341"/>
        <w:spacing w:after="0"/>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generally lower bases in our East properties,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current occupancy rates at Houston Street in San Antonio, Texas are below our portfolio average,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phasing into service of Santana Row.</w:t>
      </w:r>
    </w:p>
    <w:p>
      <w:pPr>
        <w:spacing w:after="0" w:line="177" w:lineRule="exact"/>
        <w:rPr>
          <w:sz w:val="20"/>
          <w:szCs w:val="20"/>
          <w:color w:val="auto"/>
        </w:rPr>
      </w:pPr>
    </w:p>
    <w:p>
      <w:pPr>
        <w:ind w:right="120" w:firstLine="457"/>
        <w:spacing w:after="0" w:line="291" w:lineRule="auto"/>
        <w:rPr>
          <w:sz w:val="20"/>
          <w:szCs w:val="20"/>
          <w:color w:val="auto"/>
        </w:rPr>
      </w:pPr>
      <w:r>
        <w:rPr>
          <w:rFonts w:ascii="Arial" w:cs="Arial" w:eastAsia="Arial" w:hAnsi="Arial"/>
          <w:sz w:val="17"/>
          <w:szCs w:val="17"/>
          <w:color w:val="auto"/>
        </w:rPr>
        <w:t>We expect that returns on investment in our West region will continue to rise as these projects come into service, but that they will not necessarily rise to the same level of overall returns that are generated in our East region.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3"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(including net capital gain) each year, as defined in the Code.</w:t>
      </w:r>
    </w:p>
    <w:p>
      <w:pPr>
        <w:spacing w:after="0" w:line="124"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2006 will depend upon acquisition opportunities, the level of improvements and redevelopments on existing properties and the timing and cost of development of future phases of existing properties.</w:t>
      </w:r>
    </w:p>
    <w:p>
      <w:pPr>
        <w:spacing w:after="0" w:line="133" w:lineRule="exact"/>
        <w:rPr>
          <w:sz w:val="20"/>
          <w:szCs w:val="20"/>
          <w:color w:val="auto"/>
        </w:rPr>
      </w:pPr>
    </w:p>
    <w:p>
      <w:pPr>
        <w:ind w:firstLine="457"/>
        <w:spacing w:after="0" w:line="301"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6" w:lineRule="exact"/>
        <w:rPr>
          <w:sz w:val="20"/>
          <w:szCs w:val="20"/>
          <w:color w:val="auto"/>
        </w:rPr>
      </w:pPr>
    </w:p>
    <w:p>
      <w:pPr>
        <w:ind w:right="300" w:firstLine="457"/>
        <w:spacing w:after="0" w:line="291" w:lineRule="auto"/>
        <w:rPr>
          <w:sz w:val="20"/>
          <w:szCs w:val="20"/>
          <w:color w:val="auto"/>
        </w:rPr>
      </w:pPr>
      <w:r>
        <w:rPr>
          <w:rFonts w:ascii="Arial" w:cs="Arial" w:eastAsia="Arial" w:hAnsi="Arial"/>
          <w:sz w:val="17"/>
          <w:szCs w:val="17"/>
          <w:color w:val="auto"/>
        </w:rPr>
        <w:t>The cash needed to execute our strategy and invest in new properties, as well as to pay our debt at maturity, must come from one or more of the following sources:</w:t>
      </w:r>
    </w:p>
    <w:p>
      <w:pPr>
        <w:spacing w:after="0" w:line="32" w:lineRule="exact"/>
        <w:rPr>
          <w:sz w:val="20"/>
          <w:szCs w:val="20"/>
          <w:color w:val="auto"/>
        </w:rPr>
      </w:pPr>
    </w:p>
    <w:p>
      <w:pPr>
        <w:ind w:left="800" w:hanging="341"/>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cash provided by operations that is not distributed to shareholders,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proceeds from the issuance of new debt or equity securities, or</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proceeds of property dispositions.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271" w:right="259" w:bottom="1440" w:gutter="0" w:footer="0" w:header="0"/>
        </w:sectPr>
      </w:pPr>
    </w:p>
    <w:bookmarkStart w:id="45" w:name="page46"/>
    <w:bookmarkEnd w:id="45"/>
    <w:p>
      <w:pPr>
        <w:jc w:val="both"/>
        <w:ind w:right="80" w:firstLine="457"/>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800" w:hanging="341"/>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additional equity offerings,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unsecured debt financing and/or mortgage financings, and</w:t>
      </w:r>
    </w:p>
    <w:p>
      <w:pPr>
        <w:spacing w:after="0" w:line="97" w:lineRule="exact"/>
        <w:rPr>
          <w:rFonts w:ascii="Arial" w:cs="Arial" w:eastAsia="Arial" w:hAnsi="Arial"/>
          <w:sz w:val="17"/>
          <w:szCs w:val="17"/>
          <w:color w:val="auto"/>
        </w:rPr>
      </w:pPr>
    </w:p>
    <w:p>
      <w:pPr>
        <w:ind w:left="800" w:right="300" w:hanging="341"/>
        <w:spacing w:after="0" w:line="291" w:lineRule="auto"/>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 debt and equity alternatives, including formation of joint ventures, in a manner consistent with our intention to operate with a conservative debt structure.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factors could affect our ability to meet our liquidity requirements:</w:t>
      </w:r>
    </w:p>
    <w:p>
      <w:pPr>
        <w:spacing w:after="0" w:line="97" w:lineRule="exact"/>
        <w:rPr>
          <w:sz w:val="20"/>
          <w:szCs w:val="20"/>
          <w:color w:val="auto"/>
        </w:rPr>
      </w:pPr>
    </w:p>
    <w:p>
      <w:pPr>
        <w:ind w:left="800" w:right="240" w:hanging="341"/>
        <w:spacing w:after="0" w:line="291"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be unable to obtain debt or equity financing on favorable terms, or at all, as a result of our financial condition or market conditions at the time we seek additional financing;</w:t>
      </w:r>
    </w:p>
    <w:p>
      <w:pPr>
        <w:spacing w:after="0" w:line="31" w:lineRule="exact"/>
        <w:rPr>
          <w:rFonts w:ascii="Arial" w:cs="Arial" w:eastAsia="Arial" w:hAnsi="Arial"/>
          <w:sz w:val="17"/>
          <w:szCs w:val="17"/>
          <w:color w:val="auto"/>
        </w:rPr>
      </w:pPr>
    </w:p>
    <w:p>
      <w:pPr>
        <w:ind w:left="800" w:right="120" w:hanging="341"/>
        <w:spacing w:after="0" w:line="291"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restrictions in our debt instruments or outstanding equity may prohibit us from incurring debt or issuing equity at all, or on acceptable terms under then-prevailing market conditions; and</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be unable to service additional or replacement debt due to increases in interest rates or a decline in our operating performance.</w:t>
      </w:r>
    </w:p>
    <w:p>
      <w:pPr>
        <w:spacing w:after="0" w:line="177" w:lineRule="exact"/>
        <w:rPr>
          <w:sz w:val="20"/>
          <w:szCs w:val="20"/>
          <w:color w:val="auto"/>
        </w:rPr>
      </w:pPr>
    </w:p>
    <w:p>
      <w:pPr>
        <w:ind w:firstLine="457"/>
        <w:spacing w:after="0" w:line="301" w:lineRule="auto"/>
        <w:rPr>
          <w:sz w:val="20"/>
          <w:szCs w:val="20"/>
          <w:color w:val="auto"/>
        </w:rPr>
      </w:pPr>
      <w:r>
        <w:rPr>
          <w:rFonts w:ascii="Arial" w:cs="Arial" w:eastAsia="Arial" w:hAnsi="Arial"/>
          <w:sz w:val="16"/>
          <w:szCs w:val="16"/>
          <w:color w:val="auto"/>
        </w:rPr>
        <w:t>Cash and cash equivalents were $8.6 million and $30.5 million at December 31, 2005 and December 31, 2004, respectively. Cash and cash equivalents are not a good indicator of our liquidity. We have a $300 million revolving credit facility, which we can utilize to initially finance the acquisition of properties and meet other short-term working capital requirements. This revolving credit facility matures in October 2006 however, we have a one-year extension option.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Cash Flows for 2005 and 2004</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59"/>
        </w:trPr>
        <w:tc>
          <w:tcPr>
            <w:tcW w:w="7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0"/>
        </w:trPr>
        <w:tc>
          <w:tcPr>
            <w:tcW w:w="7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0" w:lineRule="exact"/>
              <w:rPr>
                <w:sz w:val="20"/>
                <w:szCs w:val="20"/>
                <w:color w:val="auto"/>
              </w:rPr>
            </w:pPr>
            <w:r>
              <w:rPr>
                <w:rFonts w:ascii="Arial" w:cs="Arial" w:eastAsia="Arial" w:hAnsi="Arial"/>
                <w:sz w:val="13"/>
                <w:szCs w:val="13"/>
                <w:b w:val="1"/>
                <w:bCs w:val="1"/>
                <w:color w:val="auto"/>
              </w:rPr>
              <w:t>2005</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0" w:lineRule="exact"/>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spacing w:after="0" w:line="140" w:lineRule="exact"/>
              <w:rPr>
                <w:sz w:val="20"/>
                <w:szCs w:val="20"/>
                <w:color w:val="auto"/>
              </w:rPr>
            </w:pPr>
            <w:r>
              <w:rPr>
                <w:rFonts w:ascii="Arial" w:cs="Arial" w:eastAsia="Arial" w:hAnsi="Arial"/>
                <w:sz w:val="13"/>
                <w:szCs w:val="13"/>
                <w:b w:val="1"/>
                <w:bCs w:val="1"/>
                <w:color w:val="auto"/>
              </w:rPr>
              <w:t>(In thousands)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174,460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174,148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60" w:type="dxa"/>
            <w:vAlign w:val="bottom"/>
          </w:tcPr>
          <w:p>
            <w:pPr>
              <w:spacing w:after="0"/>
              <w:rPr>
                <w:sz w:val="20"/>
                <w:szCs w:val="20"/>
                <w:color w:val="auto"/>
              </w:rPr>
            </w:pPr>
            <w:r>
              <w:rPr>
                <w:rFonts w:ascii="Arial" w:cs="Arial" w:eastAsia="Arial" w:hAnsi="Arial"/>
                <w:sz w:val="17"/>
                <w:szCs w:val="17"/>
                <w:color w:val="auto"/>
              </w:rPr>
              <w:t>Cash used in investing activities</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w w:val="93"/>
              </w:rPr>
              <w:t>(152,249)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0"/>
              </w:rPr>
              <w:t>(157,611)</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Cash used in financing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(44,047)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(21,030)</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7"/>
                <w:szCs w:val="17"/>
                <w:color w:val="auto"/>
              </w:rPr>
              <w:t>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(21,836)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(4,493)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6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8,639</w:t>
            </w:r>
          </w:p>
        </w:tc>
        <w:tc>
          <w:tcPr>
            <w:tcW w:w="3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00" w:firstLine="457"/>
        <w:spacing w:after="0" w:line="291" w:lineRule="auto"/>
        <w:rPr>
          <w:sz w:val="20"/>
          <w:szCs w:val="20"/>
          <w:color w:val="auto"/>
        </w:rPr>
      </w:pPr>
      <w:r>
        <w:rPr>
          <w:rFonts w:ascii="Arial" w:cs="Arial" w:eastAsia="Arial" w:hAnsi="Arial"/>
          <w:sz w:val="17"/>
          <w:szCs w:val="17"/>
          <w:color w:val="auto"/>
        </w:rPr>
        <w:t>Net cash provided by operating activities increased by $0.3 million to $174.4 million during the year ended December 31, 2005 from $174.1 million during the year ended December 31, 2004. The increase was primarily attributable to:</w:t>
      </w:r>
    </w:p>
    <w:p>
      <w:pPr>
        <w:spacing w:after="0" w:line="32" w:lineRule="exact"/>
        <w:rPr>
          <w:sz w:val="20"/>
          <w:szCs w:val="20"/>
          <w:color w:val="auto"/>
        </w:rPr>
      </w:pPr>
    </w:p>
    <w:p>
      <w:pPr>
        <w:ind w:right="2400" w:firstLine="459"/>
        <w:spacing w:after="0" w:line="359" w:lineRule="auto"/>
        <w:tabs>
          <w:tab w:leader="none" w:pos="7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$15.9 million higher net income before gain on sale of real estate, depreciation and amortization, and minority interest; mostly offset by</w:t>
      </w:r>
    </w:p>
    <w:p>
      <w:pPr>
        <w:ind w:left="800" w:hanging="341"/>
        <w:spacing w:after="0"/>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$15.8 million increased use of cash for working capital due mainly to higher prepaid and other asset balances.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277" w:right="239" w:bottom="1440" w:gutter="0" w:footer="0" w:header="0"/>
        </w:sectPr>
      </w:pPr>
    </w:p>
    <w:bookmarkStart w:id="46" w:name="page47"/>
    <w:bookmarkEnd w:id="46"/>
    <w:p>
      <w:pPr>
        <w:ind w:right="160" w:firstLine="457"/>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Net cash used in investing activities decreased approximately $5.4 million to $152.2 million during the year ended December 31, 2005 from $157.6 million during the year ended December 31, 2004. The decrease was primarily attributable to:</w:t>
      </w:r>
    </w:p>
    <w:p>
      <w:pPr>
        <w:spacing w:after="0" w:line="32" w:lineRule="exact"/>
        <w:rPr>
          <w:sz w:val="20"/>
          <w:szCs w:val="20"/>
          <w:color w:val="auto"/>
        </w:rPr>
      </w:pPr>
    </w:p>
    <w:p>
      <w:pPr>
        <w:ind w:left="800" w:hanging="341"/>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$57.0 million increase in proceeds from the sale of real estate;</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$13.0 million increased cash from net payoff of mortgage and other note receivables;</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$9.4 million capital contribution to a real estate partnership in 2004;</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$4.8 million decrease in acquisitions of real estate;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97" w:lineRule="exact"/>
        <w:rPr>
          <w:sz w:val="20"/>
          <w:szCs w:val="20"/>
          <w:color w:val="auto"/>
        </w:rPr>
      </w:pPr>
    </w:p>
    <w:p>
      <w:pPr>
        <w:ind w:left="800" w:hanging="341"/>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$78.2 million increase in capital expenditures primarily due to an increase in development and redevelopment activities.</w:t>
      </w:r>
    </w:p>
    <w:p>
      <w:pPr>
        <w:spacing w:after="0" w:line="177" w:lineRule="exact"/>
        <w:rPr>
          <w:sz w:val="20"/>
          <w:szCs w:val="20"/>
          <w:color w:val="auto"/>
        </w:rPr>
      </w:pPr>
    </w:p>
    <w:p>
      <w:pPr>
        <w:ind w:right="260" w:firstLine="457"/>
        <w:spacing w:after="0" w:line="291" w:lineRule="auto"/>
        <w:rPr>
          <w:sz w:val="20"/>
          <w:szCs w:val="20"/>
          <w:color w:val="auto"/>
        </w:rPr>
      </w:pPr>
      <w:r>
        <w:rPr>
          <w:rFonts w:ascii="Arial" w:cs="Arial" w:eastAsia="Arial" w:hAnsi="Arial"/>
          <w:sz w:val="17"/>
          <w:szCs w:val="17"/>
          <w:color w:val="auto"/>
        </w:rPr>
        <w:t>Net cash used in financing activities increased approximately $23.0 million to $44.0 million during the year ended December 31, 2005 from $21.0 million during the year ended December 31, 2004. The increase was primarily attributable to:</w:t>
      </w:r>
    </w:p>
    <w:p>
      <w:pPr>
        <w:spacing w:after="0" w:line="32" w:lineRule="exact"/>
        <w:rPr>
          <w:sz w:val="20"/>
          <w:szCs w:val="20"/>
          <w:color w:val="auto"/>
        </w:rPr>
      </w:pPr>
    </w:p>
    <w:p>
      <w:pPr>
        <w:ind w:left="800" w:hanging="341"/>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$99.0 million in net proceeds from the issuance of common shares in a public offering in 2004;</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$21.7 million increase in dividends paid to shareholders;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97" w:lineRule="exact"/>
        <w:rPr>
          <w:sz w:val="20"/>
          <w:szCs w:val="20"/>
          <w:color w:val="auto"/>
        </w:rPr>
      </w:pPr>
    </w:p>
    <w:p>
      <w:pPr>
        <w:ind w:left="800" w:hanging="341"/>
        <w:spacing w:after="0"/>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$45.3 million decrease in net payments on our revolving credit facility;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$49.0 million increase in net proceeds from the issuance of senior debentures.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97"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Other than the joint venture funding commitments described in the next paragraph and items disclosed in the Contractual Commitments Table below, we have no off-balance sheet arrangements as of December 31, 2005 that are reasonably likely to have a current or future material effect on our financial condition, changes in our financial condition, revenues or expenses, results of operations, liquidity, capital expenditures or capital resources.</w:t>
      </w:r>
    </w:p>
    <w:p>
      <w:pPr>
        <w:spacing w:after="0" w:line="124"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In July 2004, we entered into a joint venture arrangement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$42 million and $98 million, respectively, of equity capital to acquire properties with a targeted investment date through June 2006.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In 2004 the venture acquired four shopping centers in the East for $75.8 million. We account for our interest in the partnership using the equity method. In total, at December 31, 2005, the partnership had $47.2 million of mortgage notes outstanding.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277"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Contractual Commitments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summary of our fixed, noncancelable obligations as of December 31,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8"/>
          </w:tcPr>
          <w:p>
            <w:pPr>
              <w:jc w:val="right"/>
              <w:ind w:right="556"/>
              <w:spacing w:after="0"/>
              <w:rPr>
                <w:sz w:val="20"/>
                <w:szCs w:val="20"/>
                <w:color w:val="auto"/>
              </w:rPr>
            </w:pPr>
            <w:r>
              <w:rPr>
                <w:rFonts w:ascii="Arial" w:cs="Arial" w:eastAsia="Arial" w:hAnsi="Arial"/>
                <w:sz w:val="13"/>
                <w:szCs w:val="13"/>
                <w:b w:val="1"/>
                <w:bCs w:val="1"/>
                <w:color w:val="auto"/>
              </w:rPr>
              <w:t>Commitments Due by Period</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27"/>
        </w:trPr>
        <w:tc>
          <w:tcPr>
            <w:tcW w:w="6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3"/>
              </w:rPr>
              <w:t>Less Than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18"/>
              <w:spacing w:after="0" w:line="127" w:lineRule="exact"/>
              <w:rPr>
                <w:sz w:val="20"/>
                <w:szCs w:val="20"/>
                <w:color w:val="auto"/>
              </w:rPr>
            </w:pPr>
            <w:r>
              <w:rPr>
                <w:rFonts w:ascii="Arial" w:cs="Arial" w:eastAsia="Arial" w:hAnsi="Arial"/>
                <w:sz w:val="13"/>
                <w:szCs w:val="13"/>
                <w:b w:val="1"/>
                <w:bCs w:val="1"/>
                <w:color w:val="auto"/>
              </w:rPr>
              <w:t>After 5</w:t>
            </w:r>
          </w:p>
        </w:tc>
      </w:tr>
      <w:tr>
        <w:trPr>
          <w:trHeight w:val="172"/>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1 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1-3 Years</w:t>
            </w:r>
          </w:p>
        </w:tc>
        <w:tc>
          <w:tcPr>
            <w:tcW w:w="120" w:type="dxa"/>
            <w:vAlign w:val="bottom"/>
          </w:tcPr>
          <w:p>
            <w:pPr>
              <w:spacing w:after="0"/>
              <w:rPr>
                <w:sz w:val="14"/>
                <w:szCs w:val="14"/>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b w:val="1"/>
                <w:bCs w:val="1"/>
                <w:color w:val="auto"/>
                <w:w w:val="89"/>
              </w:rPr>
              <w:t>4-5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58"/>
              <w:spacing w:after="0"/>
              <w:rPr>
                <w:sz w:val="20"/>
                <w:szCs w:val="20"/>
                <w:color w:val="auto"/>
              </w:rPr>
            </w:pPr>
            <w:r>
              <w:rPr>
                <w:rFonts w:ascii="Arial" w:cs="Arial" w:eastAsia="Arial" w:hAnsi="Arial"/>
                <w:sz w:val="13"/>
                <w:szCs w:val="13"/>
                <w:b w:val="1"/>
                <w:bCs w:val="1"/>
                <w:color w:val="auto"/>
              </w:rPr>
              <w:t>Years</w:t>
            </w:r>
          </w:p>
        </w:tc>
      </w:tr>
      <w:tr>
        <w:trPr>
          <w:trHeight w:val="140"/>
        </w:trPr>
        <w:tc>
          <w:tcPr>
            <w:tcW w:w="6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b w:val="1"/>
                <w:bCs w:val="1"/>
                <w:color w:val="auto"/>
                <w:w w:val="87"/>
              </w:rPr>
              <w:t>(In thousands)</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Current and long-term debt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1,243,153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199,834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318,647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189,446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535,226</w:t>
            </w:r>
          </w:p>
        </w:tc>
      </w:tr>
      <w:tr>
        <w:trPr>
          <w:trHeight w:val="213"/>
        </w:trPr>
        <w:tc>
          <w:tcPr>
            <w:tcW w:w="6400" w:type="dxa"/>
            <w:vAlign w:val="bottom"/>
          </w:tcPr>
          <w:p>
            <w:pPr>
              <w:spacing w:after="0"/>
              <w:rPr>
                <w:sz w:val="20"/>
                <w:szCs w:val="20"/>
                <w:color w:val="auto"/>
              </w:rPr>
            </w:pPr>
            <w:r>
              <w:rPr>
                <w:rFonts w:ascii="Arial" w:cs="Arial" w:eastAsia="Arial" w:hAnsi="Arial"/>
                <w:sz w:val="17"/>
                <w:szCs w:val="17"/>
                <w:color w:val="auto"/>
              </w:rPr>
              <w:t>Capital lease obligations, principal only</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148,815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2,792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141,344</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285,444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9,182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262,645</w:t>
            </w:r>
          </w:p>
        </w:tc>
      </w:tr>
      <w:tr>
        <w:trPr>
          <w:trHeight w:val="213"/>
        </w:trPr>
        <w:tc>
          <w:tcPr>
            <w:tcW w:w="6400" w:type="dxa"/>
            <w:vAlign w:val="bottom"/>
          </w:tcPr>
          <w:p>
            <w:pPr>
              <w:spacing w:after="0"/>
              <w:rPr>
                <w:sz w:val="20"/>
                <w:szCs w:val="20"/>
                <w:color w:val="auto"/>
              </w:rPr>
            </w:pPr>
            <w:r>
              <w:rPr>
                <w:rFonts w:ascii="Arial" w:cs="Arial" w:eastAsia="Arial" w:hAnsi="Arial"/>
                <w:sz w:val="17"/>
                <w:szCs w:val="17"/>
                <w:color w:val="auto"/>
              </w:rPr>
              <w:t>Real estate commitments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134,287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69,267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5,020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60,000</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Development and redevelopment obligations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47,670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2,145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400" w:type="dxa"/>
            <w:vAlign w:val="bottom"/>
          </w:tcPr>
          <w:p>
            <w:pPr>
              <w:spacing w:after="0"/>
              <w:rPr>
                <w:sz w:val="20"/>
                <w:szCs w:val="20"/>
                <w:color w:val="auto"/>
              </w:rPr>
            </w:pPr>
            <w:r>
              <w:rPr>
                <w:rFonts w:ascii="Arial" w:cs="Arial" w:eastAsia="Arial" w:hAnsi="Arial"/>
                <w:sz w:val="17"/>
                <w:szCs w:val="17"/>
                <w:color w:val="auto"/>
              </w:rPr>
              <w:t>Restaurant joint ventures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Contractual operating obligations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400" w:type="dxa"/>
            <w:vAlign w:val="bottom"/>
          </w:tcPr>
          <w:p>
            <w:pPr>
              <w:spacing w:after="0"/>
              <w:rPr>
                <w:sz w:val="20"/>
                <w:szCs w:val="20"/>
                <w:color w:val="auto"/>
              </w:rPr>
            </w:pPr>
            <w:r>
              <w:rPr>
                <w:rFonts w:ascii="Arial" w:cs="Arial" w:eastAsia="Arial" w:hAnsi="Arial"/>
                <w:sz w:val="17"/>
                <w:szCs w:val="17"/>
                <w:color w:val="auto"/>
              </w:rPr>
              <w:t>Total contractual cash obligations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1,871,567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330,345</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339,954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202,053</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999,215</w:t>
            </w:r>
          </w:p>
        </w:tc>
      </w:tr>
      <w:tr>
        <w:trPr>
          <w:trHeight w:val="20"/>
        </w:trPr>
        <w:tc>
          <w:tcPr>
            <w:tcW w:w="6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amounts set forth in the table above, the following potential commitments exist:</w:t>
      </w:r>
    </w:p>
    <w:p>
      <w:pPr>
        <w:spacing w:after="0" w:line="97" w:lineRule="exact"/>
        <w:rPr>
          <w:sz w:val="20"/>
          <w:szCs w:val="20"/>
          <w:color w:val="auto"/>
        </w:rPr>
      </w:pPr>
    </w:p>
    <w:p>
      <w:pPr>
        <w:ind w:left="460" w:firstLine="441"/>
        <w:spacing w:after="0" w:line="271" w:lineRule="auto"/>
        <w:tabs>
          <w:tab w:leader="none" w:pos="1133"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2005, our estimated maximum liability upon exercise of the put option would range from approximately $40 million to $45 million.</w:t>
      </w:r>
    </w:p>
    <w:p>
      <w:pPr>
        <w:spacing w:after="0" w:line="48" w:lineRule="exact"/>
        <w:rPr>
          <w:rFonts w:ascii="Arial" w:cs="Arial" w:eastAsia="Arial" w:hAnsi="Arial"/>
          <w:sz w:val="17"/>
          <w:szCs w:val="17"/>
          <w:color w:val="auto"/>
        </w:rPr>
      </w:pPr>
    </w:p>
    <w:p>
      <w:pPr>
        <w:ind w:left="460" w:right="40" w:firstLine="441"/>
        <w:spacing w:after="0" w:line="289" w:lineRule="auto"/>
        <w:tabs>
          <w:tab w:leader="none" w:pos="11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$29.0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our common shares or, subject to certain conditions, cash. In those partnerships, if the other partners do not redeem their interests, we may choose to purchase the limited partnership interests upon the same terms.</w:t>
      </w:r>
    </w:p>
    <w:p>
      <w:pPr>
        <w:spacing w:after="0" w:line="36" w:lineRule="exact"/>
        <w:rPr>
          <w:rFonts w:ascii="Arial" w:cs="Arial" w:eastAsia="Arial" w:hAnsi="Arial"/>
          <w:sz w:val="16"/>
          <w:szCs w:val="16"/>
          <w:color w:val="auto"/>
        </w:rPr>
      </w:pPr>
    </w:p>
    <w:p>
      <w:pPr>
        <w:ind w:left="460" w:right="40" w:firstLine="441"/>
        <w:spacing w:after="0" w:line="282" w:lineRule="auto"/>
        <w:tabs>
          <w:tab w:leader="none" w:pos="1133"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We estimate our total obligation under the Agreement to be in the range of $1.6 million to $3.0 million. In 2005, 2004 and 2003, we funded approximately $0.3 million, $ 0.4 million and $0.4 million, respectively. In anticipation of further shortfalls of incremental tax revenues to the City, we have accrued approximately $0.4 million as of December 31, 2005 to cover additional payments we may be obligated to make as part of the project costs. Prior to the expiration of the Agreement on September 30, 2014, we could be required to provide funding beyond the $0.4 million currently accrued. However, we do not anticipate that our obligation would exceed $0.6 million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43" w:lineRule="exact"/>
        <w:rPr>
          <w:rFonts w:ascii="Arial" w:cs="Arial" w:eastAsia="Arial" w:hAnsi="Arial"/>
          <w:sz w:val="16"/>
          <w:szCs w:val="16"/>
          <w:color w:val="auto"/>
        </w:rPr>
      </w:pPr>
    </w:p>
    <w:p>
      <w:pPr>
        <w:ind w:left="460" w:right="340" w:firstLine="441"/>
        <w:spacing w:after="0" w:line="324" w:lineRule="auto"/>
        <w:tabs>
          <w:tab w:leader="none" w:pos="11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for entities, the partners have the right to exchange their operating units for cash or the same number of our common shares, at our option. As of December 31, 2005, a total of 420,426 operating units are outstanding.</w:t>
      </w:r>
    </w:p>
    <w:p>
      <w:pPr>
        <w:spacing w:after="0" w:line="8" w:lineRule="exact"/>
        <w:rPr>
          <w:rFonts w:ascii="Arial" w:cs="Arial" w:eastAsia="Arial" w:hAnsi="Arial"/>
          <w:sz w:val="16"/>
          <w:szCs w:val="16"/>
          <w:color w:val="auto"/>
        </w:rPr>
      </w:pPr>
    </w:p>
    <w:p>
      <w:pPr>
        <w:ind w:left="460" w:right="540" w:firstLine="441"/>
        <w:spacing w:after="0" w:line="291" w:lineRule="auto"/>
        <w:tabs>
          <w:tab w:leader="none" w:pos="113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addition to our contractual obligations, we have other short-term liquidity requirements consisting primarily of normal recurring operating expenses, regular debt service requirements (including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277" w:right="239" w:bottom="1440" w:gutter="0" w:footer="0" w:header="0"/>
        </w:sectPr>
      </w:pPr>
    </w:p>
    <w:bookmarkStart w:id="48" w:name="page49"/>
    <w:bookmarkEnd w:id="48"/>
    <w:p>
      <w:pPr>
        <w:ind w:left="460"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 and Assembly Square.</w:t>
      </w:r>
    </w:p>
    <w:p>
      <w:pPr>
        <w:spacing w:after="0" w:line="53" w:lineRule="exact"/>
        <w:rPr>
          <w:sz w:val="20"/>
          <w:szCs w:val="20"/>
          <w:color w:val="auto"/>
        </w:rPr>
      </w:pPr>
    </w:p>
    <w:p>
      <w:pPr>
        <w:ind w:left="460" w:right="240" w:firstLine="441"/>
        <w:spacing w:after="0" w:line="301" w:lineRule="auto"/>
        <w:tabs>
          <w:tab w:leader="none" w:pos="1114"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are the guarantor for the “non-recourse carve outs” under mortgage notes totaling $36.7 million that are secured by three properties owned by subsidiaries of our unconsolidated joint venture with affiliates of Clarion Lion Properties Fund, a discretionary fund created and advised by ING Clarion Partners. We are not guaranteeing the debt itself. The joint venture indemnifies us for any loss we incur under these guarantees.</w:t>
      </w:r>
    </w:p>
    <w:p>
      <w:pPr>
        <w:spacing w:after="0" w:line="26" w:lineRule="exact"/>
        <w:rPr>
          <w:rFonts w:ascii="Arial" w:cs="Arial" w:eastAsia="Arial" w:hAnsi="Arial"/>
          <w:sz w:val="16"/>
          <w:szCs w:val="16"/>
          <w:color w:val="auto"/>
        </w:rPr>
      </w:pPr>
    </w:p>
    <w:p>
      <w:pPr>
        <w:jc w:val="both"/>
        <w:ind w:left="460" w:right="40" w:firstLine="441"/>
        <w:spacing w:after="0" w:line="276" w:lineRule="auto"/>
        <w:tabs>
          <w:tab w:leader="none" w:pos="11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Upon completion on or around June 1, 2006, we expect to take possession of approximately 37,000 square feet of retail space under a capital lease. The term of the capital lease is 99 years from the date of possession and requires annual cash payments of approximately $374,000 and will be adjusted every 20 years based on the Consumer Price Index and other factors.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Financing Arrangements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our total debt outstanding as of December 31, 2005: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3"/>
          </w:tcPr>
          <w:p>
            <w:pPr>
              <w:jc w:val="center"/>
              <w:ind w:right="493"/>
              <w:spacing w:after="0"/>
              <w:rPr>
                <w:sz w:val="20"/>
                <w:szCs w:val="20"/>
                <w:color w:val="auto"/>
              </w:rPr>
            </w:pPr>
            <w:r>
              <w:rPr>
                <w:rFonts w:ascii="Arial" w:cs="Arial" w:eastAsia="Arial" w:hAnsi="Arial"/>
                <w:sz w:val="13"/>
                <w:szCs w:val="13"/>
                <w:b w:val="1"/>
                <w:bCs w:val="1"/>
                <w:color w:val="auto"/>
                <w:w w:val="97"/>
              </w:rPr>
              <w:t>Original</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Principal Balance</w:t>
            </w:r>
          </w:p>
        </w:tc>
        <w:tc>
          <w:tcPr>
            <w:tcW w:w="540" w:type="dxa"/>
            <w:vAlign w:val="bottom"/>
          </w:tcPr>
          <w:p>
            <w:pPr>
              <w:spacing w:after="0"/>
              <w:rPr>
                <w:sz w:val="13"/>
                <w:szCs w:val="13"/>
                <w:color w:val="auto"/>
              </w:rPr>
            </w:pPr>
          </w:p>
        </w:tc>
        <w:tc>
          <w:tcPr>
            <w:tcW w:w="17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3"/>
              </w:rPr>
              <w:t>Interest Rate</w:t>
            </w:r>
          </w:p>
        </w:tc>
        <w:tc>
          <w:tcPr>
            <w:tcW w:w="92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573"/>
              <w:spacing w:after="0" w:line="146" w:lineRule="exact"/>
              <w:rPr>
                <w:sz w:val="20"/>
                <w:szCs w:val="20"/>
                <w:color w:val="auto"/>
              </w:rPr>
            </w:pPr>
            <w:r>
              <w:rPr>
                <w:rFonts w:ascii="Arial" w:cs="Arial" w:eastAsia="Arial" w:hAnsi="Arial"/>
                <w:sz w:val="13"/>
                <w:szCs w:val="13"/>
                <w:b w:val="1"/>
                <w:bCs w:val="1"/>
                <w:color w:val="auto"/>
                <w:w w:val="96"/>
              </w:rPr>
              <w:t>Debt</w:t>
            </w:r>
          </w:p>
        </w:tc>
        <w:tc>
          <w:tcPr>
            <w:tcW w:w="240" w:type="dxa"/>
            <w:vAlign w:val="bottom"/>
          </w:tcPr>
          <w:p>
            <w:pPr>
              <w:spacing w:after="0"/>
              <w:rPr>
                <w:sz w:val="12"/>
                <w:szCs w:val="12"/>
                <w:color w:val="auto"/>
              </w:rPr>
            </w:pPr>
          </w:p>
        </w:tc>
        <w:tc>
          <w:tcPr>
            <w:tcW w:w="840" w:type="dxa"/>
            <w:vAlign w:val="bottom"/>
          </w:tcPr>
          <w:p>
            <w:pPr>
              <w:jc w:val="right"/>
              <w:ind w:right="353"/>
              <w:spacing w:after="0" w:line="146" w:lineRule="exact"/>
              <w:rPr>
                <w:sz w:val="20"/>
                <w:szCs w:val="20"/>
                <w:color w:val="auto"/>
              </w:rPr>
            </w:pPr>
            <w:r>
              <w:rPr>
                <w:rFonts w:ascii="Arial" w:cs="Arial" w:eastAsia="Arial" w:hAnsi="Arial"/>
                <w:sz w:val="13"/>
                <w:szCs w:val="13"/>
                <w:b w:val="1"/>
                <w:bCs w:val="1"/>
                <w:color w:val="auto"/>
              </w:rPr>
              <w:t>as of</w:t>
            </w:r>
          </w:p>
        </w:tc>
        <w:tc>
          <w:tcPr>
            <w:tcW w:w="540" w:type="dxa"/>
            <w:vAlign w:val="bottom"/>
          </w:tcPr>
          <w:p>
            <w:pPr>
              <w:spacing w:after="0"/>
              <w:rPr>
                <w:sz w:val="12"/>
                <w:szCs w:val="12"/>
                <w:color w:val="auto"/>
              </w:rPr>
            </w:pPr>
          </w:p>
        </w:tc>
        <w:tc>
          <w:tcPr>
            <w:tcW w:w="174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92"/>
              </w:rPr>
              <w:t>as of</w:t>
            </w:r>
          </w:p>
        </w:tc>
        <w:tc>
          <w:tcPr>
            <w:tcW w:w="920" w:type="dxa"/>
            <w:vAlign w:val="bottom"/>
          </w:tcPr>
          <w:p>
            <w:pPr>
              <w:spacing w:after="0"/>
              <w:rPr>
                <w:sz w:val="12"/>
                <w:szCs w:val="12"/>
                <w:color w:val="auto"/>
              </w:rPr>
            </w:pPr>
          </w:p>
        </w:tc>
      </w:tr>
      <w:tr>
        <w:trPr>
          <w:trHeight w:val="166"/>
        </w:trPr>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Description of Debt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573"/>
              <w:spacing w:after="0"/>
              <w:rPr>
                <w:sz w:val="20"/>
                <w:szCs w:val="20"/>
                <w:color w:val="auto"/>
              </w:rPr>
            </w:pPr>
            <w:r>
              <w:rPr>
                <w:rFonts w:ascii="Arial" w:cs="Arial" w:eastAsia="Arial" w:hAnsi="Arial"/>
                <w:sz w:val="13"/>
                <w:szCs w:val="13"/>
                <w:b w:val="1"/>
                <w:bCs w:val="1"/>
                <w:color w:val="auto"/>
                <w:w w:val="87"/>
              </w:rPr>
              <w:t>Issued</w:t>
            </w: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w w:val="90"/>
              </w:rPr>
              <w:t>December 31, 2005</w:t>
            </w:r>
          </w:p>
        </w:tc>
        <w:tc>
          <w:tcPr>
            <w:tcW w:w="540" w:type="dxa"/>
            <w:vAlign w:val="bottom"/>
          </w:tcPr>
          <w:p>
            <w:pPr>
              <w:spacing w:after="0"/>
              <w:rPr>
                <w:sz w:val="14"/>
                <w:szCs w:val="14"/>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2"/>
              </w:rPr>
              <w:t>December 31, 2005</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Maturity Date</w:t>
            </w:r>
          </w:p>
        </w:tc>
      </w:tr>
      <w:tr>
        <w:trPr>
          <w:trHeight w:val="146"/>
        </w:trPr>
        <w:tc>
          <w:tcPr>
            <w:tcW w:w="20" w:type="dxa"/>
            <w:vAlign w:val="bottom"/>
          </w:tcPr>
          <w:p>
            <w:pPr>
              <w:spacing w:after="0"/>
              <w:rPr>
                <w:sz w:val="12"/>
                <w:szCs w:val="12"/>
                <w:color w:val="auto"/>
              </w:rPr>
            </w:pPr>
          </w:p>
        </w:tc>
        <w:tc>
          <w:tcPr>
            <w:tcW w:w="54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Pr>
          <w:p>
            <w:pPr>
              <w:spacing w:after="0" w:line="146" w:lineRule="exact"/>
              <w:rPr>
                <w:sz w:val="20"/>
                <w:szCs w:val="20"/>
                <w:color w:val="auto"/>
              </w:rPr>
            </w:pPr>
            <w:r>
              <w:rPr>
                <w:rFonts w:ascii="Arial" w:cs="Arial" w:eastAsia="Arial" w:hAnsi="Arial"/>
                <w:sz w:val="13"/>
                <w:szCs w:val="13"/>
                <w:b w:val="1"/>
                <w:bCs w:val="1"/>
                <w:color w:val="auto"/>
                <w:w w:val="81"/>
              </w:rPr>
              <w:t>(Dollars in</w:t>
            </w:r>
          </w:p>
        </w:tc>
        <w:tc>
          <w:tcPr>
            <w:tcW w:w="108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thousands)</w:t>
            </w:r>
          </w:p>
        </w:tc>
        <w:tc>
          <w:tcPr>
            <w:tcW w:w="5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Mortgage Loans (1)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460" w:type="dxa"/>
            <w:vAlign w:val="bottom"/>
          </w:tcPr>
          <w:p>
            <w:pPr>
              <w:ind w:left="200"/>
              <w:spacing w:after="0" w:line="146" w:lineRule="exact"/>
              <w:rPr>
                <w:sz w:val="20"/>
                <w:szCs w:val="20"/>
                <w:color w:val="auto"/>
              </w:rPr>
            </w:pPr>
            <w:r>
              <w:rPr>
                <w:rFonts w:ascii="Arial" w:cs="Arial" w:eastAsia="Arial" w:hAnsi="Arial"/>
                <w:sz w:val="13"/>
                <w:szCs w:val="13"/>
                <w:i w:val="1"/>
                <w:iCs w:val="1"/>
                <w:color w:val="auto"/>
              </w:rPr>
              <w:t>Secured Fixed Rate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Leesburg Plaza</w:t>
            </w:r>
          </w:p>
        </w:tc>
        <w:tc>
          <w:tcPr>
            <w:tcW w:w="6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9,900</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9,881</w:t>
            </w:r>
          </w:p>
        </w:tc>
        <w:tc>
          <w:tcPr>
            <w:tcW w:w="2280" w:type="dxa"/>
            <w:vAlign w:val="bottom"/>
            <w:gridSpan w:val="3"/>
            <w:shd w:val="clear" w:color="auto" w:fill="CCEEFF"/>
          </w:tcPr>
          <w:p>
            <w:pPr>
              <w:jc w:val="right"/>
              <w:ind w:right="560"/>
              <w:spacing w:after="0" w:line="146" w:lineRule="exact"/>
              <w:rPr>
                <w:sz w:val="20"/>
                <w:szCs w:val="20"/>
                <w:color w:val="auto"/>
              </w:rPr>
            </w:pPr>
            <w:r>
              <w:rPr>
                <w:rFonts w:ascii="Arial" w:cs="Arial" w:eastAsia="Arial" w:hAnsi="Arial"/>
                <w:sz w:val="13"/>
                <w:szCs w:val="13"/>
                <w:color w:val="auto"/>
              </w:rPr>
              <w:t>6.510%</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October 1, 2008</w:t>
            </w:r>
          </w:p>
        </w:tc>
      </w:tr>
      <w:tr>
        <w:trPr>
          <w:trHeight w:val="146"/>
        </w:trPr>
        <w:tc>
          <w:tcPr>
            <w:tcW w:w="20" w:type="dxa"/>
            <w:vAlign w:val="bottom"/>
          </w:tcPr>
          <w:p>
            <w:pPr>
              <w:spacing w:after="0"/>
              <w:rPr>
                <w:sz w:val="12"/>
                <w:szCs w:val="12"/>
                <w:color w:val="auto"/>
              </w:rPr>
            </w:pPr>
          </w:p>
        </w:tc>
        <w:tc>
          <w:tcPr>
            <w:tcW w:w="5460" w:type="dxa"/>
            <w:vAlign w:val="bottom"/>
          </w:tcPr>
          <w:p>
            <w:pPr>
              <w:ind w:left="420"/>
              <w:spacing w:after="0" w:line="146" w:lineRule="exact"/>
              <w:rPr>
                <w:sz w:val="20"/>
                <w:szCs w:val="20"/>
                <w:color w:val="auto"/>
              </w:rPr>
            </w:pPr>
            <w:r>
              <w:rPr>
                <w:rFonts w:ascii="Arial" w:cs="Arial" w:eastAsia="Arial" w:hAnsi="Arial"/>
                <w:sz w:val="13"/>
                <w:szCs w:val="13"/>
                <w:color w:val="auto"/>
              </w:rPr>
              <w:t>164 E. Houston Street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345</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145</w:t>
            </w:r>
          </w:p>
        </w:tc>
        <w:tc>
          <w:tcPr>
            <w:tcW w:w="2280" w:type="dxa"/>
            <w:vAlign w:val="bottom"/>
            <w:gridSpan w:val="3"/>
          </w:tcPr>
          <w:p>
            <w:pPr>
              <w:jc w:val="right"/>
              <w:ind w:right="560"/>
              <w:spacing w:after="0" w:line="146" w:lineRule="exact"/>
              <w:rPr>
                <w:sz w:val="20"/>
                <w:szCs w:val="20"/>
                <w:color w:val="auto"/>
              </w:rPr>
            </w:pPr>
            <w:r>
              <w:rPr>
                <w:rFonts w:ascii="Arial" w:cs="Arial" w:eastAsia="Arial" w:hAnsi="Arial"/>
                <w:sz w:val="13"/>
                <w:szCs w:val="13"/>
                <w:color w:val="auto"/>
              </w:rPr>
              <w:t>7.500%</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w w:val="96"/>
              </w:rPr>
              <w:t>October 6, 2008</w:t>
            </w: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Mercer Mall</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Acquired</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4,578</w:t>
            </w:r>
          </w:p>
        </w:tc>
        <w:tc>
          <w:tcPr>
            <w:tcW w:w="2280" w:type="dxa"/>
            <w:vAlign w:val="bottom"/>
            <w:gridSpan w:val="3"/>
            <w:shd w:val="clear" w:color="auto" w:fill="CCEEFF"/>
          </w:tcPr>
          <w:p>
            <w:pPr>
              <w:jc w:val="right"/>
              <w:ind w:right="560"/>
              <w:spacing w:after="0" w:line="146" w:lineRule="exact"/>
              <w:rPr>
                <w:sz w:val="20"/>
                <w:szCs w:val="20"/>
                <w:color w:val="auto"/>
              </w:rPr>
            </w:pPr>
            <w:r>
              <w:rPr>
                <w:rFonts w:ascii="Arial" w:cs="Arial" w:eastAsia="Arial" w:hAnsi="Arial"/>
                <w:sz w:val="13"/>
                <w:szCs w:val="13"/>
                <w:color w:val="auto"/>
              </w:rPr>
              <w:t>8.375%</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April 1, 2009</w:t>
            </w:r>
          </w:p>
        </w:tc>
      </w:tr>
      <w:tr>
        <w:trPr>
          <w:trHeight w:val="146"/>
        </w:trPr>
        <w:tc>
          <w:tcPr>
            <w:tcW w:w="20" w:type="dxa"/>
            <w:vAlign w:val="bottom"/>
          </w:tcPr>
          <w:p>
            <w:pPr>
              <w:spacing w:after="0"/>
              <w:rPr>
                <w:sz w:val="12"/>
                <w:szCs w:val="12"/>
                <w:color w:val="auto"/>
              </w:rPr>
            </w:pPr>
          </w:p>
        </w:tc>
        <w:tc>
          <w:tcPr>
            <w:tcW w:w="5460" w:type="dxa"/>
            <w:vAlign w:val="bottom"/>
          </w:tcPr>
          <w:p>
            <w:pPr>
              <w:ind w:left="420"/>
              <w:spacing w:after="0" w:line="146" w:lineRule="exact"/>
              <w:rPr>
                <w:sz w:val="20"/>
                <w:szCs w:val="20"/>
                <w:color w:val="auto"/>
              </w:rPr>
            </w:pPr>
            <w:r>
              <w:rPr>
                <w:rFonts w:ascii="Arial" w:cs="Arial" w:eastAsia="Arial" w:hAnsi="Arial"/>
                <w:sz w:val="13"/>
                <w:szCs w:val="13"/>
                <w:color w:val="auto"/>
              </w:rPr>
              <w:t>Federal Plaza</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36,500</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34,675</w:t>
            </w:r>
          </w:p>
        </w:tc>
        <w:tc>
          <w:tcPr>
            <w:tcW w:w="2280" w:type="dxa"/>
            <w:vAlign w:val="bottom"/>
            <w:gridSpan w:val="3"/>
          </w:tcPr>
          <w:p>
            <w:pPr>
              <w:jc w:val="right"/>
              <w:ind w:right="560"/>
              <w:spacing w:after="0" w:line="146" w:lineRule="exact"/>
              <w:rPr>
                <w:sz w:val="20"/>
                <w:szCs w:val="20"/>
                <w:color w:val="auto"/>
              </w:rPr>
            </w:pPr>
            <w:r>
              <w:rPr>
                <w:rFonts w:ascii="Arial" w:cs="Arial" w:eastAsia="Arial" w:hAnsi="Arial"/>
                <w:sz w:val="13"/>
                <w:szCs w:val="13"/>
                <w:color w:val="auto"/>
              </w:rPr>
              <w:t>6.750%</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rPr>
              <w:t>June 1, 2011</w:t>
            </w:r>
          </w:p>
        </w:tc>
      </w:tr>
      <w:tr>
        <w:trPr>
          <w:trHeight w:val="138"/>
        </w:trPr>
        <w:tc>
          <w:tcPr>
            <w:tcW w:w="20" w:type="dxa"/>
            <w:vAlign w:val="bottom"/>
          </w:tcPr>
          <w:p>
            <w:pPr>
              <w:spacing w:after="0"/>
              <w:rPr>
                <w:sz w:val="11"/>
                <w:szCs w:val="11"/>
                <w:color w:val="auto"/>
              </w:rPr>
            </w:pPr>
          </w:p>
        </w:tc>
        <w:tc>
          <w:tcPr>
            <w:tcW w:w="546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Tysons Station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September 1,</w:t>
            </w: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6,505</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7.400%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r>
      <w:tr>
        <w:trPr>
          <w:trHeight w:val="146"/>
        </w:trPr>
        <w:tc>
          <w:tcPr>
            <w:tcW w:w="20" w:type="dxa"/>
            <w:vAlign w:val="bottom"/>
          </w:tcPr>
          <w:p>
            <w:pPr>
              <w:spacing w:after="0"/>
              <w:rPr>
                <w:sz w:val="12"/>
                <w:szCs w:val="12"/>
                <w:color w:val="auto"/>
              </w:rPr>
            </w:pPr>
          </w:p>
        </w:tc>
        <w:tc>
          <w:tcPr>
            <w:tcW w:w="5460" w:type="dxa"/>
            <w:vAlign w:val="bottom"/>
          </w:tcPr>
          <w:p>
            <w:pPr>
              <w:ind w:left="420"/>
              <w:spacing w:after="0" w:line="146" w:lineRule="exact"/>
              <w:rPr>
                <w:sz w:val="20"/>
                <w:szCs w:val="20"/>
                <w:color w:val="auto"/>
              </w:rPr>
            </w:pPr>
            <w:r>
              <w:rPr>
                <w:rFonts w:ascii="Arial" w:cs="Arial" w:eastAsia="Arial" w:hAnsi="Arial"/>
                <w:sz w:val="13"/>
                <w:szCs w:val="13"/>
                <w:color w:val="auto"/>
              </w:rPr>
              <w:t>Crow Canyon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spacing w:after="0" w:line="146" w:lineRule="exact"/>
              <w:rPr>
                <w:sz w:val="20"/>
                <w:szCs w:val="20"/>
                <w:color w:val="auto"/>
              </w:rPr>
            </w:pPr>
            <w:r>
              <w:rPr>
                <w:rFonts w:ascii="Arial" w:cs="Arial" w:eastAsia="Arial" w:hAnsi="Arial"/>
                <w:sz w:val="13"/>
                <w:szCs w:val="13"/>
                <w:color w:val="auto"/>
              </w:rPr>
              <w:t>Acquired</w:t>
            </w: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22,258</w:t>
            </w:r>
          </w:p>
        </w:tc>
        <w:tc>
          <w:tcPr>
            <w:tcW w:w="2280" w:type="dxa"/>
            <w:vAlign w:val="bottom"/>
            <w:gridSpan w:val="3"/>
          </w:tcPr>
          <w:p>
            <w:pPr>
              <w:jc w:val="right"/>
              <w:ind w:right="560"/>
              <w:spacing w:after="0" w:line="146" w:lineRule="exact"/>
              <w:rPr>
                <w:sz w:val="20"/>
                <w:szCs w:val="20"/>
                <w:color w:val="auto"/>
              </w:rPr>
            </w:pPr>
            <w:r>
              <w:rPr>
                <w:rFonts w:ascii="Arial" w:cs="Arial" w:eastAsia="Arial" w:hAnsi="Arial"/>
                <w:sz w:val="13"/>
                <w:szCs w:val="13"/>
                <w:color w:val="auto"/>
              </w:rPr>
              <w:t>5.400%</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w w:val="95"/>
              </w:rPr>
              <w:t>August 11, 2013</w:t>
            </w:r>
          </w:p>
        </w:tc>
      </w:tr>
      <w:tr>
        <w:trPr>
          <w:trHeight w:val="138"/>
        </w:trPr>
        <w:tc>
          <w:tcPr>
            <w:tcW w:w="20" w:type="dxa"/>
            <w:vAlign w:val="bottom"/>
          </w:tcPr>
          <w:p>
            <w:pPr>
              <w:spacing w:after="0"/>
              <w:rPr>
                <w:sz w:val="11"/>
                <w:szCs w:val="11"/>
                <w:color w:val="auto"/>
              </w:rPr>
            </w:pPr>
          </w:p>
        </w:tc>
        <w:tc>
          <w:tcPr>
            <w:tcW w:w="546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Barracks Road</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November 1,</w:t>
            </w: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44,300</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43,193</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7.950%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r>
      <w:tr>
        <w:trPr>
          <w:trHeight w:val="138"/>
        </w:trPr>
        <w:tc>
          <w:tcPr>
            <w:tcW w:w="20" w:type="dxa"/>
            <w:vAlign w:val="bottom"/>
          </w:tcPr>
          <w:p>
            <w:pPr>
              <w:spacing w:after="0"/>
              <w:rPr>
                <w:sz w:val="11"/>
                <w:szCs w:val="11"/>
                <w:color w:val="auto"/>
              </w:rPr>
            </w:pPr>
          </w:p>
        </w:tc>
        <w:tc>
          <w:tcPr>
            <w:tcW w:w="5460" w:type="dxa"/>
            <w:vAlign w:val="bottom"/>
          </w:tcPr>
          <w:p>
            <w:pPr>
              <w:ind w:left="420"/>
              <w:spacing w:after="0" w:line="138" w:lineRule="exact"/>
              <w:rPr>
                <w:sz w:val="20"/>
                <w:szCs w:val="20"/>
                <w:color w:val="auto"/>
              </w:rPr>
            </w:pPr>
            <w:r>
              <w:rPr>
                <w:rFonts w:ascii="Arial" w:cs="Arial" w:eastAsia="Arial" w:hAnsi="Arial"/>
                <w:sz w:val="13"/>
                <w:szCs w:val="13"/>
                <w:color w:val="auto"/>
              </w:rPr>
              <w:t>Hauppauge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November 1,</w:t>
            </w:r>
          </w:p>
        </w:tc>
      </w:tr>
      <w:tr>
        <w:trPr>
          <w:trHeight w:val="155"/>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16,700</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16,283</w:t>
            </w:r>
          </w:p>
        </w:tc>
        <w:tc>
          <w:tcPr>
            <w:tcW w:w="2280" w:type="dxa"/>
            <w:vAlign w:val="bottom"/>
            <w:gridSpan w:val="3"/>
          </w:tcPr>
          <w:p>
            <w:pPr>
              <w:jc w:val="right"/>
              <w:ind w:right="560"/>
              <w:spacing w:after="0"/>
              <w:rPr>
                <w:sz w:val="20"/>
                <w:szCs w:val="20"/>
                <w:color w:val="auto"/>
              </w:rPr>
            </w:pPr>
            <w:r>
              <w:rPr>
                <w:rFonts w:ascii="Arial" w:cs="Arial" w:eastAsia="Arial" w:hAnsi="Arial"/>
                <w:sz w:val="13"/>
                <w:szCs w:val="13"/>
                <w:color w:val="auto"/>
              </w:rPr>
              <w:t>7.950%</w:t>
            </w:r>
          </w:p>
        </w:tc>
        <w:tc>
          <w:tcPr>
            <w:tcW w:w="920" w:type="dxa"/>
            <w:vAlign w:val="bottom"/>
          </w:tcPr>
          <w:p>
            <w:pPr>
              <w:jc w:val="right"/>
              <w:spacing w:after="0"/>
              <w:rPr>
                <w:sz w:val="20"/>
                <w:szCs w:val="20"/>
                <w:color w:val="auto"/>
              </w:rPr>
            </w:pPr>
            <w:r>
              <w:rPr>
                <w:rFonts w:ascii="Arial" w:cs="Arial" w:eastAsia="Arial" w:hAnsi="Arial"/>
                <w:sz w:val="13"/>
                <w:szCs w:val="13"/>
                <w:color w:val="auto"/>
              </w:rPr>
              <w:t>2015</w:t>
            </w:r>
          </w:p>
        </w:tc>
      </w:tr>
      <w:tr>
        <w:trPr>
          <w:trHeight w:val="138"/>
        </w:trPr>
        <w:tc>
          <w:tcPr>
            <w:tcW w:w="20" w:type="dxa"/>
            <w:vAlign w:val="bottom"/>
          </w:tcPr>
          <w:p>
            <w:pPr>
              <w:spacing w:after="0"/>
              <w:rPr>
                <w:sz w:val="11"/>
                <w:szCs w:val="11"/>
                <w:color w:val="auto"/>
              </w:rPr>
            </w:pPr>
          </w:p>
        </w:tc>
        <w:tc>
          <w:tcPr>
            <w:tcW w:w="546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Lawrence Park</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November 1,</w:t>
            </w: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31,400</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30,615</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7.950%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r>
      <w:tr>
        <w:trPr>
          <w:trHeight w:val="138"/>
        </w:trPr>
        <w:tc>
          <w:tcPr>
            <w:tcW w:w="20" w:type="dxa"/>
            <w:vAlign w:val="bottom"/>
          </w:tcPr>
          <w:p>
            <w:pPr>
              <w:spacing w:after="0"/>
              <w:rPr>
                <w:sz w:val="11"/>
                <w:szCs w:val="11"/>
                <w:color w:val="auto"/>
              </w:rPr>
            </w:pPr>
          </w:p>
        </w:tc>
        <w:tc>
          <w:tcPr>
            <w:tcW w:w="5460" w:type="dxa"/>
            <w:vAlign w:val="bottom"/>
          </w:tcPr>
          <w:p>
            <w:pPr>
              <w:ind w:left="420"/>
              <w:spacing w:after="0" w:line="138" w:lineRule="exact"/>
              <w:rPr>
                <w:sz w:val="20"/>
                <w:szCs w:val="20"/>
                <w:color w:val="auto"/>
              </w:rPr>
            </w:pPr>
            <w:r>
              <w:rPr>
                <w:rFonts w:ascii="Arial" w:cs="Arial" w:eastAsia="Arial" w:hAnsi="Arial"/>
                <w:sz w:val="13"/>
                <w:szCs w:val="13"/>
                <w:color w:val="auto"/>
              </w:rPr>
              <w:t>Wildwood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November 1,</w:t>
            </w:r>
          </w:p>
        </w:tc>
      </w:tr>
      <w:tr>
        <w:trPr>
          <w:trHeight w:val="155"/>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27,600</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26,910</w:t>
            </w:r>
          </w:p>
        </w:tc>
        <w:tc>
          <w:tcPr>
            <w:tcW w:w="2280" w:type="dxa"/>
            <w:vAlign w:val="bottom"/>
            <w:gridSpan w:val="3"/>
          </w:tcPr>
          <w:p>
            <w:pPr>
              <w:jc w:val="right"/>
              <w:ind w:right="560"/>
              <w:spacing w:after="0"/>
              <w:rPr>
                <w:sz w:val="20"/>
                <w:szCs w:val="20"/>
                <w:color w:val="auto"/>
              </w:rPr>
            </w:pPr>
            <w:r>
              <w:rPr>
                <w:rFonts w:ascii="Arial" w:cs="Arial" w:eastAsia="Arial" w:hAnsi="Arial"/>
                <w:sz w:val="13"/>
                <w:szCs w:val="13"/>
                <w:color w:val="auto"/>
              </w:rPr>
              <w:t>7.950%</w:t>
            </w:r>
          </w:p>
        </w:tc>
        <w:tc>
          <w:tcPr>
            <w:tcW w:w="920" w:type="dxa"/>
            <w:vAlign w:val="bottom"/>
          </w:tcPr>
          <w:p>
            <w:pPr>
              <w:jc w:val="right"/>
              <w:spacing w:after="0"/>
              <w:rPr>
                <w:sz w:val="20"/>
                <w:szCs w:val="20"/>
                <w:color w:val="auto"/>
              </w:rPr>
            </w:pPr>
            <w:r>
              <w:rPr>
                <w:rFonts w:ascii="Arial" w:cs="Arial" w:eastAsia="Arial" w:hAnsi="Arial"/>
                <w:sz w:val="13"/>
                <w:szCs w:val="13"/>
                <w:color w:val="auto"/>
              </w:rPr>
              <w:t>2015</w:t>
            </w:r>
          </w:p>
        </w:tc>
      </w:tr>
      <w:tr>
        <w:trPr>
          <w:trHeight w:val="138"/>
        </w:trPr>
        <w:tc>
          <w:tcPr>
            <w:tcW w:w="20" w:type="dxa"/>
            <w:vAlign w:val="bottom"/>
          </w:tcPr>
          <w:p>
            <w:pPr>
              <w:spacing w:after="0"/>
              <w:rPr>
                <w:sz w:val="11"/>
                <w:szCs w:val="11"/>
                <w:color w:val="auto"/>
              </w:rPr>
            </w:pPr>
          </w:p>
        </w:tc>
        <w:tc>
          <w:tcPr>
            <w:tcW w:w="546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Wynnewood</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November 1,</w:t>
            </w: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32,000</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7.950%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r>
      <w:tr>
        <w:trPr>
          <w:trHeight w:val="138"/>
        </w:trPr>
        <w:tc>
          <w:tcPr>
            <w:tcW w:w="20" w:type="dxa"/>
            <w:vAlign w:val="bottom"/>
          </w:tcPr>
          <w:p>
            <w:pPr>
              <w:spacing w:after="0"/>
              <w:rPr>
                <w:sz w:val="11"/>
                <w:szCs w:val="11"/>
                <w:color w:val="auto"/>
              </w:rPr>
            </w:pPr>
          </w:p>
        </w:tc>
        <w:tc>
          <w:tcPr>
            <w:tcW w:w="5460" w:type="dxa"/>
            <w:vAlign w:val="bottom"/>
          </w:tcPr>
          <w:p>
            <w:pPr>
              <w:ind w:left="420"/>
              <w:spacing w:after="0" w:line="138" w:lineRule="exact"/>
              <w:rPr>
                <w:sz w:val="20"/>
                <w:szCs w:val="20"/>
                <w:color w:val="auto"/>
              </w:rPr>
            </w:pPr>
            <w:r>
              <w:rPr>
                <w:rFonts w:ascii="Arial" w:cs="Arial" w:eastAsia="Arial" w:hAnsi="Arial"/>
                <w:sz w:val="13"/>
                <w:szCs w:val="13"/>
                <w:color w:val="auto"/>
              </w:rPr>
              <w:t>Brick Plaza</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November 1,</w:t>
            </w:r>
          </w:p>
        </w:tc>
      </w:tr>
      <w:tr>
        <w:trPr>
          <w:trHeight w:val="155"/>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33,000</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32,099</w:t>
            </w:r>
          </w:p>
        </w:tc>
        <w:tc>
          <w:tcPr>
            <w:tcW w:w="2280" w:type="dxa"/>
            <w:vAlign w:val="bottom"/>
            <w:gridSpan w:val="3"/>
          </w:tcPr>
          <w:p>
            <w:pPr>
              <w:jc w:val="right"/>
              <w:ind w:right="560"/>
              <w:spacing w:after="0"/>
              <w:rPr>
                <w:sz w:val="20"/>
                <w:szCs w:val="20"/>
                <w:color w:val="auto"/>
              </w:rPr>
            </w:pPr>
            <w:r>
              <w:rPr>
                <w:rFonts w:ascii="Arial" w:cs="Arial" w:eastAsia="Arial" w:hAnsi="Arial"/>
                <w:sz w:val="13"/>
                <w:szCs w:val="13"/>
                <w:color w:val="auto"/>
              </w:rPr>
              <w:t>7.415%</w:t>
            </w:r>
          </w:p>
        </w:tc>
        <w:tc>
          <w:tcPr>
            <w:tcW w:w="920" w:type="dxa"/>
            <w:vAlign w:val="bottom"/>
          </w:tcPr>
          <w:p>
            <w:pPr>
              <w:jc w:val="right"/>
              <w:spacing w:after="0"/>
              <w:rPr>
                <w:sz w:val="20"/>
                <w:szCs w:val="20"/>
                <w:color w:val="auto"/>
              </w:rPr>
            </w:pPr>
            <w:r>
              <w:rPr>
                <w:rFonts w:ascii="Arial" w:cs="Arial" w:eastAsia="Arial" w:hAnsi="Arial"/>
                <w:sz w:val="13"/>
                <w:szCs w:val="13"/>
                <w:color w:val="auto"/>
              </w:rPr>
              <w:t>2015</w:t>
            </w: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Mount Vernon (2)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13,250</w:t>
            </w:r>
          </w:p>
        </w:tc>
        <w:tc>
          <w:tcPr>
            <w:tcW w:w="5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12,556</w:t>
            </w:r>
          </w:p>
        </w:tc>
        <w:tc>
          <w:tcPr>
            <w:tcW w:w="2280" w:type="dxa"/>
            <w:vAlign w:val="bottom"/>
            <w:gridSpan w:val="3"/>
            <w:shd w:val="clear" w:color="auto" w:fill="CCEEFF"/>
          </w:tcPr>
          <w:p>
            <w:pPr>
              <w:jc w:val="right"/>
              <w:ind w:right="560"/>
              <w:spacing w:after="0" w:line="146" w:lineRule="exact"/>
              <w:rPr>
                <w:sz w:val="20"/>
                <w:szCs w:val="20"/>
                <w:color w:val="auto"/>
              </w:rPr>
            </w:pPr>
            <w:r>
              <w:rPr>
                <w:rFonts w:ascii="Arial" w:cs="Arial" w:eastAsia="Arial" w:hAnsi="Arial"/>
                <w:sz w:val="13"/>
                <w:szCs w:val="13"/>
                <w:color w:val="auto"/>
              </w:rPr>
              <w:t>5.660%</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April 15, 2028</w:t>
            </w:r>
          </w:p>
        </w:tc>
      </w:tr>
      <w:tr>
        <w:trPr>
          <w:trHeight w:val="160"/>
        </w:trPr>
        <w:tc>
          <w:tcPr>
            <w:tcW w:w="20" w:type="dxa"/>
            <w:vAlign w:val="bottom"/>
          </w:tcPr>
          <w:p>
            <w:pPr>
              <w:spacing w:after="0"/>
              <w:rPr>
                <w:sz w:val="13"/>
                <w:szCs w:val="13"/>
                <w:color w:val="auto"/>
              </w:rPr>
            </w:pPr>
          </w:p>
        </w:tc>
        <w:tc>
          <w:tcPr>
            <w:tcW w:w="5460" w:type="dxa"/>
            <w:vAlign w:val="bottom"/>
          </w:tcPr>
          <w:p>
            <w:pPr>
              <w:ind w:left="620"/>
              <w:spacing w:after="0"/>
              <w:rPr>
                <w:sz w:val="20"/>
                <w:szCs w:val="20"/>
                <w:color w:val="auto"/>
              </w:rPr>
            </w:pPr>
            <w:r>
              <w:rPr>
                <w:rFonts w:ascii="Arial" w:cs="Arial" w:eastAsia="Arial" w:hAnsi="Arial"/>
                <w:sz w:val="13"/>
                <w:szCs w:val="13"/>
                <w:color w:val="auto"/>
              </w:rPr>
              <w:t>Total Mortgage Loans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270,898</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Notes Payable</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460" w:type="dxa"/>
            <w:vAlign w:val="bottom"/>
          </w:tcPr>
          <w:p>
            <w:pPr>
              <w:ind w:left="200"/>
              <w:spacing w:after="0" w:line="146" w:lineRule="exact"/>
              <w:rPr>
                <w:sz w:val="20"/>
                <w:szCs w:val="20"/>
                <w:color w:val="auto"/>
              </w:rPr>
            </w:pPr>
            <w:r>
              <w:rPr>
                <w:rFonts w:ascii="Arial" w:cs="Arial" w:eastAsia="Arial" w:hAnsi="Arial"/>
                <w:sz w:val="13"/>
                <w:szCs w:val="13"/>
                <w:i w:val="1"/>
                <w:iCs w:val="1"/>
                <w:color w:val="auto"/>
              </w:rPr>
              <w:t>Unsecured Fixed Rate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Perring Plaza Renovation</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3,087</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1,810</w:t>
            </w:r>
          </w:p>
        </w:tc>
        <w:tc>
          <w:tcPr>
            <w:tcW w:w="2280" w:type="dxa"/>
            <w:vAlign w:val="bottom"/>
            <w:gridSpan w:val="3"/>
            <w:shd w:val="clear" w:color="auto" w:fill="CCEEFF"/>
          </w:tcPr>
          <w:p>
            <w:pPr>
              <w:jc w:val="right"/>
              <w:ind w:right="560"/>
              <w:spacing w:after="0" w:line="146" w:lineRule="exact"/>
              <w:rPr>
                <w:sz w:val="20"/>
                <w:szCs w:val="20"/>
                <w:color w:val="auto"/>
              </w:rPr>
            </w:pPr>
            <w:r>
              <w:rPr>
                <w:rFonts w:ascii="Arial" w:cs="Arial" w:eastAsia="Arial" w:hAnsi="Arial"/>
                <w:sz w:val="13"/>
                <w:szCs w:val="13"/>
                <w:color w:val="auto"/>
              </w:rPr>
              <w:t>10.00%</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9"/>
              </w:rPr>
              <w:t>January 31, 2013</w:t>
            </w:r>
          </w:p>
        </w:tc>
      </w:tr>
      <w:tr>
        <w:trPr>
          <w:trHeight w:val="146"/>
        </w:trPr>
        <w:tc>
          <w:tcPr>
            <w:tcW w:w="20" w:type="dxa"/>
            <w:vAlign w:val="bottom"/>
          </w:tcPr>
          <w:p>
            <w:pPr>
              <w:spacing w:after="0"/>
              <w:rPr>
                <w:sz w:val="12"/>
                <w:szCs w:val="12"/>
                <w:color w:val="auto"/>
              </w:rPr>
            </w:pPr>
          </w:p>
        </w:tc>
        <w:tc>
          <w:tcPr>
            <w:tcW w:w="5460" w:type="dxa"/>
            <w:vAlign w:val="bottom"/>
          </w:tcPr>
          <w:p>
            <w:pPr>
              <w:ind w:left="420"/>
              <w:spacing w:after="0" w:line="146" w:lineRule="exact"/>
              <w:rPr>
                <w:sz w:val="20"/>
                <w:szCs w:val="20"/>
                <w:color w:val="auto"/>
              </w:rPr>
            </w:pPr>
            <w:r>
              <w:rPr>
                <w:rFonts w:ascii="Arial" w:cs="Arial" w:eastAsia="Arial" w:hAnsi="Arial"/>
                <w:sz w:val="13"/>
                <w:szCs w:val="13"/>
                <w:color w:val="auto"/>
              </w:rPr>
              <w:t>Other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295</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45</w:t>
            </w:r>
          </w:p>
        </w:tc>
        <w:tc>
          <w:tcPr>
            <w:tcW w:w="540" w:type="dxa"/>
            <w:vAlign w:val="bottom"/>
          </w:tcPr>
          <w:p>
            <w:pPr>
              <w:spacing w:after="0"/>
              <w:rPr>
                <w:sz w:val="12"/>
                <w:szCs w:val="12"/>
                <w:color w:val="auto"/>
              </w:rPr>
            </w:pPr>
          </w:p>
        </w:tc>
        <w:tc>
          <w:tcPr>
            <w:tcW w:w="1740" w:type="dxa"/>
            <w:vAlign w:val="bottom"/>
            <w:gridSpan w:val="2"/>
          </w:tcPr>
          <w:p>
            <w:pPr>
              <w:jc w:val="right"/>
              <w:ind w:right="660"/>
              <w:spacing w:after="0" w:line="146" w:lineRule="exact"/>
              <w:rPr>
                <w:sz w:val="20"/>
                <w:szCs w:val="20"/>
                <w:color w:val="auto"/>
              </w:rPr>
            </w:pPr>
            <w:r>
              <w:rPr>
                <w:rFonts w:ascii="Arial" w:cs="Arial" w:eastAsia="Arial" w:hAnsi="Arial"/>
                <w:sz w:val="13"/>
                <w:szCs w:val="13"/>
                <w:color w:val="auto"/>
              </w:rPr>
              <w:t>Various</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rPr>
              <w:t>Various</w:t>
            </w: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i w:val="1"/>
                <w:iCs w:val="1"/>
                <w:color w:val="auto"/>
              </w:rPr>
              <w:t>Unsecured Variable Rate</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460" w:type="dxa"/>
            <w:vAlign w:val="bottom"/>
          </w:tcPr>
          <w:p>
            <w:pPr>
              <w:ind w:left="420"/>
              <w:spacing w:after="0" w:line="146" w:lineRule="exact"/>
              <w:rPr>
                <w:sz w:val="20"/>
                <w:szCs w:val="20"/>
                <w:color w:val="auto"/>
              </w:rPr>
            </w:pPr>
            <w:r>
              <w:rPr>
                <w:rFonts w:ascii="Arial" w:cs="Arial" w:eastAsia="Arial" w:hAnsi="Arial"/>
                <w:sz w:val="13"/>
                <w:szCs w:val="13"/>
                <w:color w:val="auto"/>
              </w:rPr>
              <w:t>Revolving credit facilities (3)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300,000</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55,500</w:t>
            </w:r>
          </w:p>
        </w:tc>
        <w:tc>
          <w:tcPr>
            <w:tcW w:w="540" w:type="dxa"/>
            <w:vAlign w:val="bottom"/>
          </w:tcPr>
          <w:p>
            <w:pPr>
              <w:spacing w:after="0"/>
              <w:rPr>
                <w:sz w:val="12"/>
                <w:szCs w:val="12"/>
                <w:color w:val="auto"/>
              </w:rPr>
            </w:pPr>
          </w:p>
        </w:tc>
        <w:tc>
          <w:tcPr>
            <w:tcW w:w="1740" w:type="dxa"/>
            <w:vAlign w:val="bottom"/>
            <w:gridSpan w:val="2"/>
          </w:tcPr>
          <w:p>
            <w:pPr>
              <w:jc w:val="right"/>
              <w:ind w:right="560"/>
              <w:spacing w:after="0" w:line="146" w:lineRule="exact"/>
              <w:rPr>
                <w:sz w:val="20"/>
                <w:szCs w:val="20"/>
                <w:color w:val="auto"/>
              </w:rPr>
            </w:pPr>
            <w:r>
              <w:rPr>
                <w:rFonts w:ascii="Arial" w:cs="Arial" w:eastAsia="Arial" w:hAnsi="Arial"/>
                <w:sz w:val="13"/>
                <w:szCs w:val="13"/>
                <w:color w:val="auto"/>
              </w:rPr>
              <w:t>LIBOR + 0.75%</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w w:val="96"/>
              </w:rPr>
              <w:t>October 8, 2006</w:t>
            </w: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Term note with banks</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100,000</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100,000</w:t>
            </w:r>
          </w:p>
        </w:tc>
        <w:tc>
          <w:tcPr>
            <w:tcW w:w="5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560"/>
              <w:spacing w:after="0" w:line="146" w:lineRule="exact"/>
              <w:rPr>
                <w:sz w:val="20"/>
                <w:szCs w:val="20"/>
                <w:color w:val="auto"/>
              </w:rPr>
            </w:pPr>
            <w:r>
              <w:rPr>
                <w:rFonts w:ascii="Arial" w:cs="Arial" w:eastAsia="Arial" w:hAnsi="Arial"/>
                <w:sz w:val="13"/>
                <w:szCs w:val="13"/>
                <w:color w:val="auto"/>
              </w:rPr>
              <w:t>LIBOR + 0.95%</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October 8, 2006</w:t>
            </w:r>
          </w:p>
        </w:tc>
      </w:tr>
      <w:tr>
        <w:trPr>
          <w:trHeight w:val="146"/>
        </w:trPr>
        <w:tc>
          <w:tcPr>
            <w:tcW w:w="20" w:type="dxa"/>
            <w:vAlign w:val="bottom"/>
          </w:tcPr>
          <w:p>
            <w:pPr>
              <w:spacing w:after="0"/>
              <w:rPr>
                <w:sz w:val="12"/>
                <w:szCs w:val="12"/>
                <w:color w:val="auto"/>
              </w:rPr>
            </w:pPr>
          </w:p>
        </w:tc>
        <w:tc>
          <w:tcPr>
            <w:tcW w:w="5460" w:type="dxa"/>
            <w:vAlign w:val="bottom"/>
          </w:tcPr>
          <w:p>
            <w:pPr>
              <w:ind w:left="420"/>
              <w:spacing w:after="0" w:line="146" w:lineRule="exact"/>
              <w:rPr>
                <w:sz w:val="20"/>
                <w:szCs w:val="20"/>
                <w:color w:val="auto"/>
              </w:rPr>
            </w:pPr>
            <w:r>
              <w:rPr>
                <w:rFonts w:ascii="Arial" w:cs="Arial" w:eastAsia="Arial" w:hAnsi="Arial"/>
                <w:sz w:val="13"/>
                <w:szCs w:val="13"/>
                <w:color w:val="auto"/>
              </w:rPr>
              <w:t>Term note with banks (4)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150,000</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150,000</w:t>
            </w:r>
          </w:p>
        </w:tc>
        <w:tc>
          <w:tcPr>
            <w:tcW w:w="540" w:type="dxa"/>
            <w:vAlign w:val="bottom"/>
          </w:tcPr>
          <w:p>
            <w:pPr>
              <w:spacing w:after="0"/>
              <w:rPr>
                <w:sz w:val="12"/>
                <w:szCs w:val="12"/>
                <w:color w:val="auto"/>
              </w:rPr>
            </w:pPr>
          </w:p>
        </w:tc>
        <w:tc>
          <w:tcPr>
            <w:tcW w:w="1740" w:type="dxa"/>
            <w:vAlign w:val="bottom"/>
            <w:gridSpan w:val="2"/>
          </w:tcPr>
          <w:p>
            <w:pPr>
              <w:jc w:val="right"/>
              <w:ind w:right="560"/>
              <w:spacing w:after="0" w:line="146" w:lineRule="exact"/>
              <w:rPr>
                <w:sz w:val="20"/>
                <w:szCs w:val="20"/>
                <w:color w:val="auto"/>
              </w:rPr>
            </w:pPr>
            <w:r>
              <w:rPr>
                <w:rFonts w:ascii="Arial" w:cs="Arial" w:eastAsia="Arial" w:hAnsi="Arial"/>
                <w:sz w:val="13"/>
                <w:szCs w:val="13"/>
                <w:color w:val="auto"/>
              </w:rPr>
              <w:t>LIBOR + 0.95%</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w w:val="96"/>
              </w:rPr>
              <w:t>October 8, 2008</w:t>
            </w:r>
          </w:p>
        </w:tc>
      </w:tr>
      <w:tr>
        <w:trPr>
          <w:trHeight w:val="146"/>
        </w:trPr>
        <w:tc>
          <w:tcPr>
            <w:tcW w:w="20" w:type="dxa"/>
            <w:vAlign w:val="bottom"/>
          </w:tcPr>
          <w:p>
            <w:pPr>
              <w:spacing w:after="0"/>
              <w:rPr>
                <w:sz w:val="12"/>
                <w:szCs w:val="12"/>
                <w:color w:val="auto"/>
              </w:rPr>
            </w:pPr>
          </w:p>
        </w:tc>
        <w:tc>
          <w:tcPr>
            <w:tcW w:w="546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Escondido (Municipal Bonds) (5)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9,400</w:t>
            </w:r>
          </w:p>
        </w:tc>
        <w:tc>
          <w:tcPr>
            <w:tcW w:w="5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9,400</w:t>
            </w:r>
          </w:p>
        </w:tc>
        <w:tc>
          <w:tcPr>
            <w:tcW w:w="2280" w:type="dxa"/>
            <w:vAlign w:val="bottom"/>
            <w:gridSpan w:val="3"/>
            <w:shd w:val="clear" w:color="auto" w:fill="CCEEFF"/>
          </w:tcPr>
          <w:p>
            <w:pPr>
              <w:jc w:val="right"/>
              <w:ind w:right="560"/>
              <w:spacing w:after="0" w:line="146" w:lineRule="exact"/>
              <w:rPr>
                <w:sz w:val="20"/>
                <w:szCs w:val="20"/>
                <w:color w:val="auto"/>
              </w:rPr>
            </w:pPr>
            <w:r>
              <w:rPr>
                <w:rFonts w:ascii="Arial" w:cs="Arial" w:eastAsia="Arial" w:hAnsi="Arial"/>
                <w:sz w:val="13"/>
                <w:szCs w:val="13"/>
                <w:color w:val="auto"/>
              </w:rPr>
              <w:t>2.45%</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October 1, 2016</w:t>
            </w:r>
          </w:p>
        </w:tc>
      </w:tr>
      <w:tr>
        <w:trPr>
          <w:trHeight w:val="153"/>
        </w:trPr>
        <w:tc>
          <w:tcPr>
            <w:tcW w:w="20" w:type="dxa"/>
            <w:vAlign w:val="bottom"/>
          </w:tcPr>
          <w:p>
            <w:pPr>
              <w:spacing w:after="0"/>
              <w:rPr>
                <w:sz w:val="13"/>
                <w:szCs w:val="13"/>
                <w:color w:val="auto"/>
              </w:rPr>
            </w:pPr>
          </w:p>
        </w:tc>
        <w:tc>
          <w:tcPr>
            <w:tcW w:w="5460" w:type="dxa"/>
            <w:vAlign w:val="bottom"/>
          </w:tcPr>
          <w:p>
            <w:pPr>
              <w:ind w:left="840"/>
              <w:spacing w:after="0"/>
              <w:rPr>
                <w:sz w:val="20"/>
                <w:szCs w:val="20"/>
                <w:color w:val="auto"/>
              </w:rPr>
            </w:pPr>
            <w:r>
              <w:rPr>
                <w:rFonts w:ascii="Arial" w:cs="Arial" w:eastAsia="Arial" w:hAnsi="Arial"/>
                <w:sz w:val="13"/>
                <w:szCs w:val="13"/>
                <w:color w:val="auto"/>
              </w:rPr>
              <w:t>Total Notes Payable</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316,755</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27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3"/>
          </w:tcPr>
          <w:p>
            <w:pPr>
              <w:jc w:val="center"/>
              <w:ind w:right="273"/>
              <w:spacing w:after="0"/>
              <w:rPr>
                <w:sz w:val="20"/>
                <w:szCs w:val="20"/>
                <w:color w:val="auto"/>
              </w:rPr>
            </w:pPr>
            <w:r>
              <w:rPr>
                <w:rFonts w:ascii="Arial" w:cs="Arial" w:eastAsia="Arial" w:hAnsi="Arial"/>
                <w:sz w:val="13"/>
                <w:szCs w:val="13"/>
                <w:b w:val="1"/>
                <w:bCs w:val="1"/>
                <w:color w:val="auto"/>
                <w:w w:val="97"/>
              </w:rPr>
              <w:t>Original</w:t>
            </w:r>
          </w:p>
        </w:tc>
        <w:tc>
          <w:tcPr>
            <w:tcW w:w="30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3"/>
                <w:szCs w:val="13"/>
                <w:b w:val="1"/>
                <w:bCs w:val="1"/>
                <w:color w:val="auto"/>
              </w:rPr>
              <w:t>Principal Balance</w:t>
            </w:r>
          </w:p>
        </w:tc>
        <w:tc>
          <w:tcPr>
            <w:tcW w:w="182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3"/>
              </w:rPr>
              <w:t>Interest Rate</w:t>
            </w:r>
          </w:p>
        </w:tc>
        <w:tc>
          <w:tcPr>
            <w:tcW w:w="11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313"/>
              <w:spacing w:after="0" w:line="146" w:lineRule="exact"/>
              <w:rPr>
                <w:sz w:val="20"/>
                <w:szCs w:val="20"/>
                <w:color w:val="auto"/>
              </w:rPr>
            </w:pPr>
            <w:r>
              <w:rPr>
                <w:rFonts w:ascii="Arial" w:cs="Arial" w:eastAsia="Arial" w:hAnsi="Arial"/>
                <w:sz w:val="13"/>
                <w:szCs w:val="13"/>
                <w:b w:val="1"/>
                <w:bCs w:val="1"/>
                <w:color w:val="auto"/>
                <w:w w:val="89"/>
              </w:rPr>
              <w:t>Debt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right"/>
              <w:ind w:right="1080"/>
              <w:spacing w:after="0" w:line="146" w:lineRule="exact"/>
              <w:rPr>
                <w:sz w:val="20"/>
                <w:szCs w:val="20"/>
                <w:color w:val="auto"/>
              </w:rPr>
            </w:pPr>
            <w:r>
              <w:rPr>
                <w:rFonts w:ascii="Arial" w:cs="Arial" w:eastAsia="Arial" w:hAnsi="Arial"/>
                <w:sz w:val="13"/>
                <w:szCs w:val="13"/>
                <w:b w:val="1"/>
                <w:bCs w:val="1"/>
                <w:color w:val="auto"/>
              </w:rPr>
              <w:t>as of</w:t>
            </w:r>
          </w:p>
        </w:tc>
        <w:tc>
          <w:tcPr>
            <w:tcW w:w="1820" w:type="dxa"/>
            <w:vAlign w:val="bottom"/>
            <w:gridSpan w:val="2"/>
          </w:tcPr>
          <w:p>
            <w:pPr>
              <w:jc w:val="center"/>
              <w:ind w:right="740"/>
              <w:spacing w:after="0" w:line="146" w:lineRule="exact"/>
              <w:rPr>
                <w:sz w:val="20"/>
                <w:szCs w:val="20"/>
                <w:color w:val="auto"/>
              </w:rPr>
            </w:pPr>
            <w:r>
              <w:rPr>
                <w:rFonts w:ascii="Arial" w:cs="Arial" w:eastAsia="Arial" w:hAnsi="Arial"/>
                <w:sz w:val="13"/>
                <w:szCs w:val="13"/>
                <w:b w:val="1"/>
                <w:bCs w:val="1"/>
                <w:color w:val="auto"/>
                <w:w w:val="92"/>
              </w:rPr>
              <w:t>as of</w:t>
            </w:r>
          </w:p>
        </w:tc>
        <w:tc>
          <w:tcPr>
            <w:tcW w:w="1160" w:type="dxa"/>
            <w:vAlign w:val="bottom"/>
          </w:tcPr>
          <w:p>
            <w:pPr>
              <w:spacing w:after="0"/>
              <w:rPr>
                <w:sz w:val="12"/>
                <w:szCs w:val="12"/>
                <w:color w:val="auto"/>
              </w:rPr>
            </w:pPr>
          </w:p>
        </w:tc>
      </w:tr>
      <w:tr>
        <w:trPr>
          <w:trHeight w:val="166"/>
        </w:trPr>
        <w:tc>
          <w:tcPr>
            <w:tcW w:w="4920" w:type="dxa"/>
            <w:vAlign w:val="bottom"/>
            <w:gridSpan w:val="4"/>
          </w:tcPr>
          <w:p>
            <w:pPr>
              <w:spacing w:after="0"/>
              <w:rPr>
                <w:sz w:val="20"/>
                <w:szCs w:val="20"/>
                <w:color w:val="auto"/>
              </w:rPr>
            </w:pPr>
            <w:r>
              <w:rPr>
                <w:rFonts w:ascii="Arial" w:cs="Arial" w:eastAsia="Arial" w:hAnsi="Arial"/>
                <w:sz w:val="13"/>
                <w:szCs w:val="13"/>
                <w:b w:val="1"/>
                <w:bCs w:val="1"/>
                <w:color w:val="auto"/>
              </w:rPr>
              <w:t>Description of Debt</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333"/>
              <w:spacing w:after="0"/>
              <w:rPr>
                <w:sz w:val="20"/>
                <w:szCs w:val="20"/>
                <w:color w:val="auto"/>
              </w:rPr>
            </w:pPr>
            <w:r>
              <w:rPr>
                <w:rFonts w:ascii="Arial" w:cs="Arial" w:eastAsia="Arial" w:hAnsi="Arial"/>
                <w:sz w:val="13"/>
                <w:szCs w:val="13"/>
                <w:b w:val="1"/>
                <w:bCs w:val="1"/>
                <w:color w:val="auto"/>
                <w:w w:val="87"/>
              </w:rPr>
              <w:t>Issued</w:t>
            </w:r>
          </w:p>
        </w:tc>
        <w:tc>
          <w:tcPr>
            <w:tcW w:w="3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3"/>
                <w:szCs w:val="13"/>
                <w:b w:val="1"/>
                <w:bCs w:val="1"/>
                <w:color w:val="auto"/>
              </w:rPr>
              <w:t>December 31, 2005</w:t>
            </w:r>
          </w:p>
        </w:tc>
        <w:tc>
          <w:tcPr>
            <w:tcW w:w="18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2"/>
              </w:rPr>
              <w:t>December 31, 2005</w:t>
            </w:r>
          </w:p>
        </w:tc>
        <w:tc>
          <w:tcPr>
            <w:tcW w:w="1160" w:type="dxa"/>
            <w:vAlign w:val="bottom"/>
          </w:tcPr>
          <w:p>
            <w:pPr>
              <w:jc w:val="right"/>
              <w:ind w:right="93"/>
              <w:spacing w:after="0"/>
              <w:rPr>
                <w:sz w:val="20"/>
                <w:szCs w:val="20"/>
                <w:color w:val="auto"/>
              </w:rPr>
            </w:pPr>
            <w:r>
              <w:rPr>
                <w:rFonts w:ascii="Arial" w:cs="Arial" w:eastAsia="Arial" w:hAnsi="Arial"/>
                <w:sz w:val="13"/>
                <w:szCs w:val="13"/>
                <w:b w:val="1"/>
                <w:bCs w:val="1"/>
                <w:color w:val="auto"/>
              </w:rPr>
              <w:t>Maturity Date</w:t>
            </w:r>
          </w:p>
        </w:tc>
      </w:tr>
      <w:tr>
        <w:trPr>
          <w:trHeight w:val="146"/>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w w:val="94"/>
              </w:rPr>
              <w:t>(Dollars in</w:t>
            </w:r>
          </w:p>
        </w:tc>
        <w:tc>
          <w:tcPr>
            <w:tcW w:w="108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thousands)</w:t>
            </w:r>
          </w:p>
        </w:tc>
        <w:tc>
          <w:tcPr>
            <w:tcW w:w="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4900" w:type="dxa"/>
            <w:vAlign w:val="bottom"/>
            <w:gridSpan w:val="3"/>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Senior Notes and Debentures</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4900" w:type="dxa"/>
            <w:vAlign w:val="bottom"/>
            <w:gridSpan w:val="3"/>
          </w:tcPr>
          <w:p>
            <w:pPr>
              <w:ind w:left="200"/>
              <w:spacing w:after="0" w:line="146" w:lineRule="exact"/>
              <w:rPr>
                <w:sz w:val="20"/>
                <w:szCs w:val="20"/>
                <w:color w:val="auto"/>
              </w:rPr>
            </w:pPr>
            <w:r>
              <w:rPr>
                <w:rFonts w:ascii="Arial" w:cs="Arial" w:eastAsia="Arial" w:hAnsi="Arial"/>
                <w:sz w:val="13"/>
                <w:szCs w:val="13"/>
                <w:i w:val="1"/>
                <w:iCs w:val="1"/>
                <w:color w:val="auto"/>
              </w:rPr>
              <w:t>Unsecured Fixed Rate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w w:val="92"/>
              </w:rPr>
              <w:t>6.99%</w:t>
            </w:r>
          </w:p>
        </w:tc>
        <w:tc>
          <w:tcPr>
            <w:tcW w:w="41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Medium Term Notes (6)</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53"/>
              <w:spacing w:after="0" w:line="146" w:lineRule="exact"/>
              <w:rPr>
                <w:sz w:val="20"/>
                <w:szCs w:val="20"/>
                <w:color w:val="auto"/>
              </w:rPr>
            </w:pPr>
            <w:r>
              <w:rPr>
                <w:rFonts w:ascii="Arial" w:cs="Arial" w:eastAsia="Arial" w:hAnsi="Arial"/>
                <w:sz w:val="13"/>
                <w:szCs w:val="13"/>
                <w:color w:val="auto"/>
              </w:rPr>
              <w:t>40,500</w:t>
            </w:r>
          </w:p>
        </w:tc>
        <w:tc>
          <w:tcPr>
            <w:tcW w:w="54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40,500</w:t>
            </w:r>
          </w:p>
        </w:tc>
        <w:tc>
          <w:tcPr>
            <w:tcW w:w="6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6" w:lineRule="exact"/>
              <w:rPr>
                <w:sz w:val="20"/>
                <w:szCs w:val="20"/>
                <w:color w:val="auto"/>
              </w:rPr>
            </w:pPr>
            <w:r>
              <w:rPr>
                <w:rFonts w:ascii="Arial" w:cs="Arial" w:eastAsia="Arial" w:hAnsi="Arial"/>
                <w:sz w:val="13"/>
                <w:szCs w:val="13"/>
                <w:color w:val="auto"/>
              </w:rPr>
              <w:t>6.894%</w:t>
            </w:r>
          </w:p>
        </w:tc>
        <w:tc>
          <w:tcPr>
            <w:tcW w:w="11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March 10, 2006</w:t>
            </w:r>
          </w:p>
        </w:tc>
      </w:tr>
      <w:tr>
        <w:trPr>
          <w:trHeight w:val="146"/>
        </w:trPr>
        <w:tc>
          <w:tcPr>
            <w:tcW w:w="20" w:type="dxa"/>
            <w:vAlign w:val="bottom"/>
          </w:tcPr>
          <w:p>
            <w:pPr>
              <w:spacing w:after="0"/>
              <w:rPr>
                <w:sz w:val="12"/>
                <w:szCs w:val="12"/>
                <w:color w:val="auto"/>
              </w:rPr>
            </w:pPr>
          </w:p>
        </w:tc>
        <w:tc>
          <w:tcPr>
            <w:tcW w:w="490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6.125% Notes (7)</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53"/>
              <w:spacing w:after="0" w:line="146" w:lineRule="exact"/>
              <w:rPr>
                <w:sz w:val="20"/>
                <w:szCs w:val="20"/>
                <w:color w:val="auto"/>
              </w:rPr>
            </w:pPr>
            <w:r>
              <w:rPr>
                <w:rFonts w:ascii="Arial" w:cs="Arial" w:eastAsia="Arial" w:hAnsi="Arial"/>
                <w:sz w:val="13"/>
                <w:szCs w:val="13"/>
                <w:color w:val="auto"/>
                <w:w w:val="89"/>
              </w:rPr>
              <w:t>150,000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150,000</w:t>
            </w:r>
          </w:p>
        </w:tc>
        <w:tc>
          <w:tcPr>
            <w:tcW w:w="680" w:type="dxa"/>
            <w:vAlign w:val="bottom"/>
          </w:tcPr>
          <w:p>
            <w:pPr>
              <w:spacing w:after="0"/>
              <w:rPr>
                <w:sz w:val="12"/>
                <w:szCs w:val="12"/>
                <w:color w:val="auto"/>
              </w:rPr>
            </w:pPr>
          </w:p>
        </w:tc>
        <w:tc>
          <w:tcPr>
            <w:tcW w:w="1820" w:type="dxa"/>
            <w:vAlign w:val="bottom"/>
            <w:gridSpan w:val="2"/>
          </w:tcPr>
          <w:p>
            <w:pPr>
              <w:jc w:val="right"/>
              <w:ind w:right="640"/>
              <w:spacing w:after="0" w:line="146" w:lineRule="exact"/>
              <w:rPr>
                <w:sz w:val="20"/>
                <w:szCs w:val="20"/>
                <w:color w:val="auto"/>
              </w:rPr>
            </w:pPr>
            <w:r>
              <w:rPr>
                <w:rFonts w:ascii="Arial" w:cs="Arial" w:eastAsia="Arial" w:hAnsi="Arial"/>
                <w:sz w:val="13"/>
                <w:szCs w:val="13"/>
                <w:color w:val="auto"/>
              </w:rPr>
              <w:t>6.325%</w:t>
            </w:r>
          </w:p>
        </w:tc>
        <w:tc>
          <w:tcPr>
            <w:tcW w:w="1160" w:type="dxa"/>
            <w:vAlign w:val="bottom"/>
          </w:tcPr>
          <w:p>
            <w:pPr>
              <w:jc w:val="right"/>
              <w:spacing w:after="0" w:line="146" w:lineRule="exact"/>
              <w:rPr>
                <w:sz w:val="20"/>
                <w:szCs w:val="20"/>
                <w:color w:val="auto"/>
              </w:rPr>
            </w:pPr>
            <w:r>
              <w:rPr>
                <w:rFonts w:ascii="Arial" w:cs="Arial" w:eastAsia="Arial" w:hAnsi="Arial"/>
                <w:sz w:val="13"/>
                <w:szCs w:val="13"/>
                <w:color w:val="auto"/>
                <w:w w:val="99"/>
              </w:rPr>
              <w:t>November 15, 2007</w:t>
            </w:r>
          </w:p>
        </w:tc>
      </w:tr>
      <w:tr>
        <w:trPr>
          <w:trHeight w:val="146"/>
        </w:trPr>
        <w:tc>
          <w:tcPr>
            <w:tcW w:w="20" w:type="dxa"/>
            <w:vAlign w:val="bottom"/>
          </w:tcPr>
          <w:p>
            <w:pPr>
              <w:spacing w:after="0"/>
              <w:rPr>
                <w:sz w:val="12"/>
                <w:szCs w:val="12"/>
                <w:color w:val="auto"/>
              </w:rPr>
            </w:pPr>
          </w:p>
        </w:tc>
        <w:tc>
          <w:tcPr>
            <w:tcW w:w="7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w w:val="92"/>
              </w:rPr>
              <w:t>8.75%</w:t>
            </w:r>
          </w:p>
        </w:tc>
        <w:tc>
          <w:tcPr>
            <w:tcW w:w="41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Notes</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53"/>
              <w:spacing w:after="0" w:line="146" w:lineRule="exact"/>
              <w:rPr>
                <w:sz w:val="20"/>
                <w:szCs w:val="20"/>
                <w:color w:val="auto"/>
              </w:rPr>
            </w:pPr>
            <w:r>
              <w:rPr>
                <w:rFonts w:ascii="Arial" w:cs="Arial" w:eastAsia="Arial" w:hAnsi="Arial"/>
                <w:sz w:val="13"/>
                <w:szCs w:val="13"/>
                <w:color w:val="auto"/>
                <w:w w:val="89"/>
              </w:rPr>
              <w:t>175,000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175,000</w:t>
            </w:r>
          </w:p>
        </w:tc>
        <w:tc>
          <w:tcPr>
            <w:tcW w:w="6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6" w:lineRule="exact"/>
              <w:rPr>
                <w:sz w:val="20"/>
                <w:szCs w:val="20"/>
                <w:color w:val="auto"/>
              </w:rPr>
            </w:pPr>
            <w:r>
              <w:rPr>
                <w:rFonts w:ascii="Arial" w:cs="Arial" w:eastAsia="Arial" w:hAnsi="Arial"/>
                <w:sz w:val="13"/>
                <w:szCs w:val="13"/>
                <w:color w:val="auto"/>
              </w:rPr>
              <w:t>8.750%</w:t>
            </w:r>
          </w:p>
        </w:tc>
        <w:tc>
          <w:tcPr>
            <w:tcW w:w="11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December 1, 2009</w:t>
            </w:r>
          </w:p>
        </w:tc>
      </w:tr>
      <w:tr>
        <w:trPr>
          <w:trHeight w:val="146"/>
        </w:trPr>
        <w:tc>
          <w:tcPr>
            <w:tcW w:w="20" w:type="dxa"/>
            <w:vAlign w:val="bottom"/>
          </w:tcPr>
          <w:p>
            <w:pPr>
              <w:spacing w:after="0"/>
              <w:rPr>
                <w:sz w:val="12"/>
                <w:szCs w:val="12"/>
                <w:color w:val="auto"/>
              </w:rPr>
            </w:pPr>
          </w:p>
        </w:tc>
        <w:tc>
          <w:tcPr>
            <w:tcW w:w="780" w:type="dxa"/>
            <w:vAlign w:val="bottom"/>
          </w:tcPr>
          <w:p>
            <w:pPr>
              <w:ind w:left="420"/>
              <w:spacing w:after="0" w:line="146" w:lineRule="exact"/>
              <w:rPr>
                <w:sz w:val="20"/>
                <w:szCs w:val="20"/>
                <w:color w:val="auto"/>
              </w:rPr>
            </w:pPr>
            <w:r>
              <w:rPr>
                <w:rFonts w:ascii="Arial" w:cs="Arial" w:eastAsia="Arial" w:hAnsi="Arial"/>
                <w:sz w:val="13"/>
                <w:szCs w:val="13"/>
                <w:color w:val="auto"/>
                <w:w w:val="92"/>
              </w:rPr>
              <w:t>4.50%</w:t>
            </w:r>
          </w:p>
        </w:tc>
        <w:tc>
          <w:tcPr>
            <w:tcW w:w="4120" w:type="dxa"/>
            <w:vAlign w:val="bottom"/>
            <w:gridSpan w:val="2"/>
          </w:tcPr>
          <w:p>
            <w:pPr>
              <w:spacing w:after="0" w:line="146" w:lineRule="exact"/>
              <w:rPr>
                <w:sz w:val="20"/>
                <w:szCs w:val="20"/>
                <w:color w:val="auto"/>
              </w:rPr>
            </w:pPr>
            <w:r>
              <w:rPr>
                <w:rFonts w:ascii="Arial" w:cs="Arial" w:eastAsia="Arial" w:hAnsi="Arial"/>
                <w:sz w:val="13"/>
                <w:szCs w:val="13"/>
                <w:color w:val="auto"/>
              </w:rPr>
              <w:t>Notes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53"/>
              <w:spacing w:after="0" w:line="146" w:lineRule="exact"/>
              <w:rPr>
                <w:sz w:val="20"/>
                <w:szCs w:val="20"/>
                <w:color w:val="auto"/>
              </w:rPr>
            </w:pPr>
            <w:r>
              <w:rPr>
                <w:rFonts w:ascii="Arial" w:cs="Arial" w:eastAsia="Arial" w:hAnsi="Arial"/>
                <w:sz w:val="13"/>
                <w:szCs w:val="13"/>
                <w:color w:val="auto"/>
              </w:rPr>
              <w:t>75,000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75,000</w:t>
            </w:r>
          </w:p>
        </w:tc>
        <w:tc>
          <w:tcPr>
            <w:tcW w:w="680" w:type="dxa"/>
            <w:vAlign w:val="bottom"/>
          </w:tcPr>
          <w:p>
            <w:pPr>
              <w:spacing w:after="0"/>
              <w:rPr>
                <w:sz w:val="12"/>
                <w:szCs w:val="12"/>
                <w:color w:val="auto"/>
              </w:rPr>
            </w:pPr>
          </w:p>
        </w:tc>
        <w:tc>
          <w:tcPr>
            <w:tcW w:w="1820" w:type="dxa"/>
            <w:vAlign w:val="bottom"/>
            <w:gridSpan w:val="2"/>
          </w:tcPr>
          <w:p>
            <w:pPr>
              <w:jc w:val="right"/>
              <w:ind w:right="640"/>
              <w:spacing w:after="0" w:line="146" w:lineRule="exact"/>
              <w:rPr>
                <w:sz w:val="20"/>
                <w:szCs w:val="20"/>
                <w:color w:val="auto"/>
              </w:rPr>
            </w:pPr>
            <w:r>
              <w:rPr>
                <w:rFonts w:ascii="Arial" w:cs="Arial" w:eastAsia="Arial" w:hAnsi="Arial"/>
                <w:sz w:val="13"/>
                <w:szCs w:val="13"/>
                <w:color w:val="auto"/>
              </w:rPr>
              <w:t>4.500%</w:t>
            </w:r>
          </w:p>
        </w:tc>
        <w:tc>
          <w:tcPr>
            <w:tcW w:w="1160" w:type="dxa"/>
            <w:vAlign w:val="bottom"/>
          </w:tcPr>
          <w:p>
            <w:pPr>
              <w:jc w:val="right"/>
              <w:spacing w:after="0" w:line="146" w:lineRule="exact"/>
              <w:rPr>
                <w:sz w:val="20"/>
                <w:szCs w:val="20"/>
                <w:color w:val="auto"/>
              </w:rPr>
            </w:pPr>
            <w:r>
              <w:rPr>
                <w:rFonts w:ascii="Arial" w:cs="Arial" w:eastAsia="Arial" w:hAnsi="Arial"/>
                <w:sz w:val="13"/>
                <w:szCs w:val="13"/>
                <w:color w:val="auto"/>
              </w:rPr>
              <w:t>February 15, 2011</w:t>
            </w:r>
          </w:p>
        </w:tc>
      </w:tr>
      <w:tr>
        <w:trPr>
          <w:trHeight w:val="146"/>
        </w:trPr>
        <w:tc>
          <w:tcPr>
            <w:tcW w:w="20" w:type="dxa"/>
            <w:vAlign w:val="bottom"/>
          </w:tcPr>
          <w:p>
            <w:pPr>
              <w:spacing w:after="0"/>
              <w:rPr>
                <w:sz w:val="12"/>
                <w:szCs w:val="12"/>
                <w:color w:val="auto"/>
              </w:rPr>
            </w:pPr>
          </w:p>
        </w:tc>
        <w:tc>
          <w:tcPr>
            <w:tcW w:w="7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w w:val="92"/>
              </w:rPr>
              <w:t>5.65%</w:t>
            </w:r>
          </w:p>
        </w:tc>
        <w:tc>
          <w:tcPr>
            <w:tcW w:w="41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Notes</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53"/>
              <w:spacing w:after="0" w:line="146" w:lineRule="exact"/>
              <w:rPr>
                <w:sz w:val="20"/>
                <w:szCs w:val="20"/>
                <w:color w:val="auto"/>
              </w:rPr>
            </w:pPr>
            <w:r>
              <w:rPr>
                <w:rFonts w:ascii="Arial" w:cs="Arial" w:eastAsia="Arial" w:hAnsi="Arial"/>
                <w:sz w:val="13"/>
                <w:szCs w:val="13"/>
                <w:color w:val="auto"/>
                <w:w w:val="89"/>
              </w:rPr>
              <w:t>125,000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125,000</w:t>
            </w:r>
          </w:p>
        </w:tc>
        <w:tc>
          <w:tcPr>
            <w:tcW w:w="6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6" w:lineRule="exact"/>
              <w:rPr>
                <w:sz w:val="20"/>
                <w:szCs w:val="20"/>
                <w:color w:val="auto"/>
              </w:rPr>
            </w:pPr>
            <w:r>
              <w:rPr>
                <w:rFonts w:ascii="Arial" w:cs="Arial" w:eastAsia="Arial" w:hAnsi="Arial"/>
                <w:sz w:val="13"/>
                <w:szCs w:val="13"/>
                <w:color w:val="auto"/>
              </w:rPr>
              <w:t>5.650%</w:t>
            </w:r>
          </w:p>
        </w:tc>
        <w:tc>
          <w:tcPr>
            <w:tcW w:w="11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June 1, 2016</w:t>
            </w:r>
          </w:p>
        </w:tc>
      </w:tr>
      <w:tr>
        <w:trPr>
          <w:trHeight w:val="146"/>
        </w:trPr>
        <w:tc>
          <w:tcPr>
            <w:tcW w:w="20" w:type="dxa"/>
            <w:vAlign w:val="bottom"/>
          </w:tcPr>
          <w:p>
            <w:pPr>
              <w:spacing w:after="0"/>
              <w:rPr>
                <w:sz w:val="12"/>
                <w:szCs w:val="12"/>
                <w:color w:val="auto"/>
              </w:rPr>
            </w:pPr>
          </w:p>
        </w:tc>
        <w:tc>
          <w:tcPr>
            <w:tcW w:w="780" w:type="dxa"/>
            <w:vAlign w:val="bottom"/>
          </w:tcPr>
          <w:p>
            <w:pPr>
              <w:ind w:left="420"/>
              <w:spacing w:after="0" w:line="146" w:lineRule="exact"/>
              <w:rPr>
                <w:sz w:val="20"/>
                <w:szCs w:val="20"/>
                <w:color w:val="auto"/>
              </w:rPr>
            </w:pPr>
            <w:r>
              <w:rPr>
                <w:rFonts w:ascii="Arial" w:cs="Arial" w:eastAsia="Arial" w:hAnsi="Arial"/>
                <w:sz w:val="13"/>
                <w:szCs w:val="13"/>
                <w:color w:val="auto"/>
                <w:w w:val="92"/>
              </w:rPr>
              <w:t>7.48%</w:t>
            </w:r>
          </w:p>
        </w:tc>
        <w:tc>
          <w:tcPr>
            <w:tcW w:w="4120" w:type="dxa"/>
            <w:vAlign w:val="bottom"/>
            <w:gridSpan w:val="2"/>
          </w:tcPr>
          <w:p>
            <w:pPr>
              <w:spacing w:after="0" w:line="146" w:lineRule="exact"/>
              <w:rPr>
                <w:sz w:val="20"/>
                <w:szCs w:val="20"/>
                <w:color w:val="auto"/>
              </w:rPr>
            </w:pPr>
            <w:r>
              <w:rPr>
                <w:rFonts w:ascii="Arial" w:cs="Arial" w:eastAsia="Arial" w:hAnsi="Arial"/>
                <w:sz w:val="13"/>
                <w:szCs w:val="13"/>
                <w:color w:val="auto"/>
              </w:rPr>
              <w:t>Debentures (8)</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53"/>
              <w:spacing w:after="0" w:line="146" w:lineRule="exact"/>
              <w:rPr>
                <w:sz w:val="20"/>
                <w:szCs w:val="20"/>
                <w:color w:val="auto"/>
              </w:rPr>
            </w:pPr>
            <w:r>
              <w:rPr>
                <w:rFonts w:ascii="Arial" w:cs="Arial" w:eastAsia="Arial" w:hAnsi="Arial"/>
                <w:sz w:val="13"/>
                <w:szCs w:val="13"/>
                <w:color w:val="auto"/>
              </w:rPr>
              <w:t>50,000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50,000</w:t>
            </w:r>
          </w:p>
        </w:tc>
        <w:tc>
          <w:tcPr>
            <w:tcW w:w="680" w:type="dxa"/>
            <w:vAlign w:val="bottom"/>
          </w:tcPr>
          <w:p>
            <w:pPr>
              <w:spacing w:after="0"/>
              <w:rPr>
                <w:sz w:val="12"/>
                <w:szCs w:val="12"/>
                <w:color w:val="auto"/>
              </w:rPr>
            </w:pPr>
          </w:p>
        </w:tc>
        <w:tc>
          <w:tcPr>
            <w:tcW w:w="1820" w:type="dxa"/>
            <w:vAlign w:val="bottom"/>
            <w:gridSpan w:val="2"/>
          </w:tcPr>
          <w:p>
            <w:pPr>
              <w:jc w:val="right"/>
              <w:ind w:right="640"/>
              <w:spacing w:after="0" w:line="146" w:lineRule="exact"/>
              <w:rPr>
                <w:sz w:val="20"/>
                <w:szCs w:val="20"/>
                <w:color w:val="auto"/>
              </w:rPr>
            </w:pPr>
            <w:r>
              <w:rPr>
                <w:rFonts w:ascii="Arial" w:cs="Arial" w:eastAsia="Arial" w:hAnsi="Arial"/>
                <w:sz w:val="13"/>
                <w:szCs w:val="13"/>
                <w:color w:val="auto"/>
              </w:rPr>
              <w:t>7.480%</w:t>
            </w:r>
          </w:p>
        </w:tc>
        <w:tc>
          <w:tcPr>
            <w:tcW w:w="1160" w:type="dxa"/>
            <w:vAlign w:val="bottom"/>
          </w:tcPr>
          <w:p>
            <w:pPr>
              <w:jc w:val="right"/>
              <w:spacing w:after="0" w:line="146" w:lineRule="exact"/>
              <w:rPr>
                <w:sz w:val="20"/>
                <w:szCs w:val="20"/>
                <w:color w:val="auto"/>
              </w:rPr>
            </w:pPr>
            <w:r>
              <w:rPr>
                <w:rFonts w:ascii="Arial" w:cs="Arial" w:eastAsia="Arial" w:hAnsi="Arial"/>
                <w:sz w:val="13"/>
                <w:szCs w:val="13"/>
                <w:color w:val="auto"/>
              </w:rPr>
              <w:t>August 15, 2026</w:t>
            </w:r>
          </w:p>
        </w:tc>
      </w:tr>
      <w:tr>
        <w:trPr>
          <w:trHeight w:val="146"/>
        </w:trPr>
        <w:tc>
          <w:tcPr>
            <w:tcW w:w="20" w:type="dxa"/>
            <w:vAlign w:val="bottom"/>
          </w:tcPr>
          <w:p>
            <w:pPr>
              <w:spacing w:after="0"/>
              <w:rPr>
                <w:sz w:val="12"/>
                <w:szCs w:val="12"/>
                <w:color w:val="auto"/>
              </w:rPr>
            </w:pPr>
          </w:p>
        </w:tc>
        <w:tc>
          <w:tcPr>
            <w:tcW w:w="7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w w:val="92"/>
              </w:rPr>
              <w:t>6.82%</w:t>
            </w:r>
          </w:p>
        </w:tc>
        <w:tc>
          <w:tcPr>
            <w:tcW w:w="41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Medium Term Notes (9)</w:t>
            </w: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53"/>
              <w:spacing w:after="0" w:line="146" w:lineRule="exact"/>
              <w:rPr>
                <w:sz w:val="20"/>
                <w:szCs w:val="20"/>
                <w:color w:val="auto"/>
              </w:rPr>
            </w:pPr>
            <w:r>
              <w:rPr>
                <w:rFonts w:ascii="Arial" w:cs="Arial" w:eastAsia="Arial" w:hAnsi="Arial"/>
                <w:sz w:val="13"/>
                <w:szCs w:val="13"/>
                <w:color w:val="auto"/>
              </w:rPr>
              <w:t>40,000</w:t>
            </w:r>
          </w:p>
        </w:tc>
        <w:tc>
          <w:tcPr>
            <w:tcW w:w="3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40,000</w:t>
            </w:r>
          </w:p>
        </w:tc>
        <w:tc>
          <w:tcPr>
            <w:tcW w:w="6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6" w:lineRule="exact"/>
              <w:rPr>
                <w:sz w:val="20"/>
                <w:szCs w:val="20"/>
                <w:color w:val="auto"/>
              </w:rPr>
            </w:pPr>
            <w:r>
              <w:rPr>
                <w:rFonts w:ascii="Arial" w:cs="Arial" w:eastAsia="Arial" w:hAnsi="Arial"/>
                <w:sz w:val="13"/>
                <w:szCs w:val="13"/>
                <w:color w:val="auto"/>
              </w:rPr>
              <w:t>6.820%</w:t>
            </w:r>
          </w:p>
        </w:tc>
        <w:tc>
          <w:tcPr>
            <w:tcW w:w="11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August 1, 2027</w:t>
            </w: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20" w:type="dxa"/>
            <w:vAlign w:val="bottom"/>
            <w:gridSpan w:val="2"/>
          </w:tcPr>
          <w:p>
            <w:pPr>
              <w:ind w:left="60"/>
              <w:spacing w:after="0"/>
              <w:rPr>
                <w:sz w:val="20"/>
                <w:szCs w:val="20"/>
                <w:color w:val="auto"/>
              </w:rPr>
            </w:pPr>
            <w:r>
              <w:rPr>
                <w:rFonts w:ascii="Arial" w:cs="Arial" w:eastAsia="Arial" w:hAnsi="Arial"/>
                <w:sz w:val="13"/>
                <w:szCs w:val="13"/>
                <w:color w:val="auto"/>
              </w:rPr>
              <w:t>Subtotal</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655,500</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120" w:type="dxa"/>
            <w:vAlign w:val="bottom"/>
            <w:gridSpan w:val="2"/>
            <w:shd w:val="clear" w:color="auto" w:fill="CCEEFF"/>
          </w:tcPr>
          <w:p>
            <w:pPr>
              <w:ind w:left="60"/>
              <w:spacing w:after="0" w:line="146" w:lineRule="exact"/>
              <w:rPr>
                <w:sz w:val="20"/>
                <w:szCs w:val="20"/>
                <w:color w:val="auto"/>
              </w:rPr>
            </w:pPr>
            <w:r>
              <w:rPr>
                <w:rFonts w:ascii="Arial" w:cs="Arial" w:eastAsia="Arial" w:hAnsi="Arial"/>
                <w:sz w:val="13"/>
                <w:szCs w:val="13"/>
                <w:color w:val="auto"/>
              </w:rPr>
              <w:t>Unamortized Discount</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40"/>
              <w:spacing w:after="0" w:line="146" w:lineRule="exact"/>
              <w:rPr>
                <w:sz w:val="20"/>
                <w:szCs w:val="20"/>
                <w:color w:val="auto"/>
              </w:rPr>
            </w:pPr>
            <w:r>
              <w:rPr>
                <w:rFonts w:ascii="Arial" w:cs="Arial" w:eastAsia="Arial" w:hAnsi="Arial"/>
                <w:sz w:val="13"/>
                <w:szCs w:val="13"/>
                <w:color w:val="auto"/>
              </w:rPr>
              <w:t>(1,825)</w:t>
            </w: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20" w:type="dxa"/>
            <w:vAlign w:val="bottom"/>
            <w:gridSpan w:val="2"/>
          </w:tcPr>
          <w:p>
            <w:pPr>
              <w:ind w:left="60"/>
              <w:spacing w:after="0"/>
              <w:rPr>
                <w:sz w:val="20"/>
                <w:szCs w:val="20"/>
                <w:color w:val="auto"/>
              </w:rPr>
            </w:pPr>
            <w:r>
              <w:rPr>
                <w:rFonts w:ascii="Arial" w:cs="Arial" w:eastAsia="Arial" w:hAnsi="Arial"/>
                <w:sz w:val="13"/>
                <w:szCs w:val="13"/>
                <w:color w:val="auto"/>
              </w:rPr>
              <w:t>Total Senior Notes and Debentures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653,675</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4900" w:type="dxa"/>
            <w:vAlign w:val="bottom"/>
            <w:gridSpan w:val="3"/>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Capital Lease Obligations</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4900" w:type="dxa"/>
            <w:vAlign w:val="bottom"/>
            <w:gridSpan w:val="3"/>
          </w:tcPr>
          <w:p>
            <w:pPr>
              <w:ind w:left="420"/>
              <w:spacing w:after="0"/>
              <w:rPr>
                <w:sz w:val="20"/>
                <w:szCs w:val="20"/>
                <w:color w:val="auto"/>
              </w:rPr>
            </w:pPr>
            <w:r>
              <w:rPr>
                <w:rFonts w:ascii="Arial" w:cs="Arial" w:eastAsia="Arial" w:hAnsi="Arial"/>
                <w:sz w:val="13"/>
                <w:szCs w:val="13"/>
                <w:color w:val="auto"/>
              </w:rPr>
              <w:t>Various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148,815</w:t>
            </w:r>
          </w:p>
        </w:tc>
        <w:tc>
          <w:tcPr>
            <w:tcW w:w="680" w:type="dxa"/>
            <w:vAlign w:val="bottom"/>
          </w:tcPr>
          <w:p>
            <w:pPr>
              <w:spacing w:after="0"/>
              <w:rPr>
                <w:sz w:val="13"/>
                <w:szCs w:val="13"/>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3"/>
                <w:szCs w:val="13"/>
                <w:color w:val="auto"/>
              </w:rPr>
              <w:t>Various</w:t>
            </w:r>
          </w:p>
        </w:tc>
        <w:tc>
          <w:tcPr>
            <w:tcW w:w="1160" w:type="dxa"/>
            <w:vAlign w:val="bottom"/>
          </w:tcPr>
          <w:p>
            <w:pPr>
              <w:jc w:val="right"/>
              <w:spacing w:after="0"/>
              <w:rPr>
                <w:sz w:val="20"/>
                <w:szCs w:val="20"/>
                <w:color w:val="auto"/>
              </w:rPr>
            </w:pPr>
            <w:r>
              <w:rPr>
                <w:rFonts w:ascii="Arial" w:cs="Arial" w:eastAsia="Arial" w:hAnsi="Arial"/>
                <w:sz w:val="13"/>
                <w:szCs w:val="13"/>
                <w:color w:val="auto"/>
                <w:w w:val="91"/>
              </w:rPr>
              <w:t>Various through 2077</w:t>
            </w:r>
          </w:p>
        </w:tc>
      </w:tr>
      <w:tr>
        <w:trPr>
          <w:trHeight w:val="146"/>
        </w:trPr>
        <w:tc>
          <w:tcPr>
            <w:tcW w:w="20" w:type="dxa"/>
            <w:vAlign w:val="bottom"/>
          </w:tcPr>
          <w:p>
            <w:pPr>
              <w:spacing w:after="0"/>
              <w:rPr>
                <w:sz w:val="12"/>
                <w:szCs w:val="12"/>
                <w:color w:val="auto"/>
              </w:rPr>
            </w:pPr>
          </w:p>
        </w:tc>
        <w:tc>
          <w:tcPr>
            <w:tcW w:w="4900" w:type="dxa"/>
            <w:vAlign w:val="bottom"/>
            <w:gridSpan w:val="3"/>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Total Debt and Capital Lease Obligations</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1,390,143</w:t>
            </w: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ind w:left="340" w:hanging="334"/>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Mortgage loans do not include our 30% share ($14.2 million) of the $47.2 million debt of the partnership with Clarion Lion Properties Fund.</w:t>
      </w:r>
    </w:p>
    <w:p>
      <w:pPr>
        <w:spacing w:after="0" w:line="6" w:lineRule="exact"/>
        <w:rPr>
          <w:rFonts w:ascii="Arial" w:cs="Arial" w:eastAsia="Arial" w:hAnsi="Arial"/>
          <w:sz w:val="13"/>
          <w:szCs w:val="13"/>
          <w:color w:val="auto"/>
        </w:rPr>
      </w:pPr>
    </w:p>
    <w:p>
      <w:pPr>
        <w:ind w:left="340" w:hanging="334"/>
        <w:spacing w:after="0" w:line="234"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The lender has the option to call the loan on April 15, 2013 or any time thereafter.</w:t>
      </w:r>
    </w:p>
    <w:p>
      <w:pPr>
        <w:ind w:left="340" w:right="260" w:hanging="334"/>
        <w:spacing w:after="0" w:line="234"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revolving credit facility offers a one-year extension option. The maximum amount drawn under the facility during 2005 was $159.7 million. The weighted average effective interest rate, including the amortization of deferred financing fees, on borrowings under the facility was 3.69% for the year ended December 31, 2005.</w:t>
      </w:r>
    </w:p>
    <w:p>
      <w:pPr>
        <w:spacing w:after="0" w:line="1" w:lineRule="exact"/>
        <w:rPr>
          <w:rFonts w:ascii="Arial" w:cs="Arial" w:eastAsia="Arial" w:hAnsi="Arial"/>
          <w:sz w:val="13"/>
          <w:szCs w:val="13"/>
          <w:color w:val="auto"/>
        </w:rPr>
      </w:pPr>
    </w:p>
    <w:p>
      <w:pPr>
        <w:ind w:left="340" w:right="40" w:hanging="334"/>
        <w:spacing w:after="0" w:line="234"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spacing w:after="0" w:line="1" w:lineRule="exact"/>
        <w:rPr>
          <w:rFonts w:ascii="Arial" w:cs="Arial" w:eastAsia="Arial" w:hAnsi="Arial"/>
          <w:sz w:val="13"/>
          <w:szCs w:val="13"/>
          <w:color w:val="auto"/>
        </w:rPr>
      </w:pPr>
    </w:p>
    <w:p>
      <w:pPr>
        <w:ind w:left="340" w:right="120" w:hanging="334"/>
        <w:spacing w:after="0" w:line="234"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bonds require monthly interest only payments through maturity. The bonds bear interest at a variable rate determined weekly, which would enable the bonds to be remarketed at 100% of their principal amount. The weighted average effective interest rate, including the amortization of deferred financing fees, was 3.77% for the twelve months ended December 31, 2005. The property is not encumbered by a lien.</w:t>
      </w:r>
    </w:p>
    <w:p>
      <w:pPr>
        <w:spacing w:after="0" w:line="1" w:lineRule="exact"/>
        <w:rPr>
          <w:rFonts w:ascii="Arial" w:cs="Arial" w:eastAsia="Arial" w:hAnsi="Arial"/>
          <w:sz w:val="13"/>
          <w:szCs w:val="13"/>
          <w:color w:val="auto"/>
        </w:rPr>
      </w:pPr>
    </w:p>
    <w:p>
      <w:pPr>
        <w:ind w:left="340" w:hanging="334"/>
        <w:spacing w:after="0" w:line="234"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We purchased interest rate swaps at issuance (in 1998), thereby reducing the effective interest rate from 6.99% to 6.894%.</w:t>
      </w:r>
    </w:p>
    <w:p>
      <w:pPr>
        <w:ind w:left="340" w:right="160" w:hanging="334"/>
        <w:spacing w:after="0" w:line="234"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We purchased an interest rate lock to hedge a planned note offering. A hedge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3"/>
          <w:szCs w:val="13"/>
          <w:color w:val="auto"/>
        </w:rPr>
      </w:pPr>
    </w:p>
    <w:p>
      <w:pPr>
        <w:ind w:left="340" w:hanging="334"/>
        <w:spacing w:after="0" w:line="234"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Beginning on August 15, 2008, the debentures are redeemable by the holders thereof at the original purchase price of $1,000 per debenture.</w:t>
      </w:r>
    </w:p>
    <w:p>
      <w:pPr>
        <w:ind w:left="340" w:hanging="334"/>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Beginning on August 1, 2007, the notes are redeemable by the holders thereof at the original purchase price of $1,000 per note.</w:t>
      </w:r>
    </w:p>
    <w:p>
      <w:pPr>
        <w:spacing w:after="0" w:line="147" w:lineRule="exact"/>
        <w:rPr>
          <w:sz w:val="20"/>
          <w:szCs w:val="20"/>
          <w:color w:val="auto"/>
        </w:rPr>
      </w:pPr>
    </w:p>
    <w:p>
      <w:pPr>
        <w:ind w:right="200" w:firstLine="457"/>
        <w:spacing w:after="0" w:line="285"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December 31, 2005,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270" w:right="239" w:bottom="1440" w:gutter="0" w:footer="0" w:header="0"/>
        </w:sectPr>
      </w:pPr>
    </w:p>
    <w:bookmarkStart w:id="50" w:name="page51"/>
    <w:bookmarkEnd w:id="50"/>
    <w:p>
      <w:pPr>
        <w:ind w:right="780" w:firstLine="457"/>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Below are the aggregate principal payments required as of December 31, 2005 under our debt financing arrangements by year. Scheduled principal installments and amounts due at maturity are included.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53"/>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9"/>
        </w:trPr>
        <w:tc>
          <w:tcPr>
            <w:tcW w:w="1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Secured</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6"/>
              </w:rPr>
              <w:t>Leases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Unsecured</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r>
      <w:tr>
        <w:trPr>
          <w:trHeight w:val="140"/>
        </w:trPr>
        <w:tc>
          <w:tcPr>
            <w:tcW w:w="1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380"/>
              <w:spacing w:after="0" w:line="140" w:lineRule="exact"/>
              <w:rPr>
                <w:sz w:val="20"/>
                <w:szCs w:val="20"/>
                <w:color w:val="auto"/>
              </w:rPr>
            </w:pPr>
            <w:r>
              <w:rPr>
                <w:rFonts w:ascii="Arial" w:cs="Arial" w:eastAsia="Arial" w:hAnsi="Arial"/>
                <w:sz w:val="13"/>
                <w:szCs w:val="13"/>
                <w:b w:val="1"/>
                <w:bCs w:val="1"/>
                <w:color w:val="auto"/>
              </w:rPr>
              <w:t>(In</w:t>
            </w:r>
          </w:p>
        </w:tc>
        <w:tc>
          <w:tcPr>
            <w:tcW w:w="1120" w:type="dxa"/>
            <w:vAlign w:val="bottom"/>
            <w:gridSpan w:val="3"/>
          </w:tcPr>
          <w:p>
            <w:pPr>
              <w:jc w:val="right"/>
              <w:ind w:right="413"/>
              <w:spacing w:after="0" w:line="140" w:lineRule="exact"/>
              <w:rPr>
                <w:sz w:val="20"/>
                <w:szCs w:val="20"/>
                <w:color w:val="auto"/>
              </w:rPr>
            </w:pPr>
            <w:r>
              <w:rPr>
                <w:rFonts w:ascii="Arial" w:cs="Arial" w:eastAsia="Arial" w:hAnsi="Arial"/>
                <w:sz w:val="13"/>
                <w:szCs w:val="13"/>
                <w:b w:val="1"/>
                <w:bCs w:val="1"/>
                <w:color w:val="auto"/>
                <w:w w:val="88"/>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3"/>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30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1,230</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$196,185(1)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201,064(1)</w:t>
            </w:r>
          </w:p>
        </w:tc>
      </w:tr>
      <w:tr>
        <w:trPr>
          <w:trHeight w:val="213"/>
        </w:trPr>
        <w:tc>
          <w:tcPr>
            <w:tcW w:w="1180" w:type="dxa"/>
            <w:vAlign w:val="bottom"/>
          </w:tcPr>
          <w:p>
            <w:pPr>
              <w:spacing w:after="0"/>
              <w:rPr>
                <w:sz w:val="20"/>
                <w:szCs w:val="20"/>
                <w:color w:val="auto"/>
              </w:rPr>
            </w:pPr>
            <w:r>
              <w:rPr>
                <w:rFonts w:ascii="Arial" w:cs="Arial" w:eastAsia="Arial" w:hAnsi="Arial"/>
                <w:sz w:val="17"/>
                <w:szCs w:val="17"/>
                <w:color w:val="auto"/>
              </w:rPr>
              <w:t>2007</w:t>
            </w:r>
          </w:p>
        </w:tc>
        <w:tc>
          <w:tcPr>
            <w:tcW w:w="3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18"/>
                <w:szCs w:val="18"/>
                <w:color w:val="auto"/>
              </w:rPr>
            </w:pPr>
          </w:p>
        </w:tc>
        <w:tc>
          <w:tcPr>
            <w:tcW w:w="780" w:type="dxa"/>
            <w:vAlign w:val="bottom"/>
            <w:gridSpan w:val="2"/>
          </w:tcPr>
          <w:p>
            <w:pPr>
              <w:jc w:val="right"/>
              <w:ind w:right="153"/>
              <w:spacing w:after="0"/>
              <w:rPr>
                <w:sz w:val="20"/>
                <w:szCs w:val="20"/>
                <w:color w:val="auto"/>
              </w:rPr>
            </w:pPr>
            <w:r>
              <w:rPr>
                <w:rFonts w:ascii="Arial" w:cs="Arial" w:eastAsia="Arial" w:hAnsi="Arial"/>
                <w:sz w:val="17"/>
                <w:szCs w:val="17"/>
                <w:color w:val="auto"/>
              </w:rPr>
              <w:t>1,330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150,204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155,747</w:t>
            </w:r>
          </w:p>
        </w:tc>
        <w:tc>
          <w:tcPr>
            <w:tcW w:w="220" w:type="dxa"/>
            <w:vAlign w:val="bottom"/>
          </w:tcPr>
          <w:p>
            <w:pPr>
              <w:spacing w:after="0"/>
              <w:rPr>
                <w:sz w:val="18"/>
                <w:szCs w:val="18"/>
                <w:color w:val="auto"/>
              </w:rPr>
            </w:pPr>
          </w:p>
        </w:tc>
      </w:tr>
      <w:tr>
        <w:trPr>
          <w:trHeight w:val="213"/>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1,462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150,226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165,692</w:t>
            </w:r>
          </w:p>
        </w:tc>
        <w:tc>
          <w:tcPr>
            <w:tcW w:w="220" w:type="dxa"/>
            <w:vAlign w:val="bottom"/>
            <w:shd w:val="clear" w:color="auto" w:fill="CCEEFF"/>
          </w:tcPr>
          <w:p>
            <w:pPr>
              <w:spacing w:after="0"/>
              <w:rPr>
                <w:sz w:val="18"/>
                <w:szCs w:val="18"/>
                <w:color w:val="auto"/>
              </w:rPr>
            </w:pPr>
          </w:p>
        </w:tc>
      </w:tr>
      <w:tr>
        <w:trPr>
          <w:trHeight w:val="213"/>
        </w:trPr>
        <w:tc>
          <w:tcPr>
            <w:tcW w:w="1180" w:type="dxa"/>
            <w:vAlign w:val="bottom"/>
          </w:tcPr>
          <w:p>
            <w:pPr>
              <w:spacing w:after="0"/>
              <w:rPr>
                <w:sz w:val="20"/>
                <w:szCs w:val="20"/>
                <w:color w:val="auto"/>
              </w:rPr>
            </w:pPr>
            <w:r>
              <w:rPr>
                <w:rFonts w:ascii="Arial" w:cs="Arial" w:eastAsia="Arial" w:hAnsi="Arial"/>
                <w:sz w:val="17"/>
                <w:szCs w:val="17"/>
                <w:color w:val="auto"/>
              </w:rPr>
              <w:t>2009</w:t>
            </w:r>
          </w:p>
        </w:tc>
        <w:tc>
          <w:tcPr>
            <w:tcW w:w="3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8,946</w:t>
            </w:r>
          </w:p>
        </w:tc>
        <w:tc>
          <w:tcPr>
            <w:tcW w:w="100" w:type="dxa"/>
            <w:vAlign w:val="bottom"/>
          </w:tcPr>
          <w:p>
            <w:pPr>
              <w:spacing w:after="0"/>
              <w:rPr>
                <w:sz w:val="18"/>
                <w:szCs w:val="18"/>
                <w:color w:val="auto"/>
              </w:rPr>
            </w:pPr>
          </w:p>
        </w:tc>
        <w:tc>
          <w:tcPr>
            <w:tcW w:w="780" w:type="dxa"/>
            <w:vAlign w:val="bottom"/>
            <w:gridSpan w:val="2"/>
          </w:tcPr>
          <w:p>
            <w:pPr>
              <w:jc w:val="right"/>
              <w:ind w:right="153"/>
              <w:spacing w:after="0"/>
              <w:rPr>
                <w:sz w:val="20"/>
                <w:szCs w:val="20"/>
                <w:color w:val="auto"/>
              </w:rPr>
            </w:pPr>
            <w:r>
              <w:rPr>
                <w:rFonts w:ascii="Arial" w:cs="Arial" w:eastAsia="Arial" w:hAnsi="Arial"/>
                <w:sz w:val="17"/>
                <w:szCs w:val="17"/>
                <w:color w:val="auto"/>
              </w:rPr>
              <w:t>1,658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175,295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185,899</w:t>
            </w:r>
          </w:p>
        </w:tc>
        <w:tc>
          <w:tcPr>
            <w:tcW w:w="220" w:type="dxa"/>
            <w:vAlign w:val="bottom"/>
          </w:tcPr>
          <w:p>
            <w:pPr>
              <w:spacing w:after="0"/>
              <w:rPr>
                <w:sz w:val="18"/>
                <w:szCs w:val="18"/>
                <w:color w:val="auto"/>
              </w:rPr>
            </w:pPr>
          </w:p>
        </w:tc>
      </w:tr>
      <w:tr>
        <w:trPr>
          <w:trHeight w:val="213"/>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4,930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1,791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6,996</w:t>
            </w:r>
          </w:p>
        </w:tc>
        <w:tc>
          <w:tcPr>
            <w:tcW w:w="220" w:type="dxa"/>
            <w:vAlign w:val="bottom"/>
            <w:shd w:val="clear" w:color="auto" w:fill="CCEEFF"/>
          </w:tcPr>
          <w:p>
            <w:pPr>
              <w:spacing w:after="0"/>
              <w:rPr>
                <w:sz w:val="18"/>
                <w:szCs w:val="18"/>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7"/>
                <w:szCs w:val="17"/>
                <w:color w:val="auto"/>
              </w:rPr>
              <w:t>2011 and thereafter (2)</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235,156</w:t>
            </w:r>
          </w:p>
        </w:tc>
        <w:tc>
          <w:tcPr>
            <w:tcW w:w="100" w:type="dxa"/>
            <w:vAlign w:val="bottom"/>
          </w:tcPr>
          <w:p>
            <w:pPr>
              <w:spacing w:after="0"/>
              <w:rPr>
                <w:sz w:val="18"/>
                <w:szCs w:val="18"/>
                <w:color w:val="auto"/>
              </w:rPr>
            </w:pPr>
          </w:p>
        </w:tc>
        <w:tc>
          <w:tcPr>
            <w:tcW w:w="780" w:type="dxa"/>
            <w:vAlign w:val="bottom"/>
            <w:gridSpan w:val="2"/>
          </w:tcPr>
          <w:p>
            <w:pPr>
              <w:jc w:val="right"/>
              <w:ind w:right="153"/>
              <w:spacing w:after="0"/>
              <w:rPr>
                <w:sz w:val="20"/>
                <w:szCs w:val="20"/>
                <w:color w:val="auto"/>
              </w:rPr>
            </w:pPr>
            <w:r>
              <w:rPr>
                <w:rFonts w:ascii="Arial" w:cs="Arial" w:eastAsia="Arial" w:hAnsi="Arial"/>
                <w:sz w:val="17"/>
                <w:szCs w:val="17"/>
                <w:color w:val="auto"/>
                <w:w w:val="87"/>
              </w:rPr>
              <w:t>141,344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300,070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676,570(3)</w:t>
            </w:r>
          </w:p>
        </w:tc>
      </w:tr>
      <w:tr>
        <w:trPr>
          <w:trHeight w:val="27"/>
        </w:trPr>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3"/>
        </w:trPr>
        <w:tc>
          <w:tcPr>
            <w:tcW w:w="1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270,898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w w:val="87"/>
              </w:rPr>
              <w:t>148,815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972,255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1,391,968</w:t>
            </w:r>
          </w:p>
        </w:tc>
        <w:tc>
          <w:tcPr>
            <w:tcW w:w="220" w:type="dxa"/>
            <w:vAlign w:val="bottom"/>
            <w:shd w:val="clear" w:color="auto" w:fill="CCEEFF"/>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0"/>
        </w:trPr>
        <w:tc>
          <w:tcPr>
            <w:tcW w:w="118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organizational documents do not limit the level or amount of debt that we may incur.</w:t>
      </w:r>
    </w:p>
    <w:p>
      <w:pPr>
        <w:spacing w:after="0" w:line="25" w:lineRule="exact"/>
        <w:rPr>
          <w:sz w:val="20"/>
          <w:szCs w:val="20"/>
          <w:color w:val="auto"/>
        </w:rPr>
      </w:pPr>
    </w:p>
    <w:p>
      <w:pPr>
        <w:ind w:left="460" w:hanging="454"/>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$55.5 million outstanding under our revolving credit facility.</w:t>
      </w:r>
    </w:p>
    <w:p>
      <w:pPr>
        <w:spacing w:after="0" w:line="17" w:lineRule="exact"/>
        <w:rPr>
          <w:rFonts w:ascii="Arial" w:cs="Arial" w:eastAsia="Arial" w:hAnsi="Arial"/>
          <w:sz w:val="17"/>
          <w:szCs w:val="17"/>
          <w:color w:val="auto"/>
        </w:rPr>
      </w:pPr>
    </w:p>
    <w:p>
      <w:pPr>
        <w:ind w:left="460" w:right="200" w:hanging="454"/>
        <w:spacing w:after="0" w:line="277"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$12.6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1" w:lineRule="exact"/>
        <w:rPr>
          <w:rFonts w:ascii="Arial" w:cs="Arial" w:eastAsia="Arial" w:hAnsi="Arial"/>
          <w:sz w:val="16"/>
          <w:szCs w:val="16"/>
          <w:color w:val="auto"/>
        </w:rPr>
      </w:pPr>
    </w:p>
    <w:p>
      <w:pPr>
        <w:jc w:val="both"/>
        <w:ind w:left="460" w:right="480" w:hanging="454"/>
        <w:spacing w:after="0" w:line="352"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total scheduled principal installments and amounts due at maturity differs from the total of debt and capital lease obligations reported in the Trust’s consolidated balance sheet at December 31, 2005 due to the unamortized discount recorded for GAAP purposes on certain senior notes and debentures.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Hedging</w:t>
      </w:r>
    </w:p>
    <w:p>
      <w:pPr>
        <w:spacing w:after="0" w:line="9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2005, 2004 and 2003, and we do not anticipate it will have a significant effect in the future.</w:t>
      </w:r>
    </w:p>
    <w:p>
      <w:pPr>
        <w:spacing w:after="0" w:line="133" w:lineRule="exact"/>
        <w:rPr>
          <w:sz w:val="20"/>
          <w:szCs w:val="20"/>
          <w:color w:val="auto"/>
        </w:rPr>
      </w:pPr>
    </w:p>
    <w:p>
      <w:pPr>
        <w:jc w:val="both"/>
        <w:ind w:right="80" w:firstLine="457"/>
        <w:spacing w:after="0" w:line="276" w:lineRule="auto"/>
        <w:rPr>
          <w:sz w:val="20"/>
          <w:szCs w:val="20"/>
          <w:color w:val="auto"/>
        </w:rPr>
      </w:pPr>
      <w:r>
        <w:rPr>
          <w:rFonts w:ascii="Arial" w:cs="Arial" w:eastAsia="Arial" w:hAnsi="Arial"/>
          <w:sz w:val="17"/>
          <w:szCs w:val="17"/>
          <w:color w:val="auto"/>
        </w:rPr>
        <w:t>In January 2004, we entered into an interest rate swap to fix the LIBOR portion of our $150 million term loan issued in October of 2003. This swap fixed the LIBOR portion at 2.401% through October 2006. The current interest rate on this term loan, taking into account this swap, is 3.351% (2.401% plus 95 basis points) and will remain at this rate through October 2006 assuming no change in our debt rating.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2002, in anticipation of a $150 million senior unsecured note offering, we entered into a treasury lock that fixed the five year treasury rate at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3.472% through August 19, 2002. On August 16, 2002, we priced the senior unsecured notes with a scheduled closing date of August 21, 2002 and closed on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associated rate lock. Five-year treasury rates declined between the pricing period and the settlement of the rate lock and therefore, we paid $1.5 million to settle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rate lock. As a result of the August 19, 2002 fire at Santana Row, we did not proceed with the note offering at that time. However, we consummated a $150 million,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6.125% Senior Unsecured Note offering on November 2002, and thus, the hedge loss is being amortized into interest expense over the life of these notes.</w:t>
      </w:r>
    </w:p>
    <w:p>
      <w:pPr>
        <w:spacing w:after="0" w:line="181" w:lineRule="exact"/>
        <w:rPr>
          <w:sz w:val="20"/>
          <w:szCs w:val="20"/>
          <w:color w:val="auto"/>
        </w:rPr>
      </w:pPr>
    </w:p>
    <w:p>
      <w:pPr>
        <w:ind w:right="400" w:firstLine="457"/>
        <w:spacing w:after="0" w:line="291" w:lineRule="auto"/>
        <w:rPr>
          <w:sz w:val="20"/>
          <w:szCs w:val="20"/>
          <w:color w:val="auto"/>
        </w:rPr>
      </w:pPr>
      <w:r>
        <w:rPr>
          <w:rFonts w:ascii="Arial" w:cs="Arial" w:eastAsia="Arial" w:hAnsi="Arial"/>
          <w:sz w:val="17"/>
          <w:szCs w:val="17"/>
          <w:color w:val="auto"/>
        </w:rPr>
        <w:t>We also purchased an interest rate swap that terminates March 2006, with a notional amount of $40.5 million upon issuance of our 6.99% Medium Term Notes, which reduced the effective interest rate from 6.99% to 6.894%.</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277"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REIT Qualification</w:t>
      </w:r>
    </w:p>
    <w:p>
      <w:pPr>
        <w:spacing w:after="0" w:line="97"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90% of our REIT taxable income (including net capital gain) to our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103"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53" w:lineRule="exact"/>
        <w:rPr>
          <w:sz w:val="20"/>
          <w:szCs w:val="20"/>
          <w:color w:val="auto"/>
        </w:rPr>
      </w:pPr>
    </w:p>
    <w:p>
      <w:pPr>
        <w:ind w:left="800" w:right="180" w:hanging="341"/>
        <w:spacing w:after="0" w:line="291"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does not represent cash flows from operating activities in accordance with GAAP (which, unlike FFO, generally reflects all cash effects of transactions and other events in the determination of net income);</w:t>
      </w:r>
    </w:p>
    <w:p>
      <w:pPr>
        <w:spacing w:after="0" w:line="31" w:lineRule="exact"/>
        <w:rPr>
          <w:rFonts w:ascii="Arial" w:cs="Arial" w:eastAsia="Arial" w:hAnsi="Arial"/>
          <w:sz w:val="17"/>
          <w:szCs w:val="17"/>
          <w:color w:val="auto"/>
        </w:rPr>
      </w:pPr>
    </w:p>
    <w:p>
      <w:pPr>
        <w:ind w:left="800" w:hanging="341"/>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should not be considered an alternative to net income as an indication of our performance; and</w:t>
      </w:r>
    </w:p>
    <w:p>
      <w:pPr>
        <w:spacing w:after="0" w:line="97" w:lineRule="exact"/>
        <w:rPr>
          <w:rFonts w:ascii="Arial" w:cs="Arial" w:eastAsia="Arial" w:hAnsi="Arial"/>
          <w:sz w:val="17"/>
          <w:szCs w:val="17"/>
          <w:color w:val="auto"/>
        </w:rPr>
      </w:pPr>
    </w:p>
    <w:p>
      <w:pPr>
        <w:ind w:left="800" w:hanging="341"/>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is not necessarily indicative of cash flow as a measure of liquidity or ability to fund cash needs, including the payment of dividends.</w:t>
      </w:r>
    </w:p>
    <w:p>
      <w:pPr>
        <w:spacing w:after="0" w:line="177" w:lineRule="exact"/>
        <w:rPr>
          <w:sz w:val="20"/>
          <w:szCs w:val="20"/>
          <w:color w:val="auto"/>
        </w:rPr>
      </w:pPr>
    </w:p>
    <w:p>
      <w:pPr>
        <w:ind w:right="260" w:firstLine="457"/>
        <w:spacing w:after="0" w:line="268" w:lineRule="auto"/>
        <w:rPr>
          <w:sz w:val="20"/>
          <w:szCs w:val="20"/>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3"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(excluding net capital gain) to remain qualified as a REIT. Therefore, a significant increase in FFO will generally require an increase in distributions to shareholders although not necessarily on a proportionate basis.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10"/>
          </w:tcPr>
          <w:p>
            <w:pPr>
              <w:jc w:val="right"/>
              <w:ind w:right="50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5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0" w:lineRule="exact"/>
              <w:rPr>
                <w:sz w:val="20"/>
                <w:szCs w:val="20"/>
                <w:color w:val="auto"/>
              </w:rPr>
            </w:pPr>
            <w:r>
              <w:rPr>
                <w:rFonts w:ascii="Arial" w:cs="Arial" w:eastAsia="Arial" w:hAnsi="Arial"/>
                <w:sz w:val="13"/>
                <w:szCs w:val="13"/>
                <w:b w:val="1"/>
                <w:bCs w:val="1"/>
                <w:color w:val="auto"/>
              </w:rPr>
              <w:t>2005</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rPr>
              <w:t>2004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8"/>
              <w:spacing w:after="0" w:line="140"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1"/>
              </w:rPr>
              <w:t>thousands,</w:t>
            </w:r>
          </w:p>
        </w:tc>
        <w:tc>
          <w:tcPr>
            <w:tcW w:w="1800" w:type="dxa"/>
            <w:vAlign w:val="bottom"/>
            <w:gridSpan w:val="7"/>
          </w:tcPr>
          <w:p>
            <w:pPr>
              <w:jc w:val="right"/>
              <w:ind w:right="400"/>
              <w:spacing w:after="0" w:line="140" w:lineRule="exact"/>
              <w:rPr>
                <w:sz w:val="20"/>
                <w:szCs w:val="20"/>
                <w:color w:val="auto"/>
              </w:rPr>
            </w:pPr>
            <w:r>
              <w:rPr>
                <w:rFonts w:ascii="Arial" w:cs="Arial" w:eastAsia="Arial" w:hAnsi="Arial"/>
                <w:sz w:val="13"/>
                <w:szCs w:val="13"/>
                <w:b w:val="1"/>
                <w:bCs w:val="1"/>
                <w:color w:val="auto"/>
                <w:w w:val="99"/>
              </w:rPr>
              <w:t>except per share data)</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w w:val="87"/>
              </w:rPr>
              <w:t>114,612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7"/>
                <w:szCs w:val="17"/>
                <w:color w:val="auto"/>
                <w:w w:val="94"/>
              </w:rPr>
              <w:t>(30,748)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(14,052)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(20,053)</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82,752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7"/>
                <w:szCs w:val="17"/>
                <w:color w:val="auto"/>
              </w:rPr>
              <w:t>6,972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630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b w:val="1"/>
                <w:bCs w:val="1"/>
                <w:color w:val="auto"/>
              </w:rPr>
              <w:t>Funds from operations</w:t>
            </w:r>
          </w:p>
        </w:tc>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7"/>
                <w:szCs w:val="17"/>
                <w:color w:val="auto"/>
                <w:w w:val="87"/>
              </w:rPr>
              <w:t>174,218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159,091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w w:val="94"/>
              </w:rPr>
              <w:t>(11,475)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(11,475)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(15,084)</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7"/>
                <w:szCs w:val="17"/>
                <w:color w:val="auto"/>
              </w:rPr>
              <w:t>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redemption costs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6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190"/>
              <w:spacing w:after="0"/>
              <w:rPr>
                <w:sz w:val="20"/>
                <w:szCs w:val="20"/>
                <w:color w:val="auto"/>
              </w:rPr>
            </w:pPr>
            <w:r>
              <w:rPr>
                <w:rFonts w:ascii="Arial" w:cs="Arial" w:eastAsia="Arial" w:hAnsi="Arial"/>
                <w:sz w:val="17"/>
                <w:szCs w:val="17"/>
                <w:color w:val="auto"/>
                <w:w w:val="87"/>
              </w:rPr>
              <w:t>163,544</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148,671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131,257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53,469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60" w:type="dxa"/>
            <w:vAlign w:val="bottom"/>
          </w:tcPr>
          <w:p>
            <w:pPr>
              <w:spacing w:after="0"/>
              <w:rPr>
                <w:sz w:val="20"/>
                <w:szCs w:val="20"/>
                <w:color w:val="auto"/>
              </w:rPr>
            </w:pPr>
            <w:r>
              <w:rPr>
                <w:rFonts w:ascii="Arial" w:cs="Arial" w:eastAsia="Arial" w:hAnsi="Arial"/>
                <w:sz w:val="17"/>
                <w:szCs w:val="17"/>
                <w:color w:val="auto"/>
                <w:w w:val="94"/>
              </w:rPr>
              <w:t>Funds from operations available for common shareholders, per diluted share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90"/>
              <w:spacing w:after="0"/>
              <w:rPr>
                <w:sz w:val="20"/>
                <w:szCs w:val="20"/>
                <w:color w:val="auto"/>
              </w:rPr>
            </w:pPr>
            <w:r>
              <w:rPr>
                <w:rFonts w:ascii="Arial" w:cs="Arial" w:eastAsia="Arial" w:hAnsi="Arial"/>
                <w:sz w:val="17"/>
                <w:szCs w:val="17"/>
                <w:color w:val="auto"/>
              </w:rPr>
              <w:t>3.06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2.85</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5460" w:type="dxa"/>
            <w:vAlign w:val="bottom"/>
          </w:tcPr>
          <w:p>
            <w:pPr>
              <w:spacing w:after="0"/>
              <w:rPr>
                <w:sz w:val="24"/>
                <w:szCs w:val="24"/>
                <w:color w:val="auto"/>
              </w:rPr>
            </w:pPr>
          </w:p>
        </w:tc>
        <w:tc>
          <w:tcPr>
            <w:tcW w:w="3100" w:type="dxa"/>
            <w:vAlign w:val="bottom"/>
          </w:tcPr>
          <w:p>
            <w:pPr>
              <w:jc w:val="right"/>
              <w:ind w:right="2674"/>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52" w:name="page53"/>
    <w:bookmarkEnd w:id="52"/>
    <w:p>
      <w:pPr>
        <w:spacing w:after="0"/>
        <w:tabs>
          <w:tab w:leader="none" w:pos="9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ITEM 7A.</w:t>
        <w:tab/>
        <w:t>QUANTITATIVE AND QUALITATIVE DISCLOSURES ABOUT MARKET RISK</w:t>
      </w:r>
    </w:p>
    <w:p>
      <w:pPr>
        <w:spacing w:after="0" w:line="10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8" w:lineRule="exact"/>
        <w:rPr>
          <w:sz w:val="20"/>
          <w:szCs w:val="20"/>
          <w:color w:val="auto"/>
        </w:rPr>
      </w:pPr>
    </w:p>
    <w:p>
      <w:pPr>
        <w:jc w:val="both"/>
        <w:ind w:firstLine="457"/>
        <w:spacing w:after="0" w:line="289" w:lineRule="auto"/>
        <w:rPr>
          <w:sz w:val="20"/>
          <w:szCs w:val="20"/>
          <w:color w:val="auto"/>
        </w:rPr>
      </w:pPr>
      <w:r>
        <w:rPr>
          <w:rFonts w:ascii="Arial" w:cs="Arial" w:eastAsia="Arial" w:hAnsi="Arial"/>
          <w:sz w:val="16"/>
          <w:szCs w:val="16"/>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are exposed to credit loss in the event of non-performance by the counter party to our interest rate swap used to fix the LIBOR portion of our $150 million term loan. The counterparty of this swap has a long-term debt rating of “A” by Standard and Poor’s Rating Service and “A1” by Moody’s Investor Service as of December 31, 2005.</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3"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Fixed Interest Rate Debt</w:t>
      </w:r>
    </w:p>
    <w:p>
      <w:pPr>
        <w:spacing w:after="0" w:line="97" w:lineRule="exact"/>
        <w:rPr>
          <w:sz w:val="20"/>
          <w:szCs w:val="20"/>
          <w:color w:val="auto"/>
        </w:rPr>
      </w:pPr>
    </w:p>
    <w:p>
      <w:pPr>
        <w:ind w:right="20" w:firstLine="457"/>
        <w:spacing w:after="0" w:line="312" w:lineRule="auto"/>
        <w:rPr>
          <w:sz w:val="20"/>
          <w:szCs w:val="20"/>
          <w:color w:val="auto"/>
        </w:rPr>
      </w:pPr>
      <w:r>
        <w:rPr>
          <w:rFonts w:ascii="Arial" w:cs="Arial" w:eastAsia="Arial" w:hAnsi="Arial"/>
          <w:sz w:val="15"/>
          <w:szCs w:val="15"/>
          <w:color w:val="auto"/>
        </w:rPr>
        <w:t>The majority of our outstanding debt obligations (maturing at various times through 2028 or through 2077 including capital lease obligations) have fixed interest rates which limit the risk of fluctuating interest rates. Interest rate fluctuations may affect the fair value of our fixed rate debt instruments, however. At December 31, 2005 we had $1.2 billion of fixed-rate debt outstanding. If interest rates on our fixed-rate debt instruments at December 31, 2005 had been 1.0% higher, the fair value of those debt instruments on that date would have decreased by approximately $45.2 million. If interest rates on our fixed-rate debt instruments at December 31, 2005 had been 1.0% lower, the fair value of those debt instruments on that date would have increased by approximately $52.0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Rate Debt</w:t>
      </w:r>
    </w:p>
    <w:p>
      <w:pPr>
        <w:spacing w:after="0" w:line="97"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We believe that our primary interest rate risk is due to fluctuations in interest rates on our variable rate debt. At December 31, 2005, we had $164.9 million of variable rate debt outstanding. Based upon this amount of variable rate debt, if interest rates increased 1.0%, our annual interest expense would increase by approximately $1.6 million, and our net income and cash flows for the year would decrease by approximately $1.6 million. Conversely, if interest rates decreased</w:t>
      </w:r>
    </w:p>
    <w:p>
      <w:pPr>
        <w:spacing w:after="0" w:line="2"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1.0%, our annual interest expense would decrease by approximately $1.6 million, and our net income and cash flows for the year would increase by approximately $1.6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271" w:right="239" w:bottom="1440" w:gutter="0" w:footer="0" w:header="0"/>
        </w:sectPr>
      </w:pPr>
    </w:p>
    <w:bookmarkStart w:id="53" w:name="page54"/>
    <w:bookmarkEnd w:id="53"/>
    <w:p>
      <w:pPr>
        <w:spacing w:after="0"/>
        <w:tabs>
          <w:tab w:leader="none" w:pos="10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03"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Our consolidated financial statements and supplementary data are included as a separate section of this Annual Report on Form 10-K commencing on page F-1 and are incorporated herein by reference.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Assessment</w:t>
      </w:r>
    </w:p>
    <w:p>
      <w:pPr>
        <w:spacing w:after="0" w:line="103" w:lineRule="exact"/>
        <w:rPr>
          <w:sz w:val="20"/>
          <w:szCs w:val="20"/>
          <w:color w:val="auto"/>
        </w:rPr>
      </w:pPr>
    </w:p>
    <w:p>
      <w:pPr>
        <w:ind w:right="120" w:firstLine="457"/>
        <w:spacing w:after="0" w:line="289" w:lineRule="auto"/>
        <w:rPr>
          <w:sz w:val="20"/>
          <w:szCs w:val="20"/>
          <w:color w:val="auto"/>
        </w:rPr>
      </w:pPr>
      <w:r>
        <w:rPr>
          <w:rFonts w:ascii="Arial" w:cs="Arial" w:eastAsia="Arial" w:hAnsi="Arial"/>
          <w:sz w:val="16"/>
          <w:szCs w:val="16"/>
          <w:color w:val="auto"/>
        </w:rPr>
        <w:t>We carried out an assessment as of December 31, 2005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Executive Officer and Principal Financial Officer Certifications</w:t>
      </w:r>
    </w:p>
    <w:p>
      <w:pPr>
        <w:spacing w:after="0" w:line="103" w:lineRule="exact"/>
        <w:rPr>
          <w:sz w:val="20"/>
          <w:szCs w:val="20"/>
          <w:color w:val="auto"/>
        </w:rPr>
      </w:pPr>
    </w:p>
    <w:p>
      <w:pPr>
        <w:ind w:right="160" w:firstLine="457"/>
        <w:spacing w:after="0" w:line="293"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3" w:lineRule="exact"/>
        <w:rPr>
          <w:sz w:val="20"/>
          <w:szCs w:val="20"/>
          <w:color w:val="auto"/>
        </w:rPr>
      </w:pPr>
    </w:p>
    <w:p>
      <w:pPr>
        <w:jc w:val="both"/>
        <w:ind w:right="40" w:firstLine="457"/>
        <w:spacing w:after="0" w:line="266"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03"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Establishing and maintaining internal control over financial reporting is a process designed by, or under the supervision of, our President and Chief Executive Officer and Executive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68" w:lineRule="exact"/>
        <w:rPr>
          <w:sz w:val="20"/>
          <w:szCs w:val="20"/>
          <w:color w:val="auto"/>
        </w:rPr>
      </w:pPr>
    </w:p>
    <w:p>
      <w:pPr>
        <w:jc w:val="center"/>
        <w:ind w:left="5620" w:right="1160" w:hanging="5161"/>
        <w:spacing w:after="0" w:line="471" w:lineRule="auto"/>
        <w:tabs>
          <w:tab w:leader="none" w:pos="784"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 54</w:t>
      </w:r>
    </w:p>
    <w:p>
      <w:pPr>
        <w:sectPr>
          <w:pgSz w:w="11900" w:h="16838" w:orient="portrait"/>
          <w:cols w:equalWidth="0" w:num="1">
            <w:col w:w="11400"/>
          </w:cols>
          <w:pgMar w:left="240" w:top="271" w:right="259" w:bottom="1440" w:gutter="0" w:footer="0" w:header="0"/>
        </w:sectPr>
      </w:pPr>
    </w:p>
    <w:bookmarkStart w:id="54" w:name="page55"/>
    <w:bookmarkEnd w:id="54"/>
    <w:p>
      <w:pPr>
        <w:ind w:left="800" w:right="460" w:hanging="341"/>
        <w:spacing w:after="0" w:line="276" w:lineRule="auto"/>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4" w:lineRule="exact"/>
        <w:rPr>
          <w:rFonts w:ascii="Arial" w:cs="Arial" w:eastAsia="Arial" w:hAnsi="Arial"/>
          <w:sz w:val="17"/>
          <w:szCs w:val="17"/>
          <w:color w:val="auto"/>
        </w:rPr>
      </w:pPr>
    </w:p>
    <w:p>
      <w:pPr>
        <w:ind w:left="800" w:right="940" w:hanging="341"/>
        <w:spacing w:after="0" w:line="291" w:lineRule="auto"/>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103"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Scope of the Evaluations</w:t>
      </w:r>
    </w:p>
    <w:p>
      <w:pPr>
        <w:spacing w:after="0" w:line="103"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procedures and our internal audit, as well as discussions with our Disclosure Committee, independent public accountants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2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277" w:right="259" w:bottom="1440" w:gutter="0" w:footer="0" w:header="0"/>
        </w:sectPr>
      </w:pPr>
    </w:p>
    <w:bookmarkStart w:id="55" w:name="page56"/>
    <w:bookmarkEnd w:id="55"/>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independent auditors and also require us to report on related matters in this section of the Annual Report on Form 10-K. In the Public Company Accounting Oversight Board’s Auditing Standard No. 2, a “significant deficiency” is a “control deficiency,” or a combination of control deficiencies, that adversely affects the ability to initiate, authorize, record, process or report external financial data reliably in accordance with GAAP such that there is more than a remote likelihood that a misstatement of the annual or interim financial statements that is more than inconsequential will not be prevented or detected. A “control deficiency” exists when the design or operation of a control does not allow management or employees, in the normal course of performing their assigned functions, to prevent or detect misstatements on a timely basis. A “material weakness” is defined in Auditing Standard No. 2 as a significant deficiency, or a combination of significant deficiencies, that results in more than a remote likelihood that a material misstatement of the annual or interim financial statements will not be prevented or detected.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Disclosure Controls and Procedures</w:t>
      </w:r>
    </w:p>
    <w:p>
      <w:pPr>
        <w:spacing w:after="0" w:line="103" w:lineRule="exact"/>
        <w:rPr>
          <w:sz w:val="20"/>
          <w:szCs w:val="20"/>
          <w:color w:val="auto"/>
        </w:rPr>
      </w:pPr>
    </w:p>
    <w:p>
      <w:pPr>
        <w:ind w:right="420" w:firstLine="457"/>
        <w:spacing w:after="0" w:line="276"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Internal Control over Financial Reporting</w:t>
      </w:r>
    </w:p>
    <w:p>
      <w:pPr>
        <w:spacing w:after="0" w:line="103"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Management</w:t>
      </w:r>
    </w:p>
    <w:p>
      <w:pPr>
        <w:spacing w:after="0" w:line="103" w:lineRule="exact"/>
        <w:rPr>
          <w:sz w:val="20"/>
          <w:szCs w:val="20"/>
          <w:color w:val="auto"/>
        </w:rPr>
      </w:pPr>
    </w:p>
    <w:p>
      <w:pPr>
        <w:ind w:right="480" w:firstLine="457"/>
        <w:spacing w:after="0" w:line="291" w:lineRule="auto"/>
        <w:rPr>
          <w:sz w:val="20"/>
          <w:szCs w:val="20"/>
          <w:color w:val="auto"/>
        </w:rPr>
      </w:pPr>
      <w:r>
        <w:rPr>
          <w:rFonts w:ascii="Arial" w:cs="Arial" w:eastAsia="Arial" w:hAnsi="Arial"/>
          <w:sz w:val="17"/>
          <w:szCs w:val="17"/>
          <w:color w:val="auto"/>
        </w:rPr>
        <w:t>Our management has issued a report on its assessment of the Trust’s internal control over financial reporting, which appears on page F-1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Independent Registered Public Accounting Firm</w:t>
      </w:r>
    </w:p>
    <w:p>
      <w:pPr>
        <w:spacing w:after="0" w:line="103"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color w:val="auto"/>
        </w:rPr>
        <w:t>Grant Thornton LLP, our independent registered public accounting firm that audited the financial statements included in this Annual Report on Form 10-K, has issued an attestation report on management’s assessment of the Trust’s internal control over financial reporting, which appears on page F-2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3" w:lineRule="exact"/>
        <w:rPr>
          <w:sz w:val="20"/>
          <w:szCs w:val="20"/>
          <w:color w:val="auto"/>
        </w:rPr>
      </w:pPr>
    </w:p>
    <w:p>
      <w:pPr>
        <w:ind w:right="60" w:firstLine="457"/>
        <w:spacing w:after="0" w:line="291" w:lineRule="auto"/>
        <w:rPr>
          <w:sz w:val="20"/>
          <w:szCs w:val="20"/>
          <w:color w:val="auto"/>
        </w:rPr>
      </w:pPr>
      <w:r>
        <w:rPr>
          <w:rFonts w:ascii="Arial" w:cs="Arial" w:eastAsia="Arial" w:hAnsi="Arial"/>
          <w:sz w:val="17"/>
          <w:szCs w:val="17"/>
          <w:color w:val="auto"/>
        </w:rPr>
        <w:t>There was no change in our internal control over financial reporting during our fourth fiscal quarter of 2005 that materially affected, or is reasonably likely to materially affect, our internal control over financial reporting.</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tab/>
        <w:t>OTHER INFORMATION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277"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PART III</w:t>
      </w:r>
    </w:p>
    <w:p>
      <w:pPr>
        <w:spacing w:after="0" w:line="183" w:lineRule="exact"/>
        <w:rPr>
          <w:sz w:val="20"/>
          <w:szCs w:val="20"/>
          <w:color w:val="auto"/>
        </w:rPr>
      </w:pPr>
    </w:p>
    <w:p>
      <w:pPr>
        <w:ind w:right="340" w:firstLine="457"/>
        <w:spacing w:after="0" w:line="291" w:lineRule="auto"/>
        <w:rPr>
          <w:sz w:val="20"/>
          <w:szCs w:val="20"/>
          <w:color w:val="auto"/>
        </w:rPr>
      </w:pPr>
      <w:r>
        <w:rPr>
          <w:rFonts w:ascii="Arial" w:cs="Arial" w:eastAsia="Arial" w:hAnsi="Arial"/>
          <w:sz w:val="17"/>
          <w:szCs w:val="17"/>
          <w:color w:val="auto"/>
        </w:rPr>
        <w:t>Certain information required in Part III is omitted from this Report but is incorporated herein by reference from our Proxy Statement for the 2006 Annual Meeting of Shareholders (the “Proxy Statement”).</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tab/>
        <w:t>TRUSTEES AND EXECUTIVE OFFICERS</w:t>
      </w:r>
    </w:p>
    <w:p>
      <w:pPr>
        <w:spacing w:after="0" w:line="103" w:lineRule="exact"/>
        <w:rPr>
          <w:sz w:val="20"/>
          <w:szCs w:val="20"/>
          <w:color w:val="auto"/>
        </w:rPr>
      </w:pPr>
    </w:p>
    <w:p>
      <w:pPr>
        <w:ind w:right="300" w:firstLine="457"/>
        <w:spacing w:after="0" w:line="291" w:lineRule="auto"/>
        <w:rPr>
          <w:sz w:val="20"/>
          <w:szCs w:val="20"/>
          <w:color w:val="auto"/>
        </w:rPr>
      </w:pPr>
      <w:r>
        <w:rPr>
          <w:rFonts w:ascii="Arial" w:cs="Arial" w:eastAsia="Arial" w:hAnsi="Arial"/>
          <w:sz w:val="17"/>
          <w:szCs w:val="17"/>
          <w:color w:val="auto"/>
        </w:rPr>
        <w:t>a.) The tables in the Proxy Statement identifying our Trustees and Board committees under the caption “Election of Trustees” and the section of the Proxy Statement entitled “Executive Officers” are incorporated herein by reference.</w:t>
      </w:r>
    </w:p>
    <w:p>
      <w:pPr>
        <w:spacing w:after="0" w:line="111" w:lineRule="exact"/>
        <w:rPr>
          <w:sz w:val="20"/>
          <w:szCs w:val="20"/>
          <w:color w:val="auto"/>
        </w:rPr>
      </w:pPr>
    </w:p>
    <w:p>
      <w:pPr>
        <w:ind w:right="160" w:firstLine="457"/>
        <w:spacing w:after="0" w:line="291" w:lineRule="auto"/>
        <w:rPr>
          <w:sz w:val="20"/>
          <w:szCs w:val="20"/>
          <w:color w:val="auto"/>
        </w:rPr>
      </w:pPr>
      <w:r>
        <w:rPr>
          <w:rFonts w:ascii="Arial" w:cs="Arial" w:eastAsia="Arial" w:hAnsi="Arial"/>
          <w:sz w:val="17"/>
          <w:szCs w:val="17"/>
          <w:color w:val="auto"/>
        </w:rPr>
        <w:t>b.) The information included under the section of the Proxy Statement entitled “Section 16(a) Beneficial Ownership Reporting Compliance” is incorporated herein by reference.</w:t>
      </w:r>
    </w:p>
    <w:p>
      <w:pPr>
        <w:spacing w:after="0" w:line="111" w:lineRule="exact"/>
        <w:rPr>
          <w:sz w:val="20"/>
          <w:szCs w:val="20"/>
          <w:color w:val="auto"/>
        </w:rPr>
      </w:pPr>
    </w:p>
    <w:p>
      <w:pPr>
        <w:ind w:right="120" w:firstLine="457"/>
        <w:spacing w:after="0" w:line="291" w:lineRule="auto"/>
        <w:rPr>
          <w:sz w:val="20"/>
          <w:szCs w:val="20"/>
          <w:color w:val="auto"/>
        </w:rPr>
      </w:pPr>
      <w:r>
        <w:rPr>
          <w:rFonts w:ascii="Arial" w:cs="Arial" w:eastAsia="Arial" w:hAnsi="Arial"/>
          <w:sz w:val="17"/>
          <w:szCs w:val="17"/>
          <w:color w:val="auto"/>
        </w:rPr>
        <w:t xml:space="preserve">c.) We have adopted a Code of Ethics, which is applicable to our Chief Executive Officer and senior financial officers. The Code of Ethics is available in the Corporate Governance section of the Investor Information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103"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The sections of the Proxy Statement entitled “Compensation of Executive Officers,” “Compensation Committee Interlocks and Insider Participation,” “Report of the Compensation Committee on Executive Compensation” and “Performance Graph” are incorporated herein by reference.</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SHAREHOLDER MATTERS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sections of the Proxy Statement entitled “Share Ownership” and “Equity Compensation Plan Information” are incorporated herein by reference.</w:t>
      </w:r>
    </w:p>
    <w:p>
      <w:pPr>
        <w:spacing w:after="0" w:line="2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tab/>
        <w:t>CERTAIN RELATIONSHIPS AND RELATED TRANSACTIONS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section of the Proxy Statement entitled “Certain Relationship and Related Transactions” is incorporated herein by reference.</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03" w:lineRule="exact"/>
        <w:rPr>
          <w:sz w:val="20"/>
          <w:szCs w:val="20"/>
          <w:color w:val="auto"/>
        </w:rPr>
      </w:pPr>
    </w:p>
    <w:p>
      <w:pPr>
        <w:ind w:right="360" w:firstLine="457"/>
        <w:spacing w:after="0" w:line="291" w:lineRule="auto"/>
        <w:rPr>
          <w:sz w:val="20"/>
          <w:szCs w:val="20"/>
          <w:color w:val="auto"/>
        </w:rPr>
      </w:pPr>
      <w:r>
        <w:rPr>
          <w:rFonts w:ascii="Arial" w:cs="Arial" w:eastAsia="Arial" w:hAnsi="Arial"/>
          <w:sz w:val="17"/>
          <w:szCs w:val="17"/>
          <w:color w:val="auto"/>
        </w:rPr>
        <w:t>The sections of the Proxy Statement entitled “Ratification of Independent Registered Public Accountant” and “Relationship with Independent Registered Public Accountant” are incorporated herein by reference.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271" w:right="239" w:bottom="1440" w:gutter="0" w:footer="0" w:header="0"/>
        </w:sectPr>
      </w:pPr>
    </w:p>
    <w:bookmarkStart w:id="57" w:name="page58"/>
    <w:bookmarkEnd w:id="57"/>
    <w:p>
      <w:pPr>
        <w:ind w:left="5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PART IV</w:t>
      </w:r>
    </w:p>
    <w:p>
      <w:pPr>
        <w:spacing w:after="0" w:line="9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(a)(1) Financial Statements</w:t>
      </w:r>
    </w:p>
    <w:p>
      <w:pPr>
        <w:spacing w:after="0" w:line="103" w:lineRule="exact"/>
        <w:rPr>
          <w:sz w:val="20"/>
          <w:szCs w:val="20"/>
          <w:color w:val="auto"/>
        </w:rPr>
      </w:pPr>
    </w:p>
    <w:p>
      <w:pPr>
        <w:ind w:left="460" w:right="60"/>
        <w:spacing w:after="0" w:line="324"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 of Independent Registered Public Accounting Firm are included as a separate section of this Annual Report on Form 10-K commencing on page F-1.</w:t>
      </w:r>
    </w:p>
    <w:p>
      <w:pPr>
        <w:spacing w:after="0" w:line="3" w:lineRule="exact"/>
        <w:rPr>
          <w:sz w:val="20"/>
          <w:szCs w:val="20"/>
          <w:color w:val="auto"/>
        </w:rPr>
      </w:pPr>
    </w:p>
    <w:p>
      <w:pPr>
        <w:ind w:left="480" w:hanging="245"/>
        <w:spacing w:after="0"/>
        <w:tabs>
          <w:tab w:leader="none" w:pos="48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103"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Our financial statement schedules are included in a separate section of this Annual Report on Form 10-K commencing on page F-32.</w:t>
      </w:r>
    </w:p>
    <w:p>
      <w:pPr>
        <w:spacing w:after="0" w:line="91" w:lineRule="exact"/>
        <w:rPr>
          <w:rFonts w:ascii="Arial" w:cs="Arial" w:eastAsia="Arial" w:hAnsi="Arial"/>
          <w:sz w:val="17"/>
          <w:szCs w:val="17"/>
          <w:b w:val="1"/>
          <w:bCs w:val="1"/>
          <w:color w:val="auto"/>
        </w:rPr>
      </w:pPr>
    </w:p>
    <w:p>
      <w:pPr>
        <w:ind w:left="480" w:hanging="245"/>
        <w:spacing w:after="0"/>
        <w:tabs>
          <w:tab w:leader="none" w:pos="48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103"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A list of exhibits to this Annual Report on Form 10-K is set forth on the Exhibit Index immediately preceding such exhibits and is incorporated herein by reference.</w:t>
      </w:r>
    </w:p>
    <w:p>
      <w:pPr>
        <w:spacing w:after="0" w:line="191" w:lineRule="exact"/>
        <w:rPr>
          <w:sz w:val="20"/>
          <w:szCs w:val="20"/>
          <w:color w:val="auto"/>
        </w:rPr>
      </w:pPr>
    </w:p>
    <w:p>
      <w:pPr>
        <w:ind w:left="260" w:hanging="254"/>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See Exhibit Index</w:t>
      </w:r>
    </w:p>
    <w:p>
      <w:pPr>
        <w:spacing w:after="0" w:line="256" w:lineRule="exact"/>
        <w:rPr>
          <w:rFonts w:ascii="Arial" w:cs="Arial" w:eastAsia="Arial" w:hAnsi="Arial"/>
          <w:sz w:val="17"/>
          <w:szCs w:val="17"/>
          <w:color w:val="auto"/>
        </w:rPr>
      </w:pPr>
    </w:p>
    <w:p>
      <w:pPr>
        <w:ind w:left="240" w:hanging="234"/>
        <w:spacing w:after="0"/>
        <w:tabs>
          <w:tab w:leader="none" w:pos="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6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80"/>
          </w:cols>
          <w:pgMar w:left="240" w:top="271" w:right="57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SIGNATURES</w:t>
      </w:r>
    </w:p>
    <w:p>
      <w:pPr>
        <w:spacing w:after="0" w:line="183" w:lineRule="exact"/>
        <w:rPr>
          <w:sz w:val="20"/>
          <w:szCs w:val="20"/>
          <w:color w:val="auto"/>
        </w:rPr>
      </w:pPr>
    </w:p>
    <w:p>
      <w:pPr>
        <w:ind w:right="360" w:firstLine="457"/>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this 2nd day of March, 2006.</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30" w:lineRule="exact"/>
        <w:rPr>
          <w:sz w:val="20"/>
          <w:szCs w:val="20"/>
          <w:color w:val="auto"/>
        </w:rPr>
      </w:pPr>
    </w:p>
    <w:p>
      <w:pPr>
        <w:ind w:left="6860"/>
        <w:spacing w:after="0"/>
        <w:tabs>
          <w:tab w:leader="none" w:pos="8200" w:val="left"/>
          <w:tab w:leader="none" w:pos="8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16510</wp:posOffset>
            </wp:positionV>
            <wp:extent cx="26612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20" w:lineRule="exact"/>
        <w:rPr>
          <w:sz w:val="20"/>
          <w:szCs w:val="20"/>
          <w:color w:val="auto"/>
        </w:rPr>
      </w:pPr>
    </w:p>
    <w:p>
      <w:pPr>
        <w:jc w:val="center"/>
        <w:ind w:left="7240"/>
        <w:spacing w:after="0"/>
        <w:rPr>
          <w:sz w:val="20"/>
          <w:szCs w:val="20"/>
          <w:color w:val="auto"/>
        </w:rPr>
      </w:pPr>
      <w:r>
        <w:rPr>
          <w:rFonts w:ascii="Arial" w:cs="Arial" w:eastAsia="Arial" w:hAnsi="Arial"/>
          <w:sz w:val="13"/>
          <w:szCs w:val="13"/>
          <w:b w:val="1"/>
          <w:bCs w:val="1"/>
          <w:color w:val="auto"/>
        </w:rPr>
        <w:t>Donald C. Wood</w:t>
      </w:r>
    </w:p>
    <w:p>
      <w:pPr>
        <w:spacing w:after="0" w:line="11" w:lineRule="exact"/>
        <w:rPr>
          <w:sz w:val="20"/>
          <w:szCs w:val="20"/>
          <w:color w:val="auto"/>
        </w:rPr>
      </w:pPr>
    </w:p>
    <w:p>
      <w:pPr>
        <w:jc w:val="center"/>
        <w:ind w:left="7240"/>
        <w:spacing w:after="0"/>
        <w:rPr>
          <w:sz w:val="20"/>
          <w:szCs w:val="20"/>
          <w:color w:val="auto"/>
        </w:rPr>
      </w:pPr>
      <w:r>
        <w:rPr>
          <w:rFonts w:ascii="Arial" w:cs="Arial" w:eastAsia="Arial" w:hAnsi="Arial"/>
          <w:sz w:val="13"/>
          <w:szCs w:val="13"/>
          <w:b w:val="1"/>
          <w:bCs w:val="1"/>
          <w:color w:val="auto"/>
        </w:rPr>
        <w:t>Chief Executive Officer</w:t>
      </w:r>
    </w:p>
    <w:p>
      <w:pPr>
        <w:spacing w:after="0" w:line="160"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2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jc w:val="center"/>
              <w:ind w:right="1527"/>
              <w:spacing w:after="0"/>
              <w:rPr>
                <w:sz w:val="20"/>
                <w:szCs w:val="20"/>
                <w:color w:val="auto"/>
              </w:rPr>
            </w:pPr>
            <w:r>
              <w:rPr>
                <w:rFonts w:ascii="Arial" w:cs="Arial" w:eastAsia="Arial" w:hAnsi="Arial"/>
                <w:sz w:val="13"/>
                <w:szCs w:val="13"/>
                <w:b w:val="1"/>
                <w:bCs w:val="1"/>
                <w:color w:val="auto"/>
                <w:w w:val="89"/>
              </w:rPr>
              <w:t>Signature</w:t>
            </w:r>
          </w:p>
        </w:tc>
        <w:tc>
          <w:tcPr>
            <w:tcW w:w="240" w:type="dxa"/>
            <w:vAlign w:val="bottom"/>
          </w:tcPr>
          <w:p>
            <w:pPr>
              <w:spacing w:after="0"/>
              <w:rPr>
                <w:sz w:val="13"/>
                <w:szCs w:val="13"/>
                <w:color w:val="auto"/>
              </w:rPr>
            </w:pPr>
          </w:p>
        </w:tc>
        <w:tc>
          <w:tcPr>
            <w:tcW w:w="410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Title</w:t>
            </w:r>
          </w:p>
        </w:tc>
        <w:tc>
          <w:tcPr>
            <w:tcW w:w="240" w:type="dxa"/>
            <w:vAlign w:val="bottom"/>
          </w:tcPr>
          <w:p>
            <w:pPr>
              <w:spacing w:after="0"/>
              <w:rPr>
                <w:sz w:val="13"/>
                <w:szCs w:val="13"/>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r>
      <w:tr>
        <w:trPr>
          <w:trHeight w:val="431"/>
        </w:trPr>
        <w:tc>
          <w:tcPr>
            <w:tcW w:w="4800" w:type="dxa"/>
            <w:vAlign w:val="bottom"/>
            <w:tcBorders>
              <w:bottom w:val="single" w:sz="8" w:color="auto"/>
            </w:tcBorders>
            <w:gridSpan w:val="2"/>
          </w:tcPr>
          <w:p>
            <w:pPr>
              <w:jc w:val="center"/>
              <w:ind w:right="267"/>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DONALD C. WOOD</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Executive Officer, Trustee (Principal Executive</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200"/>
        </w:trPr>
        <w:tc>
          <w:tcPr>
            <w:tcW w:w="1620" w:type="dxa"/>
            <w:vAlign w:val="bottom"/>
          </w:tcPr>
          <w:p>
            <w:pPr>
              <w:spacing w:after="0"/>
              <w:rPr>
                <w:sz w:val="17"/>
                <w:szCs w:val="17"/>
                <w:color w:val="auto"/>
              </w:rPr>
            </w:pPr>
          </w:p>
        </w:tc>
        <w:tc>
          <w:tcPr>
            <w:tcW w:w="3180" w:type="dxa"/>
            <w:vAlign w:val="bottom"/>
          </w:tcPr>
          <w:p>
            <w:pPr>
              <w:jc w:val="center"/>
              <w:ind w:right="1527"/>
              <w:spacing w:after="0"/>
              <w:rPr>
                <w:sz w:val="20"/>
                <w:szCs w:val="20"/>
                <w:color w:val="auto"/>
              </w:rPr>
            </w:pPr>
            <w:r>
              <w:rPr>
                <w:rFonts w:ascii="Arial" w:cs="Arial" w:eastAsia="Arial" w:hAnsi="Arial"/>
                <w:sz w:val="13"/>
                <w:szCs w:val="13"/>
                <w:b w:val="1"/>
                <w:bCs w:val="1"/>
                <w:color w:val="auto"/>
                <w:w w:val="93"/>
              </w:rPr>
              <w:t>Donald C. Wood</w:t>
            </w:r>
          </w:p>
        </w:tc>
        <w:tc>
          <w:tcPr>
            <w:tcW w:w="2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7"/>
                <w:szCs w:val="17"/>
                <w:color w:val="auto"/>
              </w:rPr>
              <w:t>Officer)</w:t>
            </w: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19"/>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80" w:type="dxa"/>
            <w:vAlign w:val="bottom"/>
            <w:tcBorders>
              <w:bottom w:val="single" w:sz="8" w:color="auto"/>
            </w:tcBorders>
          </w:tcPr>
          <w:p>
            <w:pPr>
              <w:jc w:val="center"/>
              <w:ind w:right="1527"/>
              <w:spacing w:after="0"/>
              <w:rPr>
                <w:sz w:val="20"/>
                <w:szCs w:val="20"/>
                <w:color w:val="auto"/>
              </w:rPr>
            </w:pPr>
            <w:r>
              <w:rPr>
                <w:rFonts w:ascii="Arial" w:cs="Arial" w:eastAsia="Arial" w:hAnsi="Arial"/>
                <w:sz w:val="17"/>
                <w:szCs w:val="17"/>
                <w:color w:val="auto"/>
                <w:w w:val="96"/>
              </w:rPr>
              <w:t>LARRY E. FINGER</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Executive Vice President, Chief Financial Officer and</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200"/>
        </w:trPr>
        <w:tc>
          <w:tcPr>
            <w:tcW w:w="1620" w:type="dxa"/>
            <w:vAlign w:val="bottom"/>
          </w:tcPr>
          <w:p>
            <w:pPr>
              <w:spacing w:after="0"/>
              <w:rPr>
                <w:sz w:val="17"/>
                <w:szCs w:val="17"/>
                <w:color w:val="auto"/>
              </w:rPr>
            </w:pPr>
          </w:p>
        </w:tc>
        <w:tc>
          <w:tcPr>
            <w:tcW w:w="3180" w:type="dxa"/>
            <w:vAlign w:val="bottom"/>
          </w:tcPr>
          <w:p>
            <w:pPr>
              <w:jc w:val="center"/>
              <w:ind w:right="1527"/>
              <w:spacing w:after="0"/>
              <w:rPr>
                <w:sz w:val="20"/>
                <w:szCs w:val="20"/>
                <w:color w:val="auto"/>
              </w:rPr>
            </w:pPr>
            <w:r>
              <w:rPr>
                <w:rFonts w:ascii="Arial" w:cs="Arial" w:eastAsia="Arial" w:hAnsi="Arial"/>
                <w:sz w:val="13"/>
                <w:szCs w:val="13"/>
                <w:b w:val="1"/>
                <w:bCs w:val="1"/>
                <w:color w:val="auto"/>
                <w:w w:val="98"/>
              </w:rPr>
              <w:t>Larry E. Finger</w:t>
            </w:r>
          </w:p>
        </w:tc>
        <w:tc>
          <w:tcPr>
            <w:tcW w:w="2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7"/>
                <w:szCs w:val="17"/>
                <w:color w:val="auto"/>
                <w:w w:val="98"/>
              </w:rPr>
              <w:t>Treasurer (principal financial and accounting officer)</w:t>
            </w: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19"/>
        </w:trPr>
        <w:tc>
          <w:tcPr>
            <w:tcW w:w="4800" w:type="dxa"/>
            <w:vAlign w:val="bottom"/>
            <w:tcBorders>
              <w:bottom w:val="single" w:sz="8" w:color="auto"/>
            </w:tcBorders>
            <w:gridSpan w:val="2"/>
          </w:tcPr>
          <w:p>
            <w:pPr>
              <w:jc w:val="center"/>
              <w:ind w:right="247"/>
              <w:spacing w:after="0"/>
              <w:rPr>
                <w:sz w:val="20"/>
                <w:szCs w:val="20"/>
                <w:color w:val="auto"/>
              </w:rPr>
            </w:pPr>
            <w:r>
              <w:rPr>
                <w:rFonts w:ascii="Arial" w:cs="Arial" w:eastAsia="Arial" w:hAnsi="Arial"/>
                <w:sz w:val="17"/>
                <w:szCs w:val="17"/>
                <w:color w:val="auto"/>
                <w:w w:val="98"/>
              </w:rPr>
              <w:t>/</w:t>
            </w:r>
            <w:r>
              <w:rPr>
                <w:rFonts w:ascii="Arial" w:cs="Arial" w:eastAsia="Arial" w:hAnsi="Arial"/>
                <w:sz w:val="14"/>
                <w:szCs w:val="14"/>
                <w:color w:val="auto"/>
                <w:w w:val="98"/>
              </w:rPr>
              <w:t>S</w:t>
            </w:r>
            <w:r>
              <w:rPr>
                <w:rFonts w:ascii="Arial" w:cs="Arial" w:eastAsia="Arial" w:hAnsi="Arial"/>
                <w:sz w:val="17"/>
                <w:szCs w:val="17"/>
                <w:color w:val="auto"/>
                <w:w w:val="98"/>
              </w:rPr>
              <w:t>/  JOSEPH S. VASSALLUZZO</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Non-Executive Chairman</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166"/>
        </w:trPr>
        <w:tc>
          <w:tcPr>
            <w:tcW w:w="1620" w:type="dxa"/>
            <w:vAlign w:val="bottom"/>
          </w:tcPr>
          <w:p>
            <w:pPr>
              <w:spacing w:after="0"/>
              <w:rPr>
                <w:sz w:val="14"/>
                <w:szCs w:val="14"/>
                <w:color w:val="auto"/>
              </w:rPr>
            </w:pPr>
          </w:p>
        </w:tc>
        <w:tc>
          <w:tcPr>
            <w:tcW w:w="3180" w:type="dxa"/>
            <w:vAlign w:val="bottom"/>
          </w:tcPr>
          <w:p>
            <w:pPr>
              <w:jc w:val="center"/>
              <w:ind w:right="1527"/>
              <w:spacing w:after="0"/>
              <w:rPr>
                <w:sz w:val="20"/>
                <w:szCs w:val="20"/>
                <w:color w:val="auto"/>
              </w:rPr>
            </w:pPr>
            <w:r>
              <w:rPr>
                <w:rFonts w:ascii="Arial" w:cs="Arial" w:eastAsia="Arial" w:hAnsi="Arial"/>
                <w:sz w:val="13"/>
                <w:szCs w:val="13"/>
                <w:b w:val="1"/>
                <w:bCs w:val="1"/>
                <w:color w:val="auto"/>
                <w:w w:val="87"/>
              </w:rPr>
              <w:t>Joseph S. Vassalluzzo</w:t>
            </w: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412"/>
        </w:trPr>
        <w:tc>
          <w:tcPr>
            <w:tcW w:w="4800" w:type="dxa"/>
            <w:vAlign w:val="bottom"/>
            <w:tcBorders>
              <w:bottom w:val="single" w:sz="8" w:color="auto"/>
            </w:tcBorders>
            <w:gridSpan w:val="2"/>
          </w:tcPr>
          <w:p>
            <w:pPr>
              <w:jc w:val="center"/>
              <w:ind w:right="267"/>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JON E. BORTZ</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166"/>
        </w:trPr>
        <w:tc>
          <w:tcPr>
            <w:tcW w:w="1620" w:type="dxa"/>
            <w:vAlign w:val="bottom"/>
          </w:tcPr>
          <w:p>
            <w:pPr>
              <w:spacing w:after="0"/>
              <w:rPr>
                <w:sz w:val="14"/>
                <w:szCs w:val="14"/>
                <w:color w:val="auto"/>
              </w:rPr>
            </w:pPr>
          </w:p>
        </w:tc>
        <w:tc>
          <w:tcPr>
            <w:tcW w:w="3180" w:type="dxa"/>
            <w:vAlign w:val="bottom"/>
          </w:tcPr>
          <w:p>
            <w:pPr>
              <w:jc w:val="center"/>
              <w:ind w:right="1547"/>
              <w:spacing w:after="0"/>
              <w:rPr>
                <w:sz w:val="20"/>
                <w:szCs w:val="20"/>
                <w:color w:val="auto"/>
              </w:rPr>
            </w:pPr>
            <w:r>
              <w:rPr>
                <w:rFonts w:ascii="Arial" w:cs="Arial" w:eastAsia="Arial" w:hAnsi="Arial"/>
                <w:sz w:val="13"/>
                <w:szCs w:val="13"/>
                <w:b w:val="1"/>
                <w:bCs w:val="1"/>
                <w:color w:val="auto"/>
                <w:w w:val="93"/>
              </w:rPr>
              <w:t>Jon Bortz</w:t>
            </w: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412"/>
        </w:trPr>
        <w:tc>
          <w:tcPr>
            <w:tcW w:w="1620" w:type="dxa"/>
            <w:vAlign w:val="bottom"/>
            <w:tcBorders>
              <w:bottom w:val="single" w:sz="8" w:color="auto"/>
            </w:tcBorders>
          </w:tcPr>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80" w:type="dxa"/>
            <w:vAlign w:val="bottom"/>
            <w:tcBorders>
              <w:bottom w:val="single" w:sz="8" w:color="auto"/>
            </w:tcBorders>
          </w:tcPr>
          <w:p>
            <w:pPr>
              <w:jc w:val="center"/>
              <w:ind w:right="1527"/>
              <w:spacing w:after="0"/>
              <w:rPr>
                <w:sz w:val="20"/>
                <w:szCs w:val="20"/>
                <w:color w:val="auto"/>
              </w:rPr>
            </w:pPr>
            <w:r>
              <w:rPr>
                <w:rFonts w:ascii="Arial" w:cs="Arial" w:eastAsia="Arial" w:hAnsi="Arial"/>
                <w:sz w:val="17"/>
                <w:szCs w:val="17"/>
                <w:color w:val="auto"/>
                <w:w w:val="96"/>
              </w:rPr>
              <w:t>DAVID W. FAEDER</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166"/>
        </w:trPr>
        <w:tc>
          <w:tcPr>
            <w:tcW w:w="1620" w:type="dxa"/>
            <w:vAlign w:val="bottom"/>
          </w:tcPr>
          <w:p>
            <w:pPr>
              <w:spacing w:after="0"/>
              <w:rPr>
                <w:sz w:val="14"/>
                <w:szCs w:val="14"/>
                <w:color w:val="auto"/>
              </w:rPr>
            </w:pPr>
          </w:p>
        </w:tc>
        <w:tc>
          <w:tcPr>
            <w:tcW w:w="3180" w:type="dxa"/>
            <w:vAlign w:val="bottom"/>
          </w:tcPr>
          <w:p>
            <w:pPr>
              <w:jc w:val="center"/>
              <w:ind w:right="1547"/>
              <w:spacing w:after="0"/>
              <w:rPr>
                <w:sz w:val="20"/>
                <w:szCs w:val="20"/>
                <w:color w:val="auto"/>
              </w:rPr>
            </w:pPr>
            <w:r>
              <w:rPr>
                <w:rFonts w:ascii="Arial" w:cs="Arial" w:eastAsia="Arial" w:hAnsi="Arial"/>
                <w:sz w:val="13"/>
                <w:szCs w:val="13"/>
                <w:b w:val="1"/>
                <w:bCs w:val="1"/>
                <w:color w:val="auto"/>
                <w:w w:val="94"/>
              </w:rPr>
              <w:t>David W. Faeder</w:t>
            </w: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412"/>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80" w:type="dxa"/>
            <w:vAlign w:val="bottom"/>
            <w:tcBorders>
              <w:bottom w:val="single" w:sz="8" w:color="auto"/>
            </w:tcBorders>
          </w:tcPr>
          <w:p>
            <w:pPr>
              <w:jc w:val="center"/>
              <w:ind w:right="1527"/>
              <w:spacing w:after="0"/>
              <w:rPr>
                <w:sz w:val="20"/>
                <w:szCs w:val="20"/>
                <w:color w:val="auto"/>
              </w:rPr>
            </w:pPr>
            <w:r>
              <w:rPr>
                <w:rFonts w:ascii="Arial" w:cs="Arial" w:eastAsia="Arial" w:hAnsi="Arial"/>
                <w:sz w:val="17"/>
                <w:szCs w:val="17"/>
                <w:color w:val="auto"/>
              </w:rPr>
              <w:t>KRISTIN GAMBLE</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166"/>
        </w:trPr>
        <w:tc>
          <w:tcPr>
            <w:tcW w:w="1620" w:type="dxa"/>
            <w:vAlign w:val="bottom"/>
          </w:tcPr>
          <w:p>
            <w:pPr>
              <w:spacing w:after="0"/>
              <w:rPr>
                <w:sz w:val="14"/>
                <w:szCs w:val="14"/>
                <w:color w:val="auto"/>
              </w:rPr>
            </w:pPr>
          </w:p>
        </w:tc>
        <w:tc>
          <w:tcPr>
            <w:tcW w:w="3180" w:type="dxa"/>
            <w:vAlign w:val="bottom"/>
          </w:tcPr>
          <w:p>
            <w:pPr>
              <w:jc w:val="center"/>
              <w:ind w:right="1527"/>
              <w:spacing w:after="0"/>
              <w:rPr>
                <w:sz w:val="20"/>
                <w:szCs w:val="20"/>
                <w:color w:val="auto"/>
              </w:rPr>
            </w:pPr>
            <w:r>
              <w:rPr>
                <w:rFonts w:ascii="Arial" w:cs="Arial" w:eastAsia="Arial" w:hAnsi="Arial"/>
                <w:sz w:val="13"/>
                <w:szCs w:val="13"/>
                <w:b w:val="1"/>
                <w:bCs w:val="1"/>
                <w:color w:val="auto"/>
                <w:w w:val="97"/>
              </w:rPr>
              <w:t>Kristin Gamble</w:t>
            </w: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412"/>
        </w:trPr>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80" w:type="dxa"/>
            <w:vAlign w:val="bottom"/>
            <w:tcBorders>
              <w:bottom w:val="single" w:sz="8" w:color="auto"/>
            </w:tcBorders>
          </w:tcPr>
          <w:p>
            <w:pPr>
              <w:jc w:val="center"/>
              <w:ind w:right="1527"/>
              <w:spacing w:after="0"/>
              <w:rPr>
                <w:sz w:val="20"/>
                <w:szCs w:val="20"/>
                <w:color w:val="auto"/>
              </w:rPr>
            </w:pPr>
            <w:r>
              <w:rPr>
                <w:rFonts w:ascii="Arial" w:cs="Arial" w:eastAsia="Arial" w:hAnsi="Arial"/>
                <w:sz w:val="17"/>
                <w:szCs w:val="17"/>
                <w:color w:val="auto"/>
                <w:w w:val="95"/>
              </w:rPr>
              <w:t>WALTER F. LOEB</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166"/>
        </w:trPr>
        <w:tc>
          <w:tcPr>
            <w:tcW w:w="1620" w:type="dxa"/>
            <w:vAlign w:val="bottom"/>
          </w:tcPr>
          <w:p>
            <w:pPr>
              <w:spacing w:after="0"/>
              <w:rPr>
                <w:sz w:val="14"/>
                <w:szCs w:val="14"/>
                <w:color w:val="auto"/>
              </w:rPr>
            </w:pPr>
          </w:p>
        </w:tc>
        <w:tc>
          <w:tcPr>
            <w:tcW w:w="3180" w:type="dxa"/>
            <w:vAlign w:val="bottom"/>
          </w:tcPr>
          <w:p>
            <w:pPr>
              <w:jc w:val="center"/>
              <w:ind w:right="1527"/>
              <w:spacing w:after="0"/>
              <w:rPr>
                <w:sz w:val="20"/>
                <w:szCs w:val="20"/>
                <w:color w:val="auto"/>
              </w:rPr>
            </w:pPr>
            <w:r>
              <w:rPr>
                <w:rFonts w:ascii="Arial" w:cs="Arial" w:eastAsia="Arial" w:hAnsi="Arial"/>
                <w:sz w:val="13"/>
                <w:szCs w:val="13"/>
                <w:b w:val="1"/>
                <w:bCs w:val="1"/>
                <w:color w:val="auto"/>
                <w:w w:val="95"/>
              </w:rPr>
              <w:t>Walter F. Loeb</w:t>
            </w: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412"/>
        </w:trPr>
        <w:tc>
          <w:tcPr>
            <w:tcW w:w="4800" w:type="dxa"/>
            <w:vAlign w:val="bottom"/>
            <w:tcBorders>
              <w:bottom w:val="single" w:sz="8" w:color="auto"/>
            </w:tcBorders>
            <w:gridSpan w:val="2"/>
          </w:tcPr>
          <w:p>
            <w:pPr>
              <w:jc w:val="center"/>
              <w:ind w:right="267"/>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MARK S. ORDAN</w:t>
            </w:r>
          </w:p>
        </w:tc>
        <w:tc>
          <w:tcPr>
            <w:tcW w:w="2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Trustee</w:t>
            </w:r>
          </w:p>
        </w:tc>
        <w:tc>
          <w:tcPr>
            <w:tcW w:w="2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March 2, 2006</w:t>
            </w:r>
          </w:p>
        </w:tc>
      </w:tr>
      <w:tr>
        <w:trPr>
          <w:trHeight w:val="166"/>
        </w:trPr>
        <w:tc>
          <w:tcPr>
            <w:tcW w:w="1620" w:type="dxa"/>
            <w:vAlign w:val="bottom"/>
          </w:tcPr>
          <w:p>
            <w:pPr>
              <w:spacing w:after="0"/>
              <w:rPr>
                <w:sz w:val="14"/>
                <w:szCs w:val="14"/>
                <w:color w:val="auto"/>
              </w:rPr>
            </w:pPr>
          </w:p>
        </w:tc>
        <w:tc>
          <w:tcPr>
            <w:tcW w:w="3180" w:type="dxa"/>
            <w:vAlign w:val="bottom"/>
          </w:tcPr>
          <w:p>
            <w:pPr>
              <w:jc w:val="center"/>
              <w:ind w:right="1547"/>
              <w:spacing w:after="0"/>
              <w:rPr>
                <w:sz w:val="20"/>
                <w:szCs w:val="20"/>
                <w:color w:val="auto"/>
              </w:rPr>
            </w:pPr>
            <w:r>
              <w:rPr>
                <w:rFonts w:ascii="Arial" w:cs="Arial" w:eastAsia="Arial" w:hAnsi="Arial"/>
                <w:sz w:val="13"/>
                <w:szCs w:val="13"/>
                <w:b w:val="1"/>
                <w:bCs w:val="1"/>
                <w:color w:val="auto"/>
                <w:w w:val="99"/>
              </w:rPr>
              <w:t>Mark S. Ordan</w:t>
            </w: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45"/>
        </w:trPr>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340" w:type="dxa"/>
            <w:vAlign w:val="bottom"/>
            <w:gridSpan w:val="2"/>
          </w:tcPr>
          <w:p>
            <w:pPr>
              <w:jc w:val="right"/>
              <w:ind w:right="3255"/>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Item 8 and Item 15(a)(1) and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 and Schedules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380" w:type="dxa"/>
            <w:vAlign w:val="bottom"/>
            <w:gridSpan w:val="11"/>
          </w:tcPr>
          <w:p>
            <w:pPr>
              <w:spacing w:after="0"/>
              <w:rPr>
                <w:sz w:val="20"/>
                <w:szCs w:val="20"/>
                <w:color w:val="auto"/>
              </w:rPr>
            </w:pPr>
            <w:r>
              <w:rPr>
                <w:rFonts w:ascii="Arial" w:cs="Arial" w:eastAsia="Arial" w:hAnsi="Arial"/>
                <w:sz w:val="17"/>
                <w:szCs w:val="17"/>
                <w:i w:val="1"/>
                <w:iCs w:val="1"/>
                <w:color w:val="auto"/>
              </w:rPr>
              <w:t>Consolidated Financial Statements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Page No.</w:t>
            </w:r>
          </w:p>
        </w:tc>
      </w:tr>
      <w:tr>
        <w:trPr>
          <w:trHeight w:val="166"/>
        </w:trPr>
        <w:tc>
          <w:tcPr>
            <w:tcW w:w="10380" w:type="dxa"/>
            <w:vAlign w:val="bottom"/>
            <w:gridSpan w:val="11"/>
          </w:tcPr>
          <w:p>
            <w:pPr>
              <w:spacing w:after="0" w:line="167" w:lineRule="exact"/>
              <w:rPr>
                <w:rFonts w:ascii="Arial" w:cs="Arial" w:eastAsia="Arial" w:hAnsi="Arial"/>
                <w:sz w:val="17"/>
                <w:szCs w:val="17"/>
                <w:color w:val="0000EE"/>
              </w:rPr>
            </w:pPr>
            <w:hyperlink w:anchor="page61">
              <w:r>
                <w:rPr>
                  <w:rFonts w:ascii="Arial" w:cs="Arial" w:eastAsia="Arial" w:hAnsi="Arial"/>
                  <w:sz w:val="17"/>
                  <w:szCs w:val="17"/>
                  <w:color w:val="0000EE"/>
                </w:rPr>
                <w:t>Management Assessment Report on Internal Control over Financial Reporting</w:t>
              </w:r>
            </w:hyperlink>
          </w:p>
        </w:tc>
        <w:tc>
          <w:tcPr>
            <w:tcW w:w="10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4"/>
                <w:szCs w:val="14"/>
                <w:color w:val="auto"/>
              </w:rPr>
            </w:pPr>
          </w:p>
        </w:tc>
      </w:tr>
      <w:tr>
        <w:trPr>
          <w:trHeight w:val="193"/>
        </w:trPr>
        <w:tc>
          <w:tcPr>
            <w:tcW w:w="5420" w:type="dxa"/>
            <w:vAlign w:val="bottom"/>
            <w:tcBorders>
              <w:top w:val="single" w:sz="8" w:color="0000EE"/>
            </w:tcBorders>
            <w:gridSpan w:val="10"/>
          </w:tcPr>
          <w:p>
            <w:pPr>
              <w:spacing w:after="0" w:line="193" w:lineRule="exact"/>
              <w:rPr>
                <w:rFonts w:ascii="Arial" w:cs="Arial" w:eastAsia="Arial" w:hAnsi="Arial"/>
                <w:sz w:val="17"/>
                <w:szCs w:val="17"/>
                <w:color w:val="0000EE"/>
              </w:rPr>
            </w:pPr>
            <w:hyperlink w:anchor="page62">
              <w:r>
                <w:rPr>
                  <w:rFonts w:ascii="Arial" w:cs="Arial" w:eastAsia="Arial" w:hAnsi="Arial"/>
                  <w:sz w:val="17"/>
                  <w:szCs w:val="17"/>
                  <w:color w:val="0000EE"/>
                </w:rPr>
                <w:t>Report of Independent Registered Public Accounting Firm</w:t>
              </w:r>
            </w:hyperlink>
          </w:p>
        </w:tc>
        <w:tc>
          <w:tcPr>
            <w:tcW w:w="4960" w:type="dxa"/>
            <w:vAlign w:val="bottom"/>
          </w:tcPr>
          <w:p>
            <w:pPr>
              <w:spacing w:after="0"/>
              <w:rPr>
                <w:sz w:val="16"/>
                <w:szCs w:val="16"/>
                <w:color w:val="auto"/>
              </w:rPr>
            </w:pPr>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F-3</w:t>
            </w:r>
          </w:p>
        </w:tc>
      </w:tr>
      <w:tr>
        <w:trPr>
          <w:trHeight w:val="193"/>
        </w:trPr>
        <w:tc>
          <w:tcPr>
            <w:tcW w:w="2020" w:type="dxa"/>
            <w:vAlign w:val="bottom"/>
            <w:tcBorders>
              <w:top w:val="single" w:sz="8" w:color="0000EE"/>
              <w:bottom w:val="single" w:sz="8" w:color="0000EE"/>
            </w:tcBorders>
          </w:tcPr>
          <w:p>
            <w:pPr>
              <w:spacing w:after="0" w:line="193" w:lineRule="exact"/>
              <w:rPr>
                <w:rFonts w:ascii="Arial" w:cs="Arial" w:eastAsia="Arial" w:hAnsi="Arial"/>
                <w:sz w:val="17"/>
                <w:szCs w:val="17"/>
                <w:color w:val="0000EE"/>
                <w:w w:val="89"/>
              </w:rPr>
            </w:pPr>
            <w:hyperlink w:anchor="page64">
              <w:r>
                <w:rPr>
                  <w:rFonts w:ascii="Arial" w:cs="Arial" w:eastAsia="Arial" w:hAnsi="Arial"/>
                  <w:sz w:val="17"/>
                  <w:szCs w:val="17"/>
                  <w:color w:val="0000EE"/>
                  <w:w w:val="89"/>
                </w:rPr>
                <w:t>Consolidated Balance Sheets</w:t>
              </w:r>
            </w:hyperlink>
          </w:p>
        </w:tc>
        <w:tc>
          <w:tcPr>
            <w:tcW w:w="2040" w:type="dxa"/>
            <w:vAlign w:val="bottom"/>
            <w:tcBorders>
              <w:top w:val="single" w:sz="8" w:color="0000EE"/>
            </w:tcBorders>
            <w:gridSpan w:val="6"/>
          </w:tcPr>
          <w:p>
            <w:pPr>
              <w:spacing w:after="0"/>
              <w:rPr>
                <w:sz w:val="16"/>
                <w:szCs w:val="16"/>
                <w:color w:val="auto"/>
              </w:rPr>
            </w:pPr>
          </w:p>
        </w:tc>
        <w:tc>
          <w:tcPr>
            <w:tcW w:w="6320" w:type="dxa"/>
            <w:vAlign w:val="bottom"/>
            <w:gridSpan w:val="4"/>
          </w:tcPr>
          <w:p>
            <w:pPr>
              <w:spacing w:after="0"/>
              <w:rPr>
                <w:sz w:val="16"/>
                <w:szCs w:val="16"/>
                <w:color w:val="auto"/>
              </w:rPr>
            </w:pPr>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F-5</w:t>
            </w:r>
          </w:p>
        </w:tc>
      </w:tr>
      <w:tr>
        <w:trPr>
          <w:trHeight w:val="193"/>
        </w:trPr>
        <w:tc>
          <w:tcPr>
            <w:tcW w:w="2720" w:type="dxa"/>
            <w:vAlign w:val="bottom"/>
            <w:tcBorders>
              <w:bottom w:val="single" w:sz="8" w:color="0000EE"/>
            </w:tcBorders>
            <w:gridSpan w:val="3"/>
          </w:tcPr>
          <w:p>
            <w:pPr>
              <w:spacing w:after="0" w:line="193" w:lineRule="exact"/>
              <w:rPr>
                <w:rFonts w:ascii="Arial" w:cs="Arial" w:eastAsia="Arial" w:hAnsi="Arial"/>
                <w:sz w:val="17"/>
                <w:szCs w:val="17"/>
                <w:color w:val="0000EE"/>
                <w:w w:val="90"/>
              </w:rPr>
            </w:pPr>
            <w:hyperlink w:anchor="page65">
              <w:r>
                <w:rPr>
                  <w:rFonts w:ascii="Arial" w:cs="Arial" w:eastAsia="Arial" w:hAnsi="Arial"/>
                  <w:sz w:val="17"/>
                  <w:szCs w:val="17"/>
                  <w:color w:val="0000EE"/>
                  <w:w w:val="90"/>
                </w:rPr>
                <w:t>Consolidated Statements of Operations</w:t>
              </w:r>
            </w:hyperlink>
          </w:p>
        </w:tc>
        <w:tc>
          <w:tcPr>
            <w:tcW w:w="7660" w:type="dxa"/>
            <w:vAlign w:val="bottom"/>
            <w:gridSpan w:val="8"/>
          </w:tcPr>
          <w:p>
            <w:pPr>
              <w:spacing w:after="0"/>
              <w:rPr>
                <w:sz w:val="16"/>
                <w:szCs w:val="16"/>
                <w:color w:val="auto"/>
              </w:rPr>
            </w:pPr>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F-6</w:t>
            </w:r>
          </w:p>
        </w:tc>
      </w:tr>
      <w:tr>
        <w:trPr>
          <w:trHeight w:val="193"/>
        </w:trPr>
        <w:tc>
          <w:tcPr>
            <w:tcW w:w="10380" w:type="dxa"/>
            <w:vAlign w:val="bottom"/>
            <w:gridSpan w:val="11"/>
          </w:tcPr>
          <w:p>
            <w:pPr>
              <w:spacing w:after="0" w:line="193" w:lineRule="exact"/>
              <w:rPr>
                <w:rFonts w:ascii="Arial" w:cs="Arial" w:eastAsia="Arial" w:hAnsi="Arial"/>
                <w:sz w:val="17"/>
                <w:szCs w:val="17"/>
                <w:color w:val="0000EE"/>
              </w:rPr>
            </w:pPr>
            <w:hyperlink w:anchor="page66">
              <w:r>
                <w:rPr>
                  <w:rFonts w:ascii="Arial" w:cs="Arial" w:eastAsia="Arial" w:hAnsi="Arial"/>
                  <w:sz w:val="17"/>
                  <w:szCs w:val="17"/>
                  <w:color w:val="0000EE"/>
                </w:rPr>
                <w:t>Consolidated Statements of Common Shareholders’ Equity</w:t>
              </w:r>
            </w:hyperlink>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F-7</w:t>
            </w:r>
          </w:p>
        </w:tc>
      </w:tr>
      <w:tr>
        <w:trPr>
          <w:trHeight w:val="193"/>
        </w:trPr>
        <w:tc>
          <w:tcPr>
            <w:tcW w:w="4100" w:type="dxa"/>
            <w:vAlign w:val="bottom"/>
            <w:tcBorders>
              <w:top w:val="single" w:sz="8" w:color="0000EE"/>
            </w:tcBorders>
            <w:gridSpan w:val="8"/>
          </w:tcPr>
          <w:p>
            <w:pPr>
              <w:spacing w:after="0" w:line="193" w:lineRule="exact"/>
              <w:rPr>
                <w:rFonts w:ascii="Arial" w:cs="Arial" w:eastAsia="Arial" w:hAnsi="Arial"/>
                <w:sz w:val="17"/>
                <w:szCs w:val="17"/>
                <w:color w:val="0000EE"/>
              </w:rPr>
            </w:pPr>
            <w:hyperlink w:anchor="page67">
              <w:r>
                <w:rPr>
                  <w:rFonts w:ascii="Arial" w:cs="Arial" w:eastAsia="Arial" w:hAnsi="Arial"/>
                  <w:sz w:val="17"/>
                  <w:szCs w:val="17"/>
                  <w:color w:val="0000EE"/>
                </w:rPr>
                <w:t>Consolidated Statements of Cash Flows</w:t>
              </w:r>
            </w:hyperlink>
          </w:p>
        </w:tc>
        <w:tc>
          <w:tcPr>
            <w:tcW w:w="6280" w:type="dxa"/>
            <w:vAlign w:val="bottom"/>
            <w:gridSpan w:val="3"/>
          </w:tcPr>
          <w:p>
            <w:pPr>
              <w:spacing w:after="0"/>
              <w:rPr>
                <w:sz w:val="16"/>
                <w:szCs w:val="16"/>
                <w:color w:val="auto"/>
              </w:rPr>
            </w:pPr>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F-8</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3"/>
        </w:trPr>
        <w:tc>
          <w:tcPr>
            <w:tcW w:w="3040" w:type="dxa"/>
            <w:vAlign w:val="bottom"/>
            <w:tcBorders>
              <w:bottom w:val="single" w:sz="8" w:color="0000EE"/>
            </w:tcBorders>
            <w:gridSpan w:val="5"/>
          </w:tcPr>
          <w:p>
            <w:pPr>
              <w:spacing w:after="0" w:line="193" w:lineRule="exact"/>
              <w:rPr>
                <w:rFonts w:ascii="Arial" w:cs="Arial" w:eastAsia="Arial" w:hAnsi="Arial"/>
                <w:sz w:val="17"/>
                <w:szCs w:val="17"/>
                <w:color w:val="0000EE"/>
                <w:w w:val="91"/>
              </w:rPr>
            </w:pPr>
            <w:hyperlink w:anchor="page68">
              <w:r>
                <w:rPr>
                  <w:rFonts w:ascii="Arial" w:cs="Arial" w:eastAsia="Arial" w:hAnsi="Arial"/>
                  <w:sz w:val="17"/>
                  <w:szCs w:val="17"/>
                  <w:color w:val="0000EE"/>
                  <w:w w:val="91"/>
                </w:rPr>
                <w:t>Notes to Consolidated Financial Statements</w:t>
              </w:r>
            </w:hyperlink>
          </w:p>
        </w:tc>
        <w:tc>
          <w:tcPr>
            <w:tcW w:w="7340" w:type="dxa"/>
            <w:vAlign w:val="bottom"/>
            <w:gridSpan w:val="6"/>
          </w:tcPr>
          <w:p>
            <w:pPr>
              <w:spacing w:after="0"/>
              <w:rPr>
                <w:sz w:val="16"/>
                <w:szCs w:val="16"/>
                <w:color w:val="auto"/>
              </w:rPr>
            </w:pPr>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F-9-F-31</w:t>
            </w:r>
          </w:p>
        </w:tc>
      </w:tr>
      <w:tr>
        <w:trPr>
          <w:trHeight w:val="299"/>
        </w:trPr>
        <w:tc>
          <w:tcPr>
            <w:tcW w:w="2140" w:type="dxa"/>
            <w:vAlign w:val="bottom"/>
            <w:tcBorders>
              <w:bottom w:val="single" w:sz="8" w:color="0000EE"/>
            </w:tcBorders>
            <w:gridSpan w:val="2"/>
          </w:tcPr>
          <w:p>
            <w:pPr>
              <w:spacing w:after="0"/>
              <w:rPr>
                <w:rFonts w:ascii="Arial" w:cs="Arial" w:eastAsia="Arial" w:hAnsi="Arial"/>
                <w:sz w:val="17"/>
                <w:szCs w:val="17"/>
                <w:i w:val="1"/>
                <w:iCs w:val="1"/>
                <w:color w:val="0000EE"/>
                <w:w w:val="90"/>
              </w:rPr>
            </w:pPr>
            <w:hyperlink w:anchor="page91">
              <w:r>
                <w:rPr>
                  <w:rFonts w:ascii="Arial" w:cs="Arial" w:eastAsia="Arial" w:hAnsi="Arial"/>
                  <w:sz w:val="17"/>
                  <w:szCs w:val="17"/>
                  <w:i w:val="1"/>
                  <w:iCs w:val="1"/>
                  <w:color w:val="0000EE"/>
                  <w:w w:val="90"/>
                </w:rPr>
                <w:t>Financial Statement Schedules</w:t>
              </w:r>
            </w:hyperlink>
          </w:p>
        </w:tc>
        <w:tc>
          <w:tcPr>
            <w:tcW w:w="8240" w:type="dxa"/>
            <w:vAlign w:val="bottom"/>
            <w:gridSpan w:val="9"/>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5000" w:type="dxa"/>
            <w:vAlign w:val="bottom"/>
            <w:tcBorders>
              <w:bottom w:val="single" w:sz="8" w:color="0000EE"/>
            </w:tcBorders>
            <w:gridSpan w:val="9"/>
          </w:tcPr>
          <w:p>
            <w:pPr>
              <w:spacing w:after="0" w:line="193" w:lineRule="exact"/>
              <w:rPr>
                <w:rFonts w:ascii="Arial" w:cs="Arial" w:eastAsia="Arial" w:hAnsi="Arial"/>
                <w:sz w:val="17"/>
                <w:szCs w:val="17"/>
                <w:color w:val="0000EE"/>
                <w:w w:val="92"/>
              </w:rPr>
            </w:pPr>
            <w:hyperlink w:anchor="page91">
              <w:r>
                <w:rPr>
                  <w:rFonts w:ascii="Arial" w:cs="Arial" w:eastAsia="Arial" w:hAnsi="Arial"/>
                  <w:sz w:val="17"/>
                  <w:szCs w:val="17"/>
                  <w:color w:val="0000EE"/>
                  <w:w w:val="92"/>
                </w:rPr>
                <w:t>Schedule III — Summary of Real Estate and Accumulated Depreciation</w:t>
              </w:r>
            </w:hyperlink>
          </w:p>
        </w:tc>
        <w:tc>
          <w:tcPr>
            <w:tcW w:w="5380" w:type="dxa"/>
            <w:vAlign w:val="bottom"/>
            <w:gridSpan w:val="2"/>
          </w:tcPr>
          <w:p>
            <w:pPr>
              <w:spacing w:after="0"/>
              <w:rPr>
                <w:sz w:val="16"/>
                <w:szCs w:val="16"/>
                <w:color w:val="auto"/>
              </w:rPr>
            </w:pPr>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F-32-F-37</w:t>
            </w:r>
          </w:p>
        </w:tc>
      </w:tr>
      <w:tr>
        <w:trPr>
          <w:trHeight w:val="193"/>
        </w:trPr>
        <w:tc>
          <w:tcPr>
            <w:tcW w:w="10380" w:type="dxa"/>
            <w:vAlign w:val="bottom"/>
            <w:gridSpan w:val="11"/>
          </w:tcPr>
          <w:p>
            <w:pPr>
              <w:spacing w:after="0" w:line="193" w:lineRule="exact"/>
              <w:rPr>
                <w:rFonts w:ascii="Arial" w:cs="Arial" w:eastAsia="Arial" w:hAnsi="Arial"/>
                <w:sz w:val="17"/>
                <w:szCs w:val="17"/>
                <w:color w:val="0000EE"/>
              </w:rPr>
            </w:pPr>
            <w:hyperlink w:anchor="page97">
              <w:r>
                <w:rPr>
                  <w:rFonts w:ascii="Arial" w:cs="Arial" w:eastAsia="Arial" w:hAnsi="Arial"/>
                  <w:sz w:val="17"/>
                  <w:szCs w:val="17"/>
                  <w:color w:val="0000EE"/>
                </w:rPr>
                <w:t>Schedule IV — Mortgage Loans on Real Estate</w:t>
              </w:r>
            </w:hyperlink>
          </w:p>
        </w:tc>
        <w:tc>
          <w:tcPr>
            <w:tcW w:w="10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F-38-F-39</w:t>
            </w:r>
          </w:p>
        </w:tc>
      </w:tr>
      <w:tr>
        <w:trPr>
          <w:trHeight w:val="20"/>
        </w:trPr>
        <w:tc>
          <w:tcPr>
            <w:tcW w:w="2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0" w:firstLine="457"/>
        <w:spacing w:after="0" w:line="291" w:lineRule="auto"/>
        <w:rPr>
          <w:sz w:val="20"/>
          <w:szCs w:val="20"/>
          <w:color w:val="auto"/>
        </w:rPr>
      </w:pPr>
      <w:r>
        <w:rPr>
          <w:rFonts w:ascii="Arial" w:cs="Arial" w:eastAsia="Arial" w:hAnsi="Arial"/>
          <w:sz w:val="17"/>
          <w:szCs w:val="17"/>
          <w:color w:val="auto"/>
        </w:rPr>
        <w:t>All other schedules have been omitted either because the information is not applicable, not material, or is disclosed in our consolidated financial statements and related notes.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271"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Management Assessment Report on Internal Control over Financial Reporting</w:t>
      </w:r>
    </w:p>
    <w:p>
      <w:pPr>
        <w:spacing w:after="0" w:line="103"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53" w:lineRule="exact"/>
        <w:rPr>
          <w:sz w:val="20"/>
          <w:szCs w:val="20"/>
          <w:color w:val="auto"/>
        </w:rPr>
      </w:pPr>
    </w:p>
    <w:p>
      <w:pPr>
        <w:ind w:left="800" w:hanging="341"/>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97" w:lineRule="exact"/>
        <w:rPr>
          <w:rFonts w:ascii="Arial" w:cs="Arial" w:eastAsia="Arial" w:hAnsi="Arial"/>
          <w:sz w:val="17"/>
          <w:szCs w:val="17"/>
          <w:color w:val="auto"/>
        </w:rPr>
      </w:pPr>
    </w:p>
    <w:p>
      <w:pPr>
        <w:ind w:left="800" w:right="360" w:hanging="341"/>
        <w:spacing w:after="0" w:line="276"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4" w:lineRule="exact"/>
        <w:rPr>
          <w:rFonts w:ascii="Arial" w:cs="Arial" w:eastAsia="Arial" w:hAnsi="Arial"/>
          <w:sz w:val="17"/>
          <w:szCs w:val="17"/>
          <w:color w:val="auto"/>
        </w:rPr>
      </w:pPr>
    </w:p>
    <w:p>
      <w:pPr>
        <w:ind w:left="800" w:right="840" w:hanging="341"/>
        <w:spacing w:after="0" w:line="291"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1"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09"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 xml:space="preserve">Management conducted an assessment of the effectiveness of the Trust’s internal control over financial reporting as of December 31, 2005. In making this assessment, it used the criteria set forth by the Committee of Sponsoring Organizations of the Treadway Commission (COSO)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Based on this assessment, management concluded that our internal control over financial reporting is effective based on those criteria, as of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our most recent fiscal year.</w:t>
      </w:r>
    </w:p>
    <w:p>
      <w:pPr>
        <w:spacing w:after="0" w:line="128" w:lineRule="exact"/>
        <w:rPr>
          <w:sz w:val="20"/>
          <w:szCs w:val="20"/>
          <w:color w:val="auto"/>
        </w:rPr>
      </w:pPr>
    </w:p>
    <w:p>
      <w:pPr>
        <w:ind w:right="540" w:firstLine="457"/>
        <w:spacing w:after="0" w:line="291" w:lineRule="auto"/>
        <w:rPr>
          <w:sz w:val="20"/>
          <w:szCs w:val="20"/>
          <w:color w:val="auto"/>
        </w:rPr>
      </w:pPr>
      <w:r>
        <w:rPr>
          <w:rFonts w:ascii="Arial" w:cs="Arial" w:eastAsia="Arial" w:hAnsi="Arial"/>
          <w:sz w:val="17"/>
          <w:szCs w:val="17"/>
          <w:color w:val="auto"/>
        </w:rPr>
        <w:t>Our independent registered public accounting firm has issued an attestation report on management’s assessment of our internal control over financial reporting. This report appears on page F-2.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00"/>
          </w:cols>
          <w:pgMar w:left="240" w:top="271"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Report of Independent Registered Public Accounting Firm</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97"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 xml:space="preserve">We have audited the accompanying consolidated balance sheets of Federal Realty Investment Trust (a Maryland real estate investment trust) and subsidiaries (the Trust) as of December 31, 2005 and 2004, and the related consolidated statements of operations, common shareholders’ equity, and cash flows for each of the three years in the period ended December 31, 2005. We have also audited management’s assessment, included in the accompanying Management Assessment Report on Internal Controls, that the Trust maintained effective internal control over financial reporting as of December 31, 2005, based on criteria established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issued by the Committee of Sponsoring Organizations of the Treadway Commission (COSO). The Trust’s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financial statements, for maintaining effective internal control over financial reporting, and for its assessment of the effectiveness of internal control over financial reporting. Our responsibility is to express an opinion on these financial statements, an opinion on management’s assessment, and an opinion on the effectiveness of the company’s internal control over financial reporting based on our audits.</w:t>
      </w:r>
    </w:p>
    <w:p>
      <w:pPr>
        <w:spacing w:after="0" w:line="121"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audits provide a reasonable basis for our opinions.</w:t>
      </w:r>
    </w:p>
    <w:p>
      <w:pPr>
        <w:spacing w:after="0" w:line="120"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80" w:firstLine="457"/>
        <w:spacing w:after="0" w:line="27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 xml:space="preserve">In our opinion, the financial statements referred to above present fairly, in all material respects, the financial position of the Trust as of December 31, 2005 and 2004, and the results of its operations and its cash flows for each of the three years in the period ended December 31, 2005 in conformity with accounting principles generally accepted in the United States of America. Also in our opinion, management’s assessment that the Trust maintained effective internal control over financial reporting as of December 31, 2005, is fairly stated, in all material respects, based on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w:t>
      </w:r>
      <w:r>
        <w:rPr>
          <w:rFonts w:ascii="Arial" w:cs="Arial" w:eastAsia="Arial" w:hAnsi="Arial"/>
          <w:sz w:val="17"/>
          <w:szCs w:val="17"/>
          <w:i w:val="1"/>
          <w:iCs w:val="1"/>
          <w:color w:val="auto"/>
        </w:rPr>
        <w:t>.</w:t>
      </w:r>
      <w:r>
        <w:rPr>
          <w:rFonts w:ascii="Arial" w:cs="Arial" w:eastAsia="Arial" w:hAnsi="Arial"/>
          <w:sz w:val="17"/>
          <w:szCs w:val="17"/>
          <w:color w:val="auto"/>
        </w:rPr>
        <w:t xml:space="preserve"> Furthermore, in our opinion, the Trust maintained, in all material respects, effective internal control over financial reporting as of December 31, 2005, based on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w:t>
      </w:r>
      <w:r>
        <w:rPr>
          <w:rFonts w:ascii="Arial" w:cs="Arial" w:eastAsia="Arial" w:hAnsi="Arial"/>
          <w:sz w:val="17"/>
          <w:szCs w:val="17"/>
          <w:i w:val="1"/>
          <w:iCs w:val="1"/>
          <w:color w:val="auto"/>
        </w:rPr>
        <w: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00"/>
          </w:cols>
          <w:pgMar w:left="240" w:top="271" w:right="259" w:bottom="1440" w:gutter="0" w:footer="0" w:header="0"/>
        </w:sectPr>
      </w:pPr>
    </w:p>
    <w:bookmarkStart w:id="62" w:name="page63"/>
    <w:bookmarkEnd w:id="62"/>
    <w:p>
      <w:pPr>
        <w:ind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Our audits were conducted for the purpose of forming an opinion on the basic consolidated financial statements taken as a whole. The Schedules III and IV are presented for the purposes of additional analysis and are not a required part of the basic consolidated financial statements. These schedules have been subjected to the auditing procedures applied in the audit of the basic consolidated financial statements and, in our opinion, are fairly stated in all material respects in relation to the basic consolidated financial statements taken as a whole.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27, 2006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2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0" w:lineRule="exact"/>
              <w:rPr>
                <w:sz w:val="20"/>
                <w:szCs w:val="20"/>
                <w:color w:val="auto"/>
              </w:rPr>
            </w:pPr>
            <w:r>
              <w:rPr>
                <w:rFonts w:ascii="Arial" w:cs="Arial" w:eastAsia="Arial" w:hAnsi="Arial"/>
                <w:sz w:val="13"/>
                <w:szCs w:val="13"/>
                <w:b w:val="1"/>
                <w:bCs w:val="1"/>
                <w:color w:val="auto"/>
              </w:rPr>
              <w:t>2005</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0" w:lineRule="exact"/>
              <w:rPr>
                <w:sz w:val="20"/>
                <w:szCs w:val="20"/>
                <w:color w:val="auto"/>
              </w:rPr>
            </w:pPr>
            <w:r>
              <w:rPr>
                <w:rFonts w:ascii="Arial" w:cs="Arial" w:eastAsia="Arial" w:hAnsi="Arial"/>
                <w:sz w:val="13"/>
                <w:szCs w:val="13"/>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1260" w:type="dxa"/>
            <w:vAlign w:val="bottom"/>
            <w:gridSpan w:val="3"/>
          </w:tcPr>
          <w:p>
            <w:pPr>
              <w:jc w:val="right"/>
              <w:ind w:right="554"/>
              <w:spacing w:after="0" w:line="140" w:lineRule="exact"/>
              <w:rPr>
                <w:sz w:val="20"/>
                <w:szCs w:val="20"/>
                <w:color w:val="auto"/>
              </w:rPr>
            </w:pPr>
            <w:r>
              <w:rPr>
                <w:rFonts w:ascii="Arial" w:cs="Arial" w:eastAsia="Arial" w:hAnsi="Arial"/>
                <w:sz w:val="13"/>
                <w:szCs w:val="13"/>
                <w:b w:val="1"/>
                <w:bCs w:val="1"/>
                <w:color w:val="auto"/>
                <w:w w:val="85"/>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Real estate, at cost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2,727,488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2,434,879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50,593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130,040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2,829,321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2,666,276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(663,750)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(595,338)</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7"/>
                <w:szCs w:val="17"/>
                <w:color w:val="auto"/>
              </w:rPr>
              <w:t>Net real estate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2,165,571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2,070,938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38,161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34,849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42,909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9,375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9,631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71,767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Debt issuance costs, net of accumulated amortization of $7,592 and 5,549, respectively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5,407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2,350,852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2,266,896</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Mortgages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270,898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251,885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Obligations under capital leases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148,815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316,755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325,051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653,675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568,121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88,089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80,558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Security deposits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8,807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7,745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liabilities and deferred credits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36,806</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1,556,812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1,457,408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Commitments and contingencies (Note 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Preferred stock, authorized 15,000,000 shares, $.01 par: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9"/>
              </w:rPr>
              <w:t>8.5% Series B Cumulative Redeemable Preferred Shares, (stated at liquidation preference $25 per share), 5,400,000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shares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135,000</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Common shares, $.01 par, 100,000,000 shares authorized, 54,371,057 and 53,616,827 issued, respectively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Additional paid 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1,114,732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1,108,213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Accumulated dividends in excess of net income</w:t>
            </w:r>
          </w:p>
        </w:tc>
        <w:tc>
          <w:tcPr>
            <w:tcW w:w="120" w:type="dxa"/>
            <w:vAlign w:val="bottom"/>
          </w:tcPr>
          <w:p>
            <w:pPr>
              <w:spacing w:after="0"/>
              <w:rPr>
                <w:sz w:val="18"/>
                <w:szCs w:val="18"/>
                <w:color w:val="auto"/>
              </w:rPr>
            </w:pPr>
          </w:p>
        </w:tc>
        <w:tc>
          <w:tcPr>
            <w:tcW w:w="1120" w:type="dxa"/>
            <w:vAlign w:val="bottom"/>
            <w:gridSpan w:val="2"/>
          </w:tcPr>
          <w:p>
            <w:pPr>
              <w:jc w:val="right"/>
              <w:ind w:right="273"/>
              <w:spacing w:after="0"/>
              <w:rPr>
                <w:sz w:val="20"/>
                <w:szCs w:val="20"/>
                <w:color w:val="auto"/>
              </w:rPr>
            </w:pPr>
            <w:r>
              <w:rPr>
                <w:rFonts w:ascii="Arial" w:cs="Arial" w:eastAsia="Arial" w:hAnsi="Arial"/>
                <w:sz w:val="17"/>
                <w:szCs w:val="17"/>
                <w:color w:val="auto"/>
              </w:rPr>
              <w:t>(437,817)</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(416,026)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Treasury shares at cost, 1,480,360 and 1,480,202 respectively</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(28,794)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(28,786)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Deferred compensation on restricted shares</w:t>
            </w:r>
          </w:p>
        </w:tc>
        <w:tc>
          <w:tcPr>
            <w:tcW w:w="120" w:type="dxa"/>
            <w:vAlign w:val="bottom"/>
          </w:tcPr>
          <w:p>
            <w:pPr>
              <w:spacing w:after="0"/>
              <w:rPr>
                <w:sz w:val="18"/>
                <w:szCs w:val="18"/>
                <w:color w:val="auto"/>
              </w:rPr>
            </w:pPr>
          </w:p>
        </w:tc>
        <w:tc>
          <w:tcPr>
            <w:tcW w:w="1120" w:type="dxa"/>
            <w:vAlign w:val="bottom"/>
            <w:gridSpan w:val="2"/>
          </w:tcPr>
          <w:p>
            <w:pPr>
              <w:jc w:val="right"/>
              <w:ind w:right="273"/>
              <w:spacing w:after="0"/>
              <w:rPr>
                <w:sz w:val="20"/>
                <w:szCs w:val="20"/>
                <w:color w:val="auto"/>
              </w:rPr>
            </w:pPr>
            <w:r>
              <w:rPr>
                <w:rFonts w:ascii="Arial" w:cs="Arial" w:eastAsia="Arial" w:hAnsi="Arial"/>
                <w:sz w:val="17"/>
                <w:szCs w:val="17"/>
                <w:color w:val="auto"/>
              </w:rPr>
              <w:t>(9,704)</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(8,641)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Notes receivable from issuance of common shares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(1,792)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7"/>
                <w:szCs w:val="17"/>
                <w:color w:val="auto"/>
              </w:rPr>
              <w:t>Accumulated other comprehensive income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774,847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790,534</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2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2,350,852</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2,266,896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27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8"/>
          </w:tcPr>
          <w:p>
            <w:pPr>
              <w:ind w:left="560"/>
              <w:spacing w:after="0"/>
              <w:rPr>
                <w:sz w:val="20"/>
                <w:szCs w:val="20"/>
                <w:color w:val="auto"/>
              </w:rPr>
            </w:pPr>
            <w:r>
              <w:rPr>
                <w:rFonts w:ascii="Arial" w:cs="Arial" w:eastAsia="Arial" w:hAnsi="Arial"/>
                <w:sz w:val="13"/>
                <w:szCs w:val="13"/>
                <w:b w:val="1"/>
                <w:bCs w:val="1"/>
                <w:color w:val="auto"/>
                <w:w w:val="96"/>
              </w:rPr>
              <w:t>Year Ended December 31,</w:t>
            </w: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0" w:lineRule="exact"/>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5"/>
              <w:spacing w:after="0" w:line="140"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3"/>
          </w:tcPr>
          <w:p>
            <w:pPr>
              <w:spacing w:after="0"/>
              <w:rPr>
                <w:sz w:val="20"/>
                <w:szCs w:val="20"/>
                <w:color w:val="auto"/>
              </w:rPr>
            </w:pPr>
            <w:r>
              <w:rPr>
                <w:rFonts w:ascii="Arial" w:cs="Arial" w:eastAsia="Arial" w:hAnsi="Arial"/>
                <w:sz w:val="10"/>
                <w:szCs w:val="10"/>
                <w:b w:val="1"/>
                <w:bCs w:val="1"/>
                <w:color w:val="auto"/>
                <w:w w:val="71"/>
              </w:rPr>
              <w:t>thousands,</w:t>
            </w:r>
          </w:p>
        </w:tc>
        <w:tc>
          <w:tcPr>
            <w:tcW w:w="1800" w:type="dxa"/>
            <w:vAlign w:val="bottom"/>
            <w:gridSpan w:val="6"/>
          </w:tcPr>
          <w:p>
            <w:pPr>
              <w:jc w:val="right"/>
              <w:ind w:right="400"/>
              <w:spacing w:after="0" w:line="140" w:lineRule="exact"/>
              <w:rPr>
                <w:sz w:val="20"/>
                <w:szCs w:val="20"/>
                <w:color w:val="auto"/>
              </w:rPr>
            </w:pPr>
            <w:r>
              <w:rPr>
                <w:rFonts w:ascii="Arial" w:cs="Arial" w:eastAsia="Arial" w:hAnsi="Arial"/>
                <w:sz w:val="13"/>
                <w:szCs w:val="13"/>
                <w:b w:val="1"/>
                <w:bCs w:val="1"/>
                <w:color w:val="auto"/>
                <w:w w:val="99"/>
              </w:rPr>
              <w:t>except per share data)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87"/>
              </w:rPr>
              <w:t>395,403</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$370,069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336,530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9,557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Mortgage interest income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410,330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385,387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345,762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85,086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90,209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Real estate taxes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39,564</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37,549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19,909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89,457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234,016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198,929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6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87"/>
              </w:rPr>
              <w:t>176,314</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152,377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146,833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w w:val="94"/>
              </w:rPr>
              <w:t>(88,566)</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(85,058)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(75,232)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7"/>
                <w:szCs w:val="17"/>
                <w:color w:val="auto"/>
              </w:rPr>
              <w:t>Minority interests</w:t>
            </w:r>
          </w:p>
        </w:tc>
        <w:tc>
          <w:tcPr>
            <w:tcW w:w="10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rPr>
              <w:t>(5,234)</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(4,170)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(4,670)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income from discontinued operations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(1,358)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114,612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Dividends on preferred stock</w:t>
            </w:r>
          </w:p>
        </w:tc>
        <w:tc>
          <w:tcPr>
            <w:tcW w:w="1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w w:val="94"/>
              </w:rPr>
              <w:t>(11,475)</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(11,475)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(15,084)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Preferred stock redemption costs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219"/>
        </w:trPr>
        <w:tc>
          <w:tcPr>
            <w:tcW w:w="8560" w:type="dxa"/>
            <w:vAlign w:val="bottom"/>
            <w:gridSpan w:val="2"/>
          </w:tcPr>
          <w:p>
            <w:pPr>
              <w:spacing w:after="0"/>
              <w:rPr>
                <w:sz w:val="20"/>
                <w:szCs w:val="20"/>
                <w:color w:val="auto"/>
              </w:rPr>
            </w:pPr>
            <w:r>
              <w:rPr>
                <w:rFonts w:ascii="Arial" w:cs="Arial" w:eastAsia="Arial" w:hAnsi="Arial"/>
                <w:sz w:val="17"/>
                <w:szCs w:val="17"/>
                <w:color w:val="auto"/>
              </w:rPr>
              <w:t>NET INCOME AVAILABLE FOR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103,137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72,681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1.05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income from discontinued operations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(0.03)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420"/>
              <w:spacing w:after="0"/>
              <w:rPr>
                <w:sz w:val="20"/>
                <w:szCs w:val="20"/>
                <w:color w:val="auto"/>
              </w:rPr>
            </w:pPr>
            <w:r>
              <w:rPr>
                <w:rFonts w:ascii="Arial" w:cs="Arial" w:eastAsia="Arial" w:hAnsi="Arial"/>
                <w:sz w:val="17"/>
                <w:szCs w:val="17"/>
                <w:color w:val="auto"/>
              </w:rPr>
              <w:t>Weighted average number of common shares, basic</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52,533</w:t>
            </w: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51,008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47,379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1.39</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income from discontinued operations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(0.03)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53,050</w:t>
            </w: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51,547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48,619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27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COMMON SHAREHOLDERS’ EQUITY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0" w:lineRule="exact"/>
              <w:rPr>
                <w:sz w:val="20"/>
                <w:szCs w:val="20"/>
                <w:color w:val="auto"/>
              </w:rPr>
            </w:pPr>
            <w:r>
              <w:rPr>
                <w:rFonts w:ascii="Arial" w:cs="Arial" w:eastAsia="Arial" w:hAnsi="Arial"/>
                <w:sz w:val="13"/>
                <w:szCs w:val="13"/>
                <w:b w:val="1"/>
                <w:bCs w:val="1"/>
                <w:color w:val="auto"/>
              </w:rPr>
              <w:t>2005</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0" w:lineRule="exact"/>
              <w:rPr>
                <w:sz w:val="20"/>
                <w:szCs w:val="20"/>
                <w:color w:val="auto"/>
              </w:rPr>
            </w:pPr>
            <w:r>
              <w:rPr>
                <w:rFonts w:ascii="Arial" w:cs="Arial" w:eastAsia="Arial" w:hAnsi="Arial"/>
                <w:sz w:val="13"/>
                <w:szCs w:val="13"/>
                <w:b w:val="1"/>
                <w:bCs w:val="1"/>
                <w:color w:val="auto"/>
              </w:rPr>
              <w:t>2004</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b w:val="1"/>
                <w:bCs w:val="1"/>
                <w:color w:val="auto"/>
              </w:rPr>
              <w:t>2003</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spacing w:after="0" w:line="127"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rPr>
              <w:t>Paid-in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6" w:lineRule="exact"/>
              <w:rPr>
                <w:sz w:val="20"/>
                <w:szCs w:val="20"/>
                <w:color w:val="auto"/>
              </w:rPr>
            </w:pPr>
            <w:r>
              <w:rPr>
                <w:rFonts w:ascii="Arial" w:cs="Arial" w:eastAsia="Arial" w:hAnsi="Arial"/>
                <w:sz w:val="13"/>
                <w:szCs w:val="13"/>
                <w:b w:val="1"/>
                <w:bCs w:val="1"/>
                <w:color w:val="auto"/>
                <w:w w:val="96"/>
              </w:rPr>
              <w:t>Paid-in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6"/>
              </w:rPr>
              <w:t>Paid-in</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8"/>
          </w:tcPr>
          <w:p>
            <w:pPr>
              <w:jc w:val="right"/>
              <w:ind w:right="260"/>
              <w:spacing w:after="0" w:line="140" w:lineRule="exact"/>
              <w:rPr>
                <w:sz w:val="20"/>
                <w:szCs w:val="20"/>
                <w:color w:val="auto"/>
              </w:rPr>
            </w:pPr>
            <w:r>
              <w:rPr>
                <w:rFonts w:ascii="Arial" w:cs="Arial" w:eastAsia="Arial" w:hAnsi="Arial"/>
                <w:sz w:val="13"/>
                <w:szCs w:val="13"/>
                <w:b w:val="1"/>
                <w:bCs w:val="1"/>
                <w:color w:val="auto"/>
                <w:w w:val="99"/>
              </w:rPr>
              <w:t>(In thousands, except share data)</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Common shares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w w:val="92"/>
              </w:rPr>
              <w:t>53,616,827</w:t>
            </w:r>
          </w:p>
        </w:tc>
        <w:tc>
          <w:tcPr>
            <w:tcW w:w="160" w:type="dxa"/>
            <w:vAlign w:val="bottom"/>
          </w:tcPr>
          <w:p>
            <w:pPr>
              <w:spacing w:after="0"/>
              <w:rPr>
                <w:sz w:val="12"/>
                <w:szCs w:val="12"/>
                <w:color w:val="auto"/>
              </w:rPr>
            </w:pP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536</w:t>
            </w: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w w:val="90"/>
              </w:rPr>
              <w:t>$ 1,108,213</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w w:val="98"/>
              </w:rPr>
              <w:t>50,670,851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980,227</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w w:val="98"/>
              </w:rPr>
              <w:t>44,996,382</w:t>
            </w:r>
          </w:p>
        </w:tc>
        <w:tc>
          <w:tcPr>
            <w:tcW w:w="100" w:type="dxa"/>
            <w:vAlign w:val="bottom"/>
          </w:tcPr>
          <w:p>
            <w:pPr>
              <w:spacing w:after="0"/>
              <w:rPr>
                <w:sz w:val="12"/>
                <w:szCs w:val="12"/>
                <w:color w:val="auto"/>
              </w:rPr>
            </w:pP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450</w:t>
            </w:r>
          </w:p>
        </w:tc>
        <w:tc>
          <w:tcPr>
            <w:tcW w:w="1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818,290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Exercise of stock options</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409,920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w:t>
            </w:r>
          </w:p>
        </w:tc>
        <w:tc>
          <w:tcPr>
            <w:tcW w:w="8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10,947</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348,888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8,586</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2,124,869</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50,749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Shares issued under dividend reinvestment plan</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62,579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w:t>
            </w: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3,424</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82,391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3,439</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109,835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3,541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w w:val="98"/>
              </w:rPr>
              <w:t>Performance and restricted shares granted, net of restricted shares retired</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78,591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w:t>
            </w:r>
          </w:p>
        </w:tc>
        <w:tc>
          <w:tcPr>
            <w:tcW w:w="8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4,061</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84,617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3,632</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138,568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3,960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Reclassification for preferred stock redemption</w:t>
            </w:r>
          </w:p>
        </w:tc>
        <w:tc>
          <w:tcPr>
            <w:tcW w:w="78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3,423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Issuance of shares in public offering</w:t>
            </w:r>
          </w:p>
        </w:tc>
        <w:tc>
          <w:tcPr>
            <w:tcW w:w="7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2,186,749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99,011</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3,236,245</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98,368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Conversion and redemption of OP units</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203,140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w:t>
            </w:r>
          </w:p>
        </w:tc>
        <w:tc>
          <w:tcPr>
            <w:tcW w:w="8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(12,806)</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203,130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8,686</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64,952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1,896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Shares issued to purchase partnership interests</w:t>
            </w:r>
          </w:p>
        </w:tc>
        <w:tc>
          <w:tcPr>
            <w:tcW w:w="7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40,201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1,862</w:t>
            </w:r>
          </w:p>
        </w:tc>
        <w:tc>
          <w:tcPr>
            <w:tcW w:w="7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Stock compensation associated with variable accounting</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893</w:t>
            </w:r>
          </w:p>
        </w:tc>
        <w:tc>
          <w:tcPr>
            <w:tcW w:w="82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2,770</w:t>
            </w:r>
          </w:p>
        </w:tc>
        <w:tc>
          <w:tcPr>
            <w:tcW w:w="7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2"/>
              </w:rPr>
              <w:t>54,371,057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544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w w:val="90"/>
              </w:rPr>
              <w:t>$ 1,114,732</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8"/>
              </w:rPr>
              <w:t>53,616,827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1,108,213</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8"/>
              </w:rPr>
              <w:t>50,670,851</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507</w:t>
            </w:r>
          </w:p>
        </w:tc>
        <w:tc>
          <w:tcPr>
            <w:tcW w:w="1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980,227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Accumulated dividends in excess of 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(416,026)</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(386,738)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(368,839)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Net income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114,612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84,156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94,497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Dividends declared to common shareholders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(124,928)</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(101,969)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(93,889)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Preferred share dividends and redemption costs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(11,475)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(11,475)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(18,507)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(437,817)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3"/>
              </w:rPr>
              <w:t>(416,026)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(386,738)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Treasury shares</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7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w w:val="99"/>
              </w:rPr>
              <w:t>(1,480,202)</w:t>
            </w: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(28,786)</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(1,470,275)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(28,445)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(1,461,147)</w:t>
            </w: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(28,193)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Performance and restricted shares forfeited</w:t>
            </w:r>
          </w:p>
        </w:tc>
        <w:tc>
          <w:tcPr>
            <w:tcW w:w="7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(158)</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(9,927)</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(341)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(9,128)</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7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w w:val="99"/>
              </w:rPr>
              <w:t>(1,480,360)</w:t>
            </w: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(28,794)</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(1,480,202)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(28,786)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(1,470,275)</w:t>
            </w: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(28,445)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Deferred compensation on restricted shares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7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(226,904)</w:t>
            </w: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(8,641)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(220,666)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(5,474)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(153,993)</w:t>
            </w: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(2,657)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Performance and restricted shares issued, net of forfeitures</w:t>
            </w:r>
          </w:p>
        </w:tc>
        <w:tc>
          <w:tcPr>
            <w:tcW w:w="7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(67,517)</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(3,494)</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(72,166)</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(3,099)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(118,400)</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(3,371)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Vesting of performance and restricted shares</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87,889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2,431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65,928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51,727</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554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220"/>
              <w:spacing w:after="0"/>
              <w:rPr>
                <w:sz w:val="20"/>
                <w:szCs w:val="20"/>
                <w:color w:val="auto"/>
              </w:rPr>
            </w:pPr>
            <w:r>
              <w:rPr>
                <w:rFonts w:ascii="Arial" w:cs="Arial" w:eastAsia="Arial" w:hAnsi="Arial"/>
                <w:sz w:val="13"/>
                <w:szCs w:val="13"/>
                <w:color w:val="auto"/>
              </w:rPr>
              <w:t>Balance, end of year</w:t>
            </w: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60" w:type="dxa"/>
            <w:vAlign w:val="bottom"/>
            <w:vMerge w:val="continue"/>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(206,532)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(9,704)</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(226,904)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(8,641)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(220,666)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(5,474)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Notes receivable from issuance of common shares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7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(112,712)</w:t>
            </w: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(2,083)</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(156,274)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(3,615)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(184,063)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(5,151)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Loans issued</w:t>
            </w:r>
          </w:p>
        </w:tc>
        <w:tc>
          <w:tcPr>
            <w:tcW w:w="7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(16,899)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(87,641)</w:t>
            </w: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(1,999)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Loans paid</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26,339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291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60,461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1,943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115,430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3,535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7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(86,373)</w:t>
            </w: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(1,792)</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(112,712)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(2,083)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(156,274)</w:t>
            </w: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(3,615)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Accumulated other comprehensive income (loss)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beginning of year</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2,321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(4,613)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Adjustments to unrealized gains (losses) on securities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60</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Adjustments to unrealized gains on interest rate swaps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297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2,381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3,563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Loss on interest rate hedge transaction</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1,055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Balance, end of year</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2,678</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2,321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Comprehensive income</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Net income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114,612</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84,156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94,497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Adjustments to unrealized gains (losses) on securities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60</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Adjustments to unrealized gains on interest rate swaps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297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2,381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3,563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20"/>
              <w:spacing w:after="0" w:line="146" w:lineRule="exact"/>
              <w:rPr>
                <w:sz w:val="20"/>
                <w:szCs w:val="20"/>
                <w:color w:val="auto"/>
              </w:rPr>
            </w:pPr>
            <w:r>
              <w:rPr>
                <w:rFonts w:ascii="Arial" w:cs="Arial" w:eastAsia="Arial" w:hAnsi="Arial"/>
                <w:sz w:val="13"/>
                <w:szCs w:val="13"/>
                <w:color w:val="auto"/>
              </w:rPr>
              <w:t>Termination of interest rate swap</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1,055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Total comprehensive income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114,909</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86,564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99,023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27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6"/>
              </w:rPr>
              <w:t>Year Ended December 31,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3"/>
                <w:szCs w:val="13"/>
                <w:b w:val="1"/>
                <w:bCs w:val="1"/>
                <w:color w:val="auto"/>
              </w:rPr>
              <w:t>2004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0" w:lineRule="exact"/>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spacing w:after="0" w:line="140" w:lineRule="exact"/>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114,612</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84,156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840"/>
              <w:spacing w:after="0"/>
              <w:rPr>
                <w:sz w:val="20"/>
                <w:szCs w:val="20"/>
                <w:color w:val="auto"/>
              </w:rPr>
            </w:pPr>
            <w:r>
              <w:rPr>
                <w:rFonts w:ascii="Arial" w:cs="Arial" w:eastAsia="Arial" w:hAnsi="Arial"/>
                <w:sz w:val="17"/>
                <w:szCs w:val="17"/>
                <w:color w:val="auto"/>
              </w:rPr>
              <w:t>Depreciation and amortization, including discontinued operations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91,503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90,438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Gain on sale of real estate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(30,748)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(14,052)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840"/>
              <w:spacing w:after="0"/>
              <w:rPr>
                <w:sz w:val="20"/>
                <w:szCs w:val="20"/>
                <w:color w:val="auto"/>
              </w:rPr>
            </w:pPr>
            <w:r>
              <w:rPr>
                <w:rFonts w:ascii="Arial" w:cs="Arial" w:eastAsia="Arial" w:hAnsi="Arial"/>
                <w:sz w:val="17"/>
                <w:szCs w:val="17"/>
                <w:color w:val="auto"/>
              </w:rPr>
              <w:t>Equity in income from real estate partnership</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Minority interests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4,170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840"/>
              <w:spacing w:after="0"/>
              <w:rPr>
                <w:sz w:val="20"/>
                <w:szCs w:val="20"/>
                <w:color w:val="auto"/>
              </w:rPr>
            </w:pPr>
            <w:r>
              <w:rPr>
                <w:rFonts w:ascii="Arial" w:cs="Arial" w:eastAsia="Arial" w:hAnsi="Arial"/>
                <w:sz w:val="17"/>
                <w:szCs w:val="17"/>
                <w:color w:val="auto"/>
              </w:rPr>
              <w:t>Other,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3,821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3,336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840"/>
              <w:spacing w:after="0"/>
              <w:rPr>
                <w:sz w:val="20"/>
                <w:szCs w:val="20"/>
                <w:color w:val="auto"/>
              </w:rPr>
            </w:pPr>
            <w:r>
              <w:rPr>
                <w:rFonts w:ascii="Arial" w:cs="Arial" w:eastAsia="Arial" w:hAnsi="Arial"/>
                <w:sz w:val="17"/>
                <w:szCs w:val="17"/>
                <w:color w:val="auto"/>
              </w:rPr>
              <w:t>Increase in accounts and notes receivable</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(3,274)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(1,879)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(13,417)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4,255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840"/>
              <w:spacing w:after="0"/>
              <w:rPr>
                <w:sz w:val="20"/>
                <w:szCs w:val="20"/>
                <w:color w:val="auto"/>
              </w:rPr>
            </w:pPr>
            <w:r>
              <w:rPr>
                <w:rFonts w:ascii="Arial" w:cs="Arial" w:eastAsia="Arial" w:hAnsi="Arial"/>
                <w:sz w:val="17"/>
                <w:szCs w:val="17"/>
                <w:color w:val="auto"/>
              </w:rPr>
              <w:t>(Decrease) increase in accounts payable, security deposits and prepaid rent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(1,277)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1,394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(Decrease) increase in accrued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2,535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174,460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174,148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Acquisition of real estate</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(96,920)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w w:val="90"/>
              </w:rPr>
              <w:t>(101,688)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(50,629)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Investment in real estate partnership</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Capital expenditures—development and redevelopment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(143,981)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(53,374)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(153,602)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expenditures—other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(38,112)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Santana Row fire insurance proceeds reducing cost basis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95,895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Leasing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Proceeds from sale of real estate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113,141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56,125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Issuance (repayment) of mortgage and other notes receivable,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42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(152,249)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w w:val="90"/>
              </w:rPr>
              <w:t>(157,611)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(97,234)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Net borrowings (repayment) under revolving credit facility</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(44,750)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Issuance of notes, net of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Issuance of senior debentures, net of costs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124,013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74,099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Repayment of senior debentures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(39,500)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Repayment of mortgages, capital leases and notes payable, net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(4,555)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(3,623)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(43,565)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Redemption of Series A preferred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Issuance of common shares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11,234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109,051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151,126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(130,500)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0"/>
              </w:rPr>
              <w:t>(108,756)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(104,802)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7"/>
                <w:szCs w:val="17"/>
                <w:color w:val="auto"/>
              </w:rPr>
              <w:t>Distributions to minority interests</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(4,739)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(7,551)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(6,648)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(44,047)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(21,030)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(26,382)</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7"/>
                <w:szCs w:val="17"/>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(21,836)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(4,493)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30,475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34,968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gridSpan w:val="2"/>
          </w:tcPr>
          <w:p>
            <w:pPr>
              <w:spacing w:after="0"/>
              <w:rPr>
                <w:sz w:val="20"/>
                <w:szCs w:val="20"/>
                <w:color w:val="auto"/>
              </w:rPr>
            </w:pPr>
            <w:r>
              <w:rPr>
                <w:rFonts w:ascii="Arial" w:cs="Arial" w:eastAsia="Arial" w:hAnsi="Arial"/>
                <w:sz w:val="17"/>
                <w:szCs w:val="17"/>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8,639</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30,475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34,968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271" w:right="239" w:bottom="1440" w:gutter="0" w:footer="0" w:header="0"/>
        </w:sectPr>
      </w:pPr>
    </w:p>
    <w:bookmarkStart w:id="67" w:name="page68"/>
    <w:bookmarkEnd w:id="67"/>
    <w:p>
      <w:pPr>
        <w:ind w:left="45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97"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December 31, 2005, 2004 and 2003</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w:t>
      </w:r>
      <w:r>
        <w:rPr>
          <w:rFonts w:ascii="Arial" w:cs="Arial" w:eastAsia="Arial" w:hAnsi="Arial"/>
          <w:sz w:val="17"/>
          <w:szCs w:val="17"/>
          <w:color w:val="auto"/>
        </w:rPr>
        <w:t>. SUMMARY OF SIGNIFICANT ACCOUNTING POLICIES</w:t>
      </w:r>
    </w:p>
    <w:p>
      <w:pPr>
        <w:spacing w:after="0" w:line="103"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7"/>
          <w:szCs w:val="17"/>
          <w:i w:val="1"/>
          <w:iCs w:val="1"/>
          <w:color w:val="auto"/>
        </w:rPr>
        <w:t xml:space="preserve">Business and Organization. </w:t>
      </w:r>
      <w:r>
        <w:rPr>
          <w:rFonts w:ascii="Arial" w:cs="Arial" w:eastAsia="Arial" w:hAnsi="Arial"/>
          <w:sz w:val="17"/>
          <w:szCs w:val="17"/>
          <w:color w:val="auto"/>
        </w:rPr>
        <w:t>Federal Realty Investment Trust (the “Trust”) is an equity real estate investment trust specializing in the ownership,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24"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260" w:firstLine="457"/>
        <w:spacing w:after="0" w:line="318" w:lineRule="auto"/>
        <w:rPr>
          <w:sz w:val="20"/>
          <w:szCs w:val="20"/>
          <w:color w:val="auto"/>
        </w:rPr>
      </w:pPr>
      <w:r>
        <w:rPr>
          <w:rFonts w:ascii="Arial" w:cs="Arial" w:eastAsia="Arial" w:hAnsi="Arial"/>
          <w:sz w:val="15"/>
          <w:szCs w:val="15"/>
          <w:color w:val="auto"/>
        </w:rPr>
        <w:t>We have elected to treat certain of our subsidiaries as taxable REIT subsidiaries, each of which we refer to as a TRS. In general, a TRS may engage in any real estate business and certain non-real estate businesses, subject to certain limitations under the Code. A TRS is subject to federal and state income taxes. The sales of condominiums at Santana Row beginning in August 2005 are being conducted through a TRS. As a result of these condominium sales, our TRS incurred approximately $3.5 million of income taxes in 2005. Prior to 2005, our TRS activities were limited and they did not incur any significant income taxes.</w:t>
      </w:r>
    </w:p>
    <w:p>
      <w:pPr>
        <w:spacing w:after="0" w:line="97"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i w:val="1"/>
          <w:iCs w:val="1"/>
          <w:color w:val="auto"/>
        </w:rPr>
        <w:t xml:space="preserve">Principles of Consolidation and Estimates. </w:t>
      </w:r>
      <w:r>
        <w:rPr>
          <w:rFonts w:ascii="Arial" w:cs="Arial" w:eastAsia="Arial" w:hAnsi="Arial"/>
          <w:sz w:val="17"/>
          <w:szCs w:val="17"/>
          <w:color w:val="auto"/>
        </w:rPr>
        <w:t>Our consolidated financial statements include the accounts of the Trust, its corporate subsidiaries, and numerous</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partnerships and limited liability companies, which we control.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w:t>
      </w:r>
    </w:p>
    <w:p>
      <w:pPr>
        <w:spacing w:after="0" w:line="128"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8"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i w:val="1"/>
          <w:iCs w:val="1"/>
          <w:color w:val="auto"/>
        </w:rPr>
        <w:t>Revenue Recognition and Accounts Receivable</w:t>
      </w:r>
      <w:r>
        <w:rPr>
          <w:rFonts w:ascii="Arial" w:cs="Arial" w:eastAsia="Arial" w:hAnsi="Arial"/>
          <w:sz w:val="16"/>
          <w:szCs w:val="16"/>
          <w:color w:val="auto"/>
        </w:rPr>
        <w:t>. Our leases with tenants are classified as operating leases. Substantially all such leases contain fixed</w:t>
      </w:r>
      <w:r>
        <w:rPr>
          <w:rFonts w:ascii="Arial" w:cs="Arial" w:eastAsia="Arial" w:hAnsi="Arial"/>
          <w:sz w:val="16"/>
          <w:szCs w:val="16"/>
          <w:i w:val="1"/>
          <w:iCs w:val="1"/>
          <w:color w:val="auto"/>
        </w:rPr>
        <w:t xml:space="preserve"> </w:t>
      </w:r>
      <w:r>
        <w:rPr>
          <w:rFonts w:ascii="Arial" w:cs="Arial" w:eastAsia="Arial" w:hAnsi="Arial"/>
          <w:sz w:val="16"/>
          <w:szCs w:val="16"/>
          <w:color w:val="auto"/>
        </w:rPr>
        <w:t>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We make estimates of the collectibility of our accounts receivable related to minimum rents, straight-line rents, expense reimbursements and other revenue or income. In some cases, primarily relating to straight-line rents, the collection of these amounts extends beyond one year. The extended collection period for straight-line rents along with our evaluation of tenant credit risk may result in the nonrecognition of a portion of straight-line rental income until the collection of such income is reasonably assured. At December 31, 2005 and December 31, 2004 our allowance for doubtful accounts was $6.3 million and $7.6 million, respectively.</w:t>
      </w:r>
    </w:p>
    <w:p>
      <w:pPr>
        <w:spacing w:after="0" w:line="127" w:lineRule="exact"/>
        <w:rPr>
          <w:sz w:val="20"/>
          <w:szCs w:val="20"/>
          <w:color w:val="auto"/>
        </w:rPr>
      </w:pPr>
    </w:p>
    <w:p>
      <w:pPr>
        <w:ind w:right="260" w:firstLine="457"/>
        <w:spacing w:after="0" w:line="291" w:lineRule="auto"/>
        <w:rPr>
          <w:sz w:val="20"/>
          <w:szCs w:val="20"/>
          <w:color w:val="auto"/>
        </w:rPr>
      </w:pPr>
      <w:r>
        <w:rPr>
          <w:rFonts w:ascii="Arial" w:cs="Arial" w:eastAsia="Arial" w:hAnsi="Arial"/>
          <w:sz w:val="17"/>
          <w:szCs w:val="17"/>
          <w:i w:val="1"/>
          <w:iCs w:val="1"/>
          <w:color w:val="auto"/>
        </w:rPr>
        <w:t>Real Estate</w:t>
      </w:r>
      <w:r>
        <w:rPr>
          <w:rFonts w:ascii="Arial" w:cs="Arial" w:eastAsia="Arial" w:hAnsi="Arial"/>
          <w:sz w:val="17"/>
          <w:szCs w:val="17"/>
          <w:color w:val="auto"/>
        </w:rPr>
        <w:t>. Land, buildings and improvements are recorded at cost. Depreciation is computed using the straight-line method. Estimated useful lives range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from 35 years to a maximum of 50 years 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271" w:right="239" w:bottom="1440" w:gutter="0" w:footer="0" w:header="0"/>
        </w:sectPr>
      </w:pPr>
    </w:p>
    <w:bookmarkStart w:id="68" w:name="page69"/>
    <w:bookmarkEnd w:id="68"/>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buildings and major improvements. Minor improvements, furniture and equipment are capitalized and depreciated over useful lives ranging from three to 15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w:t>
      </w:r>
    </w:p>
    <w:p>
      <w:pPr>
        <w:spacing w:after="0" w:line="113"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In accordance with Statement of Financial Accounting Standard (“SFAS”) No. 66, “Accounting for Sales of Real Estate,” sales are recognized at closing only when sufficient down payments have been obtained, possession and other attributes of ownership have been transferred to the buyer and we have no significant continuing involvement. The application of SFAS No. 66 can be complex and requires us to make assumptions. We believe the criteria of SFAS No. 66 was met for all real estate sold during 2005, 2004 and 2003 and accordingly, the full gain related to these sales was recognized at the time of sale.</w:t>
      </w:r>
    </w:p>
    <w:p>
      <w:pPr>
        <w:spacing w:after="0" w:line="11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accordance with SFAS No. 141, “Business Combinations,” 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in-place leases and to current assets and liabilities acquired, if any. The value allocated to in-place leases is amortized over the related lease term and reflected as rental income in the statement of operations. If a tenant vacates its space prior to contractual termination of its lease, the unamortized balance of any in-place lease value is written off to rental income. Values assigned to “above market leases” are included in prepaid expenses and other assets and were $6.0 million and $2.5 million at December 31, 2005 and 2004, respectively. Values assigned to “below market leases” are included in other liabilities and deferred credits and were $34.9 million and $19.9 million at December 31, 2005 and 2004, respectively.</w:t>
      </w:r>
    </w:p>
    <w:p>
      <w:pPr>
        <w:spacing w:after="0" w:line="120" w:lineRule="exact"/>
        <w:rPr>
          <w:sz w:val="20"/>
          <w:szCs w:val="20"/>
          <w:color w:val="auto"/>
        </w:rPr>
      </w:pPr>
    </w:p>
    <w:p>
      <w:pPr>
        <w:ind w:right="80" w:firstLine="457"/>
        <w:spacing w:after="0" w:line="291" w:lineRule="auto"/>
        <w:rPr>
          <w:sz w:val="20"/>
          <w:szCs w:val="20"/>
          <w:color w:val="auto"/>
        </w:rPr>
      </w:pPr>
      <w:r>
        <w:rPr>
          <w:rFonts w:ascii="Arial" w:cs="Arial" w:eastAsia="Arial" w:hAnsi="Arial"/>
          <w:sz w:val="17"/>
          <w:szCs w:val="17"/>
          <w:color w:val="auto"/>
        </w:rPr>
        <w:t>We are the lessee of certain land and buildings. We classify our leases of land and building as operating or capital leases in accordance with the provisions of SFAS No. 13, “Accounting for Leases”.</w:t>
      </w:r>
    </w:p>
    <w:p>
      <w:pPr>
        <w:spacing w:after="0" w:line="111" w:lineRule="exact"/>
        <w:rPr>
          <w:sz w:val="20"/>
          <w:szCs w:val="20"/>
          <w:color w:val="auto"/>
        </w:rPr>
      </w:pPr>
    </w:p>
    <w:p>
      <w:pPr>
        <w:ind w:right="100" w:firstLine="457"/>
        <w:spacing w:after="0" w:line="289" w:lineRule="auto"/>
        <w:rPr>
          <w:sz w:val="20"/>
          <w:szCs w:val="20"/>
          <w:color w:val="auto"/>
        </w:rPr>
      </w:pPr>
      <w:r>
        <w:rPr>
          <w:rFonts w:ascii="Arial" w:cs="Arial" w:eastAsia="Arial" w:hAnsi="Arial"/>
          <w:sz w:val="16"/>
          <w:szCs w:val="16"/>
          <w:color w:val="auto"/>
        </w:rPr>
        <w:t>In accordance with SFAS No. 67, “Accounting for Costs and Initial Rental Operations of Real Estate Projects,” we capitalize certain costs related to the development and redevelopment of real estate including pre-construction costs, real estate taxes, insurance, construction costs and salaries and related costs of personnel directly involved. Additionally, in accordance with SFAS No. 34, “Capitalization of Interest Costs,”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placed-in service and depreciation commences.</w:t>
      </w:r>
    </w:p>
    <w:p>
      <w:pPr>
        <w:spacing w:after="0" w:line="116" w:lineRule="exact"/>
        <w:rPr>
          <w:sz w:val="20"/>
          <w:szCs w:val="20"/>
          <w:color w:val="auto"/>
        </w:rPr>
      </w:pPr>
    </w:p>
    <w:p>
      <w:pPr>
        <w:jc w:val="both"/>
        <w:ind w:right="40" w:firstLine="457"/>
        <w:spacing w:after="0" w:line="299" w:lineRule="auto"/>
        <w:rPr>
          <w:sz w:val="20"/>
          <w:szCs w:val="20"/>
          <w:color w:val="auto"/>
        </w:rPr>
      </w:pPr>
      <w:r>
        <w:rPr>
          <w:rFonts w:ascii="Arial" w:cs="Arial" w:eastAsia="Arial" w:hAnsi="Arial"/>
          <w:sz w:val="15"/>
          <w:szCs w:val="15"/>
          <w:color w:val="auto"/>
        </w:rPr>
        <w:t>In accordance with SFAS No. 144, “Accounting for the Impairment or Disposal of Long-Lived Assets,” 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SFAS No. 144 also requires the sale or disposal of a “component of an entity” to be treated as discontinued operations. The properties sold by us typically meet the definition of a component of an entity and as such the revenues and expenses associated with sold properties are reclassified to discontinued operations for all periods presented.</w:t>
      </w:r>
    </w:p>
    <w:p>
      <w:pPr>
        <w:spacing w:after="0" w:line="126" w:lineRule="exact"/>
        <w:rPr>
          <w:sz w:val="20"/>
          <w:szCs w:val="20"/>
          <w:color w:val="auto"/>
        </w:rPr>
      </w:pPr>
    </w:p>
    <w:p>
      <w:pPr>
        <w:ind w:right="320" w:firstLine="457"/>
        <w:spacing w:after="0" w:line="291" w:lineRule="auto"/>
        <w:rPr>
          <w:sz w:val="20"/>
          <w:szCs w:val="20"/>
          <w:color w:val="auto"/>
        </w:rPr>
      </w:pPr>
      <w:r>
        <w:rPr>
          <w:rFonts w:ascii="Arial" w:cs="Arial" w:eastAsia="Arial" w:hAnsi="Arial"/>
          <w:sz w:val="17"/>
          <w:szCs w:val="17"/>
          <w:i w:val="1"/>
          <w:iCs w:val="1"/>
          <w:color w:val="auto"/>
        </w:rPr>
        <w:t>Cash and Cash Equivalents</w:t>
      </w:r>
      <w:r>
        <w:rPr>
          <w:rFonts w:ascii="Arial" w:cs="Arial" w:eastAsia="Arial" w:hAnsi="Arial"/>
          <w:sz w:val="17"/>
          <w:szCs w:val="17"/>
          <w:color w:val="auto"/>
        </w:rPr>
        <w:t>. We define cash as cash on hand, demand deposits with financial institutions and short term liquid investments with an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maturity under three months. Cash balances in individual banks may exceed insurable amounts.</w:t>
      </w:r>
    </w:p>
    <w:p>
      <w:pPr>
        <w:spacing w:after="0" w:line="111"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i w:val="1"/>
          <w:iCs w:val="1"/>
          <w:color w:val="auto"/>
        </w:rPr>
        <w:t xml:space="preserve">Prepaid Expenses and Other Assets. </w:t>
      </w:r>
      <w:r>
        <w:rPr>
          <w:rFonts w:ascii="Arial" w:cs="Arial" w:eastAsia="Arial" w:hAnsi="Arial"/>
          <w:sz w:val="17"/>
          <w:szCs w:val="17"/>
          <w:color w:val="auto"/>
        </w:rPr>
        <w:t>Prepaid expenses and other assets consist primarily of lease costs and prepaid property taxes. Capitalized lease costs are</w:t>
      </w:r>
      <w:r>
        <w:rPr>
          <w:rFonts w:ascii="Arial" w:cs="Arial" w:eastAsia="Arial" w:hAnsi="Arial"/>
          <w:sz w:val="17"/>
          <w:szCs w:val="17"/>
          <w:i w:val="1"/>
          <w:iCs w:val="1"/>
          <w:color w:val="auto"/>
        </w:rPr>
        <w:t xml:space="preserve"> </w:t>
      </w:r>
      <w:r>
        <w:rPr>
          <w:rFonts w:ascii="Arial" w:cs="Arial" w:eastAsia="Arial" w:hAnsi="Arial"/>
          <w:sz w:val="17"/>
          <w:szCs w:val="17"/>
          <w:color w:val="auto"/>
        </w:rPr>
        <w:t>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leases, the unamortized balance of any lease costs are written off. Other assets also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00"/>
          </w:cols>
          <w:pgMar w:left="240" w:top="277" w:right="259" w:bottom="1440" w:gutter="0" w:footer="0" w:header="0"/>
        </w:sectPr>
      </w:pPr>
    </w:p>
    <w:bookmarkStart w:id="69" w:name="page70"/>
    <w:bookmarkEnd w:id="69"/>
    <w:p>
      <w:pPr>
        <w:ind w:right="30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include the premiums paid for split dollar life insurance covering several officers and former officers which were approximately $4.5 million and $4.4 million at December 31, 2005 and December 31, 2004, respectively.</w:t>
      </w:r>
    </w:p>
    <w:p>
      <w:pPr>
        <w:spacing w:after="0" w:line="111" w:lineRule="exact"/>
        <w:rPr>
          <w:sz w:val="20"/>
          <w:szCs w:val="20"/>
          <w:color w:val="auto"/>
        </w:rPr>
      </w:pPr>
    </w:p>
    <w:p>
      <w:pPr>
        <w:ind w:right="400" w:firstLine="457"/>
        <w:spacing w:after="0" w:line="291" w:lineRule="auto"/>
        <w:rPr>
          <w:sz w:val="20"/>
          <w:szCs w:val="20"/>
          <w:color w:val="auto"/>
        </w:rPr>
      </w:pPr>
      <w:r>
        <w:rPr>
          <w:rFonts w:ascii="Arial" w:cs="Arial" w:eastAsia="Arial" w:hAnsi="Arial"/>
          <w:sz w:val="17"/>
          <w:szCs w:val="17"/>
          <w:i w:val="1"/>
          <w:iCs w:val="1"/>
          <w:color w:val="auto"/>
        </w:rPr>
        <w:t>Debt Issuance Costs</w:t>
      </w:r>
      <w:r>
        <w:rPr>
          <w:rFonts w:ascii="Arial" w:cs="Arial" w:eastAsia="Arial" w:hAnsi="Arial"/>
          <w:sz w:val="17"/>
          <w:szCs w:val="17"/>
          <w:color w:val="auto"/>
        </w:rPr>
        <w:t>. Costs related to the issuance of debt instruments are capitalized and are amortized as interest expense over the estimated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issue using the straight-line method which approximates the effective interest method.</w:t>
      </w:r>
    </w:p>
    <w:p>
      <w:pPr>
        <w:spacing w:after="0" w:line="111"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We enter into interest rate swaps and treasury rate locks that qualify as cash flow hedges under SFAS No. 133,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2005, 2004 and 2003, and we do not anticipate it will have a significant effect in the future.</w:t>
      </w:r>
    </w:p>
    <w:p>
      <w:pPr>
        <w:spacing w:after="0" w:line="120"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color w:val="auto"/>
        </w:rPr>
        <w:t>In January 2004, we entered into an interest rate swap to fix the LIBOR portion of our $150 million term loan issued in October of 2003. This swap fixed the LIBOR portion at 2.401% through October 2006. The current interest rate on this term loan, taking into account this swap, is 3.351% (2.401% plus 95 basis points) and will remain at this rate through October 2006 assuming no change in our debt rating. The amount in other comprehensive income related to this swap is $2.7 million at December 31, 2005. The full balance of this swap will be reclassified into interest expense prior to its termination in October 2006. We are exposed to credit loss in the event of non-performance by the counterparty to this swap. The counterparty of this swap has a long-term debt rating of “A” by Standard and Poor’s Rating Service and “A1” by Moody’s Investor Service as of December 31, 2005.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2002, in anticipation of a $150 million senior unsecured note offering, we entered into a treasury lock that fixed the five year treasury rate at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3.472% through August 19, 2002. On August 16, 2002, we priced the senior unsecured notes with a scheduled closing date of August 21, 2002 and closed on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associated rate lock. Five-year treasury rates declined between the pricing period and the settlement if the rate lock and therefore, we paid $1.5 million to settle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rate lock. As a result of the August 19, 2002 fire at Santana Row, we did not proceed with the note offering at that time. However, we consummated a $150 million,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6.125% Senior Unsecured Note offering on November 2002, and thus, the hedge loss is being amortized into interest expense over the life of these notes.</w:t>
      </w:r>
    </w:p>
    <w:p>
      <w:pPr>
        <w:spacing w:after="0" w:line="181" w:lineRule="exact"/>
        <w:rPr>
          <w:sz w:val="20"/>
          <w:szCs w:val="20"/>
          <w:color w:val="auto"/>
        </w:rPr>
      </w:pPr>
    </w:p>
    <w:p>
      <w:pPr>
        <w:ind w:right="380" w:firstLine="457"/>
        <w:spacing w:after="0" w:line="291" w:lineRule="auto"/>
        <w:rPr>
          <w:sz w:val="20"/>
          <w:szCs w:val="20"/>
          <w:color w:val="auto"/>
        </w:rPr>
      </w:pPr>
      <w:r>
        <w:rPr>
          <w:rFonts w:ascii="Arial" w:cs="Arial" w:eastAsia="Arial" w:hAnsi="Arial"/>
          <w:sz w:val="17"/>
          <w:szCs w:val="17"/>
          <w:color w:val="auto"/>
        </w:rPr>
        <w:t>We also purchased an interest rate swap that terminates March 2006, with a notional amount of $40.5 million upon issuance of our 6.99% Medium Term Notes, which reduced the effective interest rate from 6.99% to 6.894%.</w:t>
      </w:r>
    </w:p>
    <w:p>
      <w:pPr>
        <w:spacing w:after="0" w:line="111"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i w:val="1"/>
          <w:iCs w:val="1"/>
          <w:color w:val="auto"/>
        </w:rPr>
        <w:t>Acquisition, Development and Construction Loan Arrangements</w:t>
      </w:r>
      <w:r>
        <w:rPr>
          <w:rFonts w:ascii="Arial" w:cs="Arial" w:eastAsia="Arial" w:hAnsi="Arial"/>
          <w:sz w:val="15"/>
          <w:szCs w:val="15"/>
          <w:color w:val="auto"/>
        </w:rPr>
        <w:t>. We have made certain mortgage loans that, because of their nature, qualify as loan</w:t>
      </w:r>
      <w:r>
        <w:rPr>
          <w:rFonts w:ascii="Arial" w:cs="Arial" w:eastAsia="Arial" w:hAnsi="Arial"/>
          <w:sz w:val="15"/>
          <w:szCs w:val="15"/>
          <w:i w:val="1"/>
          <w:iCs w:val="1"/>
          <w:color w:val="auto"/>
        </w:rPr>
        <w:t xml:space="preserve"> </w:t>
      </w:r>
      <w:r>
        <w:rPr>
          <w:rFonts w:ascii="Arial" w:cs="Arial" w:eastAsia="Arial" w:hAnsi="Arial"/>
          <w:sz w:val="15"/>
          <w:szCs w:val="15"/>
          <w:color w:val="auto"/>
        </w:rPr>
        <w:t>receivables. At the time the loans were made, we did not intend for the arrangement to be anything other than a financing and did not contemplate a real estate investment. Using guidance set forth in the Third Notice to 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 defined in the Third Notice) and because the borrower has either a substantial investment in the project or has guaranteed all or a portion of our loan (or a combination thereof) the loans qualify for loan accounting. The amounts under ADC arrangements are presented as mortgage notes receivable at December 31, 2005 and 2004.</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277" w:right="259" w:bottom="1440" w:gutter="0" w:footer="0" w:header="0"/>
        </w:sectPr>
      </w:pPr>
    </w:p>
    <w:bookmarkStart w:id="70" w:name="page71"/>
    <w:bookmarkEnd w:id="70"/>
    <w:p>
      <w:pPr>
        <w:ind w:right="120" w:firstLine="457"/>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Earnings Per Share</w:t>
      </w:r>
      <w:r>
        <w:rPr>
          <w:rFonts w:ascii="Arial" w:cs="Arial" w:eastAsia="Arial" w:hAnsi="Arial"/>
          <w:sz w:val="17"/>
          <w:szCs w:val="17"/>
          <w:color w:val="auto"/>
        </w:rPr>
        <w:t>. We calculate basic and diluted earnings per share in accordance with SFAS No. 128, “Earnings Per Share.” Basic 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(“EPS”) excludes dilution and is computed by dividing net income available for common shareholders by the weighted average number of common shares outstanding for the period. Diluted EPS reflects the potential dilution that could occur if securities or other contracts to issue common shares were exercised or converted into common shares and then shared in our earnings. In 2005 and 2004, operating partnership units were excluded from diluted EPS as the conversion of these units would have resulted in an anti-dilutive effect.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reconciliation between basic and diluted EPS: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1"/>
              </w:rPr>
              <w:t>Year Ended December 31,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0" w:lineRule="exact"/>
              <w:rPr>
                <w:sz w:val="20"/>
                <w:szCs w:val="20"/>
                <w:color w:val="auto"/>
              </w:rPr>
            </w:pPr>
            <w:r>
              <w:rPr>
                <w:rFonts w:ascii="Arial" w:cs="Arial" w:eastAsia="Arial" w:hAnsi="Arial"/>
                <w:sz w:val="13"/>
                <w:szCs w:val="13"/>
                <w:b w:val="1"/>
                <w:bCs w:val="1"/>
                <w:color w:val="auto"/>
              </w:rPr>
              <w:t>2004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74"/>
              </w:rPr>
              <w:t>thousands,</w:t>
            </w:r>
          </w:p>
        </w:tc>
        <w:tc>
          <w:tcPr>
            <w:tcW w:w="1840" w:type="dxa"/>
            <w:vAlign w:val="bottom"/>
            <w:gridSpan w:val="7"/>
          </w:tcPr>
          <w:p>
            <w:pPr>
              <w:jc w:val="right"/>
              <w:ind w:right="480"/>
              <w:spacing w:after="0" w:line="140" w:lineRule="exact"/>
              <w:rPr>
                <w:sz w:val="20"/>
                <w:szCs w:val="20"/>
                <w:color w:val="auto"/>
              </w:rPr>
            </w:pPr>
            <w:r>
              <w:rPr>
                <w:rFonts w:ascii="Arial" w:cs="Arial" w:eastAsia="Arial" w:hAnsi="Arial"/>
                <w:sz w:val="13"/>
                <w:szCs w:val="13"/>
                <w:b w:val="1"/>
                <w:bCs w:val="1"/>
                <w:color w:val="auto"/>
                <w:w w:val="97"/>
              </w:rPr>
              <w:t>except per share data)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COMPUTATION OF BASIC EARNINGS PER SHARE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85,222</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64,858</w:t>
            </w:r>
          </w:p>
        </w:tc>
        <w:tc>
          <w:tcPr>
            <w:tcW w:w="4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68,205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dividends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(11,475)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8"/>
              </w:rPr>
              <w:t>(11,475)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(15,084)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Preferred stock redemption costs</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w w:val="98"/>
              </w:rPr>
              <w:t>Income from continuing operations available for common shareholders</w:t>
            </w:r>
          </w:p>
        </w:tc>
        <w:tc>
          <w:tcPr>
            <w:tcW w:w="3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73,747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53,383</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49,698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5,246</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3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14,052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gridSpan w:val="2"/>
          </w:tcPr>
          <w:p>
            <w:pPr>
              <w:spacing w:after="0"/>
              <w:rPr>
                <w:sz w:val="20"/>
                <w:szCs w:val="20"/>
                <w:color w:val="auto"/>
              </w:rPr>
            </w:pPr>
            <w:r>
              <w:rPr>
                <w:rFonts w:ascii="Arial" w:cs="Arial" w:eastAsia="Arial" w:hAnsi="Arial"/>
                <w:sz w:val="17"/>
                <w:szCs w:val="17"/>
                <w:color w:val="auto"/>
              </w:rPr>
              <w:t>Net income available for common shareholders, basic</w:t>
            </w:r>
          </w:p>
        </w:tc>
        <w:tc>
          <w:tcPr>
            <w:tcW w:w="3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1"/>
              </w:rPr>
              <w:t>103,137</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72,681</w:t>
            </w:r>
          </w:p>
        </w:tc>
        <w:tc>
          <w:tcPr>
            <w:tcW w:w="4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75,990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basic</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52,533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51,008</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47,379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BASIC EARNINGS PER SHARE</w:t>
            </w: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40" w:type="dxa"/>
            <w:vAlign w:val="bottom"/>
            <w:gridSpan w:val="2"/>
            <w:vMerge w:val="continue"/>
          </w:tcPr>
          <w:p>
            <w:pPr>
              <w:spacing w:after="0"/>
              <w:rPr>
                <w:sz w:val="24"/>
                <w:szCs w:val="24"/>
                <w:color w:val="auto"/>
              </w:rPr>
            </w:pP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(0.03)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0.10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3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gridSpan w:val="2"/>
          </w:tcPr>
          <w:p>
            <w:pPr>
              <w:spacing w:after="0"/>
              <w:rPr>
                <w:sz w:val="20"/>
                <w:szCs w:val="20"/>
                <w:color w:val="auto"/>
              </w:rPr>
            </w:pPr>
            <w:r>
              <w:rPr>
                <w:rFonts w:ascii="Arial" w:cs="Arial" w:eastAsia="Arial" w:hAnsi="Arial"/>
                <w:sz w:val="17"/>
                <w:szCs w:val="17"/>
                <w:color w:val="auto"/>
              </w:rPr>
              <w:t>Net income available for common shareholders, basic</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1.96</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1.42</w:t>
            </w:r>
          </w:p>
        </w:tc>
        <w:tc>
          <w:tcPr>
            <w:tcW w:w="4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COMPUTATION OF DILUTED EARNINGS PER SHARE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w w:val="98"/>
              </w:rPr>
              <w:t>Income from continuing operations available for common shareholders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73,747</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53,383</w:t>
            </w:r>
          </w:p>
        </w:tc>
        <w:tc>
          <w:tcPr>
            <w:tcW w:w="4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49,698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attributable to operating partnership units</w:t>
            </w:r>
          </w:p>
        </w:tc>
        <w:tc>
          <w:tcPr>
            <w:tcW w:w="3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rPr>
                <w:sz w:val="20"/>
                <w:szCs w:val="20"/>
                <w:color w:val="auto"/>
              </w:rPr>
            </w:pPr>
            <w:r>
              <w:rPr>
                <w:rFonts w:ascii="Arial" w:cs="Arial" w:eastAsia="Arial" w:hAnsi="Arial"/>
                <w:sz w:val="17"/>
                <w:szCs w:val="17"/>
                <w:color w:val="auto"/>
              </w:rPr>
              <w:t>Income from continuing operations for diluted earnings per share</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73,747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53,383</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51,015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discontinued operations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30,748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14,052</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 diluted</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103,137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72,681</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77,307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4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w:t>
            </w: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52,533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51,008</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47,379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7"/>
                <w:szCs w:val="17"/>
                <w:color w:val="auto"/>
              </w:rPr>
              <w:t>Stock option awards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539</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partnership units</w:t>
            </w:r>
          </w:p>
        </w:tc>
        <w:tc>
          <w:tcPr>
            <w:tcW w:w="3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diluted</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53,050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51,547</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48,619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1.39</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1.04</w:t>
            </w:r>
          </w:p>
        </w:tc>
        <w:tc>
          <w:tcPr>
            <w:tcW w:w="4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discontinued operations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 diluted</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60" w:type="dxa"/>
            <w:vAlign w:val="bottom"/>
            <w:gridSpan w:val="2"/>
          </w:tcPr>
          <w:p>
            <w:pPr>
              <w:jc w:val="right"/>
              <w:ind w:right="2620"/>
              <w:spacing w:after="0"/>
              <w:rPr>
                <w:sz w:val="20"/>
                <w:szCs w:val="20"/>
                <w:color w:val="auto"/>
              </w:rPr>
            </w:pPr>
            <w:r>
              <w:rPr>
                <w:rFonts w:ascii="Arial" w:cs="Arial" w:eastAsia="Arial" w:hAnsi="Arial"/>
                <w:sz w:val="17"/>
                <w:szCs w:val="17"/>
                <w:color w:val="auto"/>
              </w:rPr>
              <w:t>F-12</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71" w:name="page72"/>
    <w:bookmarkEnd w:id="71"/>
    <w:p>
      <w:pPr>
        <w:ind w:right="180" w:firstLine="457"/>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 xml:space="preserve">Stock-Based Compensation. </w:t>
      </w:r>
      <w:r>
        <w:rPr>
          <w:rFonts w:ascii="Arial" w:cs="Arial" w:eastAsia="Arial" w:hAnsi="Arial"/>
          <w:sz w:val="17"/>
          <w:szCs w:val="17"/>
          <w:color w:val="auto"/>
        </w:rPr>
        <w:t>We account for our stock-based compensation arrangements in accordance with Accounting Principles Board Opinion (APB)</w:t>
      </w:r>
      <w:r>
        <w:rPr>
          <w:rFonts w:ascii="Arial" w:cs="Arial" w:eastAsia="Arial" w:hAnsi="Arial"/>
          <w:sz w:val="17"/>
          <w:szCs w:val="17"/>
          <w:i w:val="1"/>
          <w:iCs w:val="1"/>
          <w:color w:val="auto"/>
        </w:rPr>
        <w:t xml:space="preserve"> </w:t>
      </w:r>
      <w:r>
        <w:rPr>
          <w:rFonts w:ascii="Arial" w:cs="Arial" w:eastAsia="Arial" w:hAnsi="Arial"/>
          <w:sz w:val="17"/>
          <w:szCs w:val="17"/>
          <w:color w:val="auto"/>
        </w:rPr>
        <w:t>No. 25, “Accounting for Stock Issued to Employees.” SFAS No. 148, “Accounting for Stock-Based Compensation – Transition and Disclosure,” requires us to disclose the effects on net income and EPS if we had applied the fair value recognition provisions of SFAS No. 123, “Accounting for Stock-Based Compensation” to our stock-based compensation arrangements. The effect on net income and EPS if we had applied the fair value recognition provisions of SFAS No. 123 to our stock-based compensation arrangements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2"/>
              </w:rPr>
              <w:t>Year Ended December 31,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0" w:lineRule="exact"/>
              <w:rPr>
                <w:sz w:val="20"/>
                <w:szCs w:val="20"/>
                <w:color w:val="auto"/>
              </w:rPr>
            </w:pPr>
            <w:r>
              <w:rPr>
                <w:rFonts w:ascii="Arial" w:cs="Arial" w:eastAsia="Arial" w:hAnsi="Arial"/>
                <w:sz w:val="13"/>
                <w:szCs w:val="13"/>
                <w:b w:val="1"/>
                <w:bCs w:val="1"/>
                <w:color w:val="auto"/>
              </w:rPr>
              <w:t>2004</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0" w:lineRule="exact"/>
              <w:rPr>
                <w:sz w:val="20"/>
                <w:szCs w:val="20"/>
                <w:color w:val="auto"/>
              </w:rPr>
            </w:pPr>
            <w:r>
              <w:rPr>
                <w:rFonts w:ascii="Arial" w:cs="Arial" w:eastAsia="Arial" w:hAnsi="Arial"/>
                <w:sz w:val="13"/>
                <w:szCs w:val="13"/>
                <w:b w:val="1"/>
                <w:bCs w:val="1"/>
                <w:color w:val="auto"/>
                <w:w w:val="96"/>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6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w w:val="83"/>
              </w:rPr>
              <w:t>thousands,</w:t>
            </w:r>
          </w:p>
        </w:tc>
        <w:tc>
          <w:tcPr>
            <w:tcW w:w="1320" w:type="dxa"/>
            <w:vAlign w:val="bottom"/>
            <w:gridSpan w:val="4"/>
          </w:tcPr>
          <w:p>
            <w:pPr>
              <w:jc w:val="right"/>
              <w:spacing w:after="0" w:line="140" w:lineRule="exact"/>
              <w:rPr>
                <w:sz w:val="20"/>
                <w:szCs w:val="20"/>
                <w:color w:val="auto"/>
              </w:rPr>
            </w:pPr>
            <w:r>
              <w:rPr>
                <w:rFonts w:ascii="Arial" w:cs="Arial" w:eastAsia="Arial" w:hAnsi="Arial"/>
                <w:sz w:val="13"/>
                <w:szCs w:val="13"/>
                <w:b w:val="1"/>
                <w:bCs w:val="1"/>
                <w:color w:val="auto"/>
                <w:w w:val="92"/>
              </w:rPr>
              <w:t>except per share data)</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Net income, as reported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114,612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84,156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Stock-based employee compensation cost included in net income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3,497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Stock-based employee compensation cost under the fair value method for all rewards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92"/>
              </w:rPr>
              <w:t>(2,800)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(1,892)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7"/>
                <w:szCs w:val="17"/>
                <w:color w:val="auto"/>
              </w:rPr>
              <w:t>Pro forma net income—basic</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08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114,802</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84,853</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93,891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7"/>
                <w:szCs w:val="17"/>
                <w:color w:val="auto"/>
              </w:rPr>
              <w:t>Basic, as reported</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1.42</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 pro forma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Net income available for common shareholders, diluted</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103,137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72,681</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77,307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Stock-based employee compensation cost included in net income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Stock-based employee compensation cost under the fair value method for all rewards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(3,802)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w w:val="92"/>
              </w:rPr>
              <w:t>(2,800)</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6"/>
              </w:rPr>
              <w:t>(1,892)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income—diluted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103,327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73,378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76,701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7"/>
                <w:szCs w:val="17"/>
                <w:color w:val="auto"/>
              </w:rPr>
              <w:t>Earnings Per Share:</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08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 as reported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7"/>
                <w:szCs w:val="17"/>
                <w:color w:val="auto"/>
              </w:rPr>
              <w:t>Diluted, pro forma</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1.42</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i w:val="1"/>
          <w:iCs w:val="1"/>
          <w:color w:val="auto"/>
        </w:rPr>
        <w:t xml:space="preserve">Redemption of Preferred Stock and Reclassifications. </w:t>
      </w:r>
      <w:r>
        <w:rPr>
          <w:rFonts w:ascii="Arial" w:cs="Arial" w:eastAsia="Arial" w:hAnsi="Arial"/>
          <w:sz w:val="17"/>
          <w:szCs w:val="17"/>
          <w:color w:val="auto"/>
        </w:rPr>
        <w:t>On June 13, 2003, we redeemed our $100 million 7.95% Series A Cumulative Redeemable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at their face value. The original issuance costs of $3.4 million were charged to shareholders’ equity in 1997, when the shares were issued. On July 31, 2003, the Emerging Issues Task Force provided clarification on the treatment of the difference between the redemption value and the carrying value, adjusting for issuance costs, for GAAP financial reporting. As a result of this change in accounting presentation, our Consolidated Statement of Operations for the year ended December 31, 2003 reflects a charge of $3.4 million in “Preferred stock redemption costs” as a reduction of net income in computing net income available for common shareholders. Certain other 2004 and 2003 amounts have been reclassified to conform with the 2005 presentation. These other reclassifications had no effect on net income or shareholders’ equity.</w:t>
      </w:r>
    </w:p>
    <w:p>
      <w:pPr>
        <w:spacing w:after="0" w:line="133"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In January 2003, the Financial Accounting Standards Board issued FASB Interpretation No. 46 (revised December 2003) (“FIN 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are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and our real estate partnership with affiliates of Clarion Lion Properties Fund and determined that these joint ventures do not meet the requirements of a variable interest entity and, therefore, consolidation of these ventures is not required. These investments are accounted for using the equity method. We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277"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have also evaluated the applicability of FIN 46-R to our mortgage loans receivable and determined that they are not variable interest entities.</w:t>
      </w:r>
    </w:p>
    <w:p>
      <w:pPr>
        <w:spacing w:after="0" w:line="177"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Our investment balance in these restaurant joint ventures was approximately $6.8 million and $5.1 million at December 31, 2005 and 2004, respectively. Our equity in earnings from these restaurant joint ventures was $1.3 million, $1.1 million and $0.2 million in 2005, 2004 and 2003, respectively. Our investment balances and earnings from mortgage notes receivable and our real estate partnership are presented in our consolidated balance sheets and consolidated statements of operations.</w:t>
      </w:r>
    </w:p>
    <w:p>
      <w:pPr>
        <w:spacing w:after="0" w:line="128"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On December 29, 2005, we entered into a Section 1031 like-kind exchange agreement with a third party intermediary related to the acquisition of Crow Canyon Commons. The exchange agreement is for maximum of 180 days and allows us to defer gains on sale on other properties sold within this period. Until the earlier of termination of this exchange agreement or June 27, 2006, the third party intermediary is the legal owner of the property, although we control the property and retain all of the economic benefits and risks associated with the property. We have determined that this property is held in a variable interest entity for which we are the primary beneficiary. Accordingly, as of December 31, 2005, we consolidate the property and its operations.</w:t>
      </w:r>
    </w:p>
    <w:p>
      <w:pPr>
        <w:spacing w:after="0" w:line="116"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i w:val="1"/>
          <w:iCs w:val="1"/>
          <w:color w:val="auto"/>
        </w:rPr>
        <w:t xml:space="preserve">New Accounting Pronouncement. </w:t>
      </w:r>
      <w:r>
        <w:rPr>
          <w:rFonts w:ascii="Arial" w:cs="Arial" w:eastAsia="Arial" w:hAnsi="Arial"/>
          <w:sz w:val="17"/>
          <w:szCs w:val="17"/>
          <w:color w:val="auto"/>
        </w:rPr>
        <w:t>In December 2004, the FASB issued SFAS No. 123R, “Share-Based Payments.” We are required to adopt SFAS No. 123R</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1, 2006. SFAS 123R is similar to the fair-value approach permitted by SFAS No. 123, “Accounting for Stock-Based Compensations.” However, 123R requires all share-based awards to employees, including grants of stock options, to be recognized in the financial statements based on their fair values. Pro forma disclosures, which we have previously provided as permitted by 123, are no longer an alternative.</w:t>
      </w:r>
    </w:p>
    <w:p>
      <w:pPr>
        <w:spacing w:after="0" w:line="128"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Effective January 1, 2006, we will adopt 123R using the modified prospective approach. The modified prospective approach requires the recognition of compensation cost for share-based awards based on the grant-date fair value from the beginning for the fiscal period in which the provisions of 123R are first applied. Measurement and recognition of compensation costs for share-based awards granted prior to, but not yet vested as of, the date 123R is adopted are based on the same method used previously under SFAS 123. Share-based awards granted, modified, or settled after 123R is adopted, will be measured and recognized in the financial statements in accordance with the provisions of 123R.</w:t>
      </w:r>
    </w:p>
    <w:p>
      <w:pPr>
        <w:spacing w:after="0" w:line="133"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We have used the Black-Scholes model to calculate the fair value of options under 123 and intend to continue to utilize this model to compute the fair value of options under 123R. Upon the adoption of 123R, we expect to recognize a cumulative effect of change in accounting principle which will increase net income by approximately $2 million. This cumulative effect is related to certain performance shares issued to certain officers and employees in 2002 and 2003 that were required to be adjusted to fair value at each reporting date under APB No. 25, because the ultimate number of these shares that will vest is dependent on the achievement of certain performance targets. Under 123R, these performance awards are accounted for based on their grant-date fair value and are not adjusted to fair value at each reporting date.</w:t>
      </w:r>
    </w:p>
    <w:p>
      <w:pPr>
        <w:spacing w:after="0" w:line="132" w:lineRule="exact"/>
        <w:rPr>
          <w:sz w:val="20"/>
          <w:szCs w:val="20"/>
          <w:color w:val="auto"/>
        </w:rPr>
      </w:pPr>
    </w:p>
    <w:p>
      <w:pPr>
        <w:jc w:val="both"/>
        <w:ind w:right="200" w:firstLine="457"/>
        <w:spacing w:after="0" w:line="276" w:lineRule="auto"/>
        <w:rPr>
          <w:sz w:val="20"/>
          <w:szCs w:val="20"/>
          <w:color w:val="auto"/>
        </w:rPr>
      </w:pPr>
      <w:r>
        <w:rPr>
          <w:rFonts w:ascii="Arial" w:cs="Arial" w:eastAsia="Arial" w:hAnsi="Arial"/>
          <w:sz w:val="17"/>
          <w:szCs w:val="17"/>
          <w:color w:val="auto"/>
        </w:rPr>
        <w:t>While there are certain differences between 123 and 123R, we believe that our pro forma disclosures under 123 approximate the effect of 123R. Other than the cumulative effect of adoption discussed above, we do not believe that the adoption of 123R will have a material impact on our financial position or results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00"/>
          </w:cols>
          <w:pgMar w:left="240" w:top="278" w:right="259" w:bottom="1440" w:gutter="0" w:footer="0" w:header="0"/>
        </w:sectPr>
      </w:pPr>
    </w:p>
    <w:bookmarkStart w:id="73" w:name="page74"/>
    <w:bookmarkEnd w:id="73"/>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NOTE 2</w:t>
      </w:r>
      <w:r>
        <w:rPr>
          <w:rFonts w:ascii="Arial" w:cs="Arial" w:eastAsia="Arial" w:hAnsi="Arial"/>
          <w:sz w:val="17"/>
          <w:szCs w:val="17"/>
          <w:color w:val="auto"/>
        </w:rPr>
        <w:t>. REAL ESTATE AND ENCUMBRANCES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our real estate investments and related encumbrances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Accumulated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Depreciation 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gridSpan w:val="2"/>
          </w:tcPr>
          <w:p>
            <w:pPr>
              <w:ind w:left="2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Amortization</w:t>
            </w:r>
          </w:p>
        </w:tc>
        <w:tc>
          <w:tcPr>
            <w:tcW w:w="2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0"/>
              </w:rPr>
              <w:t>Encumbrances</w:t>
            </w:r>
          </w:p>
        </w:tc>
        <w:tc>
          <w:tcPr>
            <w:tcW w:w="0" w:type="dxa"/>
            <w:vAlign w:val="bottom"/>
          </w:tcPr>
          <w:p>
            <w:pPr>
              <w:spacing w:after="0"/>
              <w:rPr>
                <w:sz w:val="1"/>
                <w:szCs w:val="1"/>
                <w:color w:val="auto"/>
              </w:rPr>
            </w:pPr>
          </w:p>
        </w:tc>
      </w:tr>
      <w:tr>
        <w:trPr>
          <w:trHeight w:val="166"/>
        </w:trPr>
        <w:tc>
          <w:tcPr>
            <w:tcW w:w="7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December 31, 2005</w:t>
            </w:r>
          </w:p>
        </w:tc>
        <w:tc>
          <w:tcPr>
            <w:tcW w:w="5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(In thousands)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1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$2,540,395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563,391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7"/>
                <w:szCs w:val="17"/>
                <w:color w:val="auto"/>
              </w:rPr>
              <w:t>Retail properties under capital leases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262,083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92,943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148,815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Residential</w:t>
            </w:r>
          </w:p>
        </w:tc>
        <w:tc>
          <w:tcPr>
            <w:tcW w:w="5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26,843</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2,829,321</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663,750</w:t>
            </w:r>
          </w:p>
        </w:tc>
        <w:tc>
          <w:tcPr>
            <w:tcW w:w="46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419,713</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December 31, 2004</w:t>
            </w: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1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$2,377,099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504,886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7"/>
                <w:szCs w:val="17"/>
                <w:color w:val="auto"/>
              </w:rPr>
              <w:t>Retail properties under capital leases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262,431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83,574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Residential</w:t>
            </w:r>
          </w:p>
        </w:tc>
        <w:tc>
          <w:tcPr>
            <w:tcW w:w="5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26,746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2,666,276</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595,338</w:t>
            </w:r>
          </w:p>
        </w:tc>
        <w:tc>
          <w:tcPr>
            <w:tcW w:w="46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410,885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720" w:firstLine="457"/>
        <w:spacing w:after="0" w:line="291" w:lineRule="auto"/>
        <w:rPr>
          <w:sz w:val="20"/>
          <w:szCs w:val="20"/>
          <w:color w:val="auto"/>
        </w:rPr>
      </w:pPr>
      <w:r>
        <w:rPr>
          <w:rFonts w:ascii="Arial" w:cs="Arial" w:eastAsia="Arial" w:hAnsi="Arial"/>
          <w:sz w:val="17"/>
          <w:szCs w:val="17"/>
          <w:color w:val="auto"/>
        </w:rPr>
        <w:t>Retail and mixed-use properties includes the residential portion of our Santana Row development property. The residential property investments are comprised of our investments in Rollingwood Apartments and Crest Apartments at Congressional Plaza.</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our significant acquisitions in 2005 and 2004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gridSpan w:val="2"/>
            <w:vMerge w:val="restart"/>
          </w:tcPr>
          <w:p>
            <w:pPr>
              <w:ind w:left="1080"/>
              <w:spacing w:after="0"/>
              <w:rPr>
                <w:sz w:val="20"/>
                <w:szCs w:val="20"/>
                <w:color w:val="auto"/>
              </w:rPr>
            </w:pPr>
            <w:r>
              <w:rPr>
                <w:rFonts w:ascii="Arial" w:cs="Arial" w:eastAsia="Arial" w:hAnsi="Arial"/>
                <w:sz w:val="13"/>
                <w:szCs w:val="13"/>
                <w:b w:val="1"/>
                <w:bCs w:val="1"/>
                <w:color w:val="auto"/>
              </w:rPr>
              <w:t>Date</w:t>
            </w:r>
          </w:p>
        </w:tc>
        <w:tc>
          <w:tcPr>
            <w:tcW w:w="780" w:type="dxa"/>
            <w:vAlign w:val="bottom"/>
          </w:tcPr>
          <w:p>
            <w:pPr>
              <w:spacing w:after="0"/>
              <w:rPr>
                <w:sz w:val="13"/>
                <w:szCs w:val="13"/>
                <w:color w:val="auto"/>
              </w:rPr>
            </w:pPr>
          </w:p>
        </w:tc>
        <w:tc>
          <w:tcPr>
            <w:tcW w:w="2620" w:type="dxa"/>
            <w:vAlign w:val="bottom"/>
            <w:vMerge w:val="restart"/>
          </w:tcPr>
          <w:p>
            <w:pPr>
              <w:ind w:left="1060"/>
              <w:spacing w:after="0"/>
              <w:rPr>
                <w:sz w:val="20"/>
                <w:szCs w:val="20"/>
                <w:color w:val="auto"/>
              </w:rPr>
            </w:pPr>
            <w:r>
              <w:rPr>
                <w:rFonts w:ascii="Arial" w:cs="Arial" w:eastAsia="Arial" w:hAnsi="Arial"/>
                <w:sz w:val="13"/>
                <w:szCs w:val="13"/>
                <w:b w:val="1"/>
                <w:bCs w:val="1"/>
                <w:color w:val="auto"/>
              </w:rPr>
              <w:t>Property</w:t>
            </w:r>
          </w:p>
        </w:tc>
        <w:tc>
          <w:tcPr>
            <w:tcW w:w="700" w:type="dxa"/>
            <w:vAlign w:val="bottom"/>
          </w:tcPr>
          <w:p>
            <w:pPr>
              <w:spacing w:after="0"/>
              <w:rPr>
                <w:sz w:val="13"/>
                <w:szCs w:val="13"/>
                <w:color w:val="auto"/>
              </w:rPr>
            </w:pPr>
          </w:p>
        </w:tc>
        <w:tc>
          <w:tcPr>
            <w:tcW w:w="152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City, State</w:t>
            </w:r>
          </w:p>
        </w:tc>
        <w:tc>
          <w:tcPr>
            <w:tcW w:w="720" w:type="dxa"/>
            <w:vAlign w:val="bottom"/>
          </w:tcPr>
          <w:p>
            <w:pPr>
              <w:spacing w:after="0"/>
              <w:rPr>
                <w:sz w:val="13"/>
                <w:szCs w:val="13"/>
                <w:color w:val="auto"/>
              </w:rPr>
            </w:pPr>
          </w:p>
        </w:tc>
        <w:tc>
          <w:tcPr>
            <w:tcW w:w="880" w:type="dxa"/>
            <w:vAlign w:val="bottom"/>
          </w:tcPr>
          <w:p>
            <w:pPr>
              <w:jc w:val="right"/>
              <w:ind w:right="213"/>
              <w:spacing w:after="0"/>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2"/>
              </w:rPr>
              <w:t>Leasable Area</w:t>
            </w:r>
          </w:p>
        </w:tc>
        <w:tc>
          <w:tcPr>
            <w:tcW w:w="70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Purchase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44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6"/>
              </w:rPr>
              <w:t>Year ended December 31, 2005</w:t>
            </w:r>
          </w:p>
        </w:tc>
        <w:tc>
          <w:tcPr>
            <w:tcW w:w="7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0"/>
              </w:rPr>
              <w:t>(In square feet)</w:t>
            </w:r>
          </w:p>
        </w:tc>
        <w:tc>
          <w:tcPr>
            <w:tcW w:w="700" w:type="dxa"/>
            <w:vAlign w:val="bottom"/>
            <w:vMerge w:val="continue"/>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(In millions)</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March 1</w:t>
            </w:r>
          </w:p>
        </w:tc>
        <w:tc>
          <w:tcPr>
            <w:tcW w:w="340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7"/>
                <w:szCs w:val="17"/>
                <w:color w:val="auto"/>
              </w:rPr>
              <w:t>Assembly Sq./Sturtevant St.</w:t>
            </w:r>
          </w:p>
        </w:tc>
        <w:tc>
          <w:tcPr>
            <w:tcW w:w="22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Somerville, MA</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551,000</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December 29</w:t>
            </w:r>
          </w:p>
        </w:tc>
        <w:tc>
          <w:tcPr>
            <w:tcW w:w="3400" w:type="dxa"/>
            <w:vAlign w:val="bottom"/>
            <w:gridSpan w:val="2"/>
          </w:tcPr>
          <w:p>
            <w:pPr>
              <w:ind w:left="780"/>
              <w:spacing w:after="0"/>
              <w:rPr>
                <w:sz w:val="20"/>
                <w:szCs w:val="20"/>
                <w:color w:val="auto"/>
              </w:rPr>
            </w:pPr>
            <w:r>
              <w:rPr>
                <w:rFonts w:ascii="Arial" w:cs="Arial" w:eastAsia="Arial" w:hAnsi="Arial"/>
                <w:sz w:val="17"/>
                <w:szCs w:val="17"/>
                <w:color w:val="auto"/>
              </w:rPr>
              <w:t>Crow Canyon Commons</w:t>
            </w:r>
          </w:p>
        </w:tc>
        <w:tc>
          <w:tcPr>
            <w:tcW w:w="2220" w:type="dxa"/>
            <w:vAlign w:val="bottom"/>
            <w:gridSpan w:val="2"/>
          </w:tcPr>
          <w:p>
            <w:pPr>
              <w:ind w:left="700"/>
              <w:spacing w:after="0"/>
              <w:rPr>
                <w:sz w:val="20"/>
                <w:szCs w:val="20"/>
                <w:color w:val="auto"/>
              </w:rPr>
            </w:pPr>
            <w:r>
              <w:rPr>
                <w:rFonts w:ascii="Arial" w:cs="Arial" w:eastAsia="Arial" w:hAnsi="Arial"/>
                <w:sz w:val="17"/>
                <w:szCs w:val="17"/>
                <w:color w:val="auto"/>
              </w:rPr>
              <w:t>San Ramon, CA</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228,000</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47.5(2)</w:t>
            </w:r>
          </w:p>
        </w:tc>
        <w:tc>
          <w:tcPr>
            <w:tcW w:w="0" w:type="dxa"/>
            <w:vAlign w:val="bottom"/>
          </w:tcPr>
          <w:p>
            <w:pPr>
              <w:spacing w:after="0"/>
              <w:rPr>
                <w:sz w:val="1"/>
                <w:szCs w:val="1"/>
                <w:color w:val="auto"/>
              </w:rPr>
            </w:pPr>
          </w:p>
        </w:tc>
      </w:tr>
      <w:tr>
        <w:trPr>
          <w:trHeight w:val="372"/>
        </w:trPr>
        <w:tc>
          <w:tcPr>
            <w:tcW w:w="2440" w:type="dxa"/>
            <w:vAlign w:val="bottom"/>
            <w:gridSpan w:val="3"/>
          </w:tcPr>
          <w:p>
            <w:pPr>
              <w:spacing w:after="0"/>
              <w:rPr>
                <w:sz w:val="20"/>
                <w:szCs w:val="20"/>
                <w:color w:val="auto"/>
              </w:rPr>
            </w:pPr>
            <w:r>
              <w:rPr>
                <w:rFonts w:ascii="Arial" w:cs="Arial" w:eastAsia="Arial" w:hAnsi="Arial"/>
                <w:sz w:val="17"/>
                <w:szCs w:val="17"/>
                <w:b w:val="1"/>
                <w:bCs w:val="1"/>
                <w:color w:val="auto"/>
                <w:w w:val="96"/>
              </w:rPr>
              <w:t>Year ended December 31, 2004</w:t>
            </w: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March 31</w:t>
            </w:r>
          </w:p>
        </w:tc>
        <w:tc>
          <w:tcPr>
            <w:tcW w:w="340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7"/>
                <w:szCs w:val="17"/>
                <w:color w:val="auto"/>
              </w:rPr>
              <w:t>Westgate Mall</w:t>
            </w:r>
          </w:p>
        </w:tc>
        <w:tc>
          <w:tcPr>
            <w:tcW w:w="22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San Jose, CA</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637,000</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97.0(3)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right="380" w:hanging="454"/>
        <w:spacing w:after="0" w:line="265"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$3.4 million and $5.1 million of the net assets acquired were allocated to other assets for “above market leases” and liabilities for “below market leases”, respectively.</w:t>
      </w:r>
    </w:p>
    <w:p>
      <w:pPr>
        <w:spacing w:after="0" w:line="1" w:lineRule="exact"/>
        <w:rPr>
          <w:rFonts w:ascii="Arial" w:cs="Arial" w:eastAsia="Arial" w:hAnsi="Arial"/>
          <w:sz w:val="17"/>
          <w:szCs w:val="17"/>
          <w:color w:val="auto"/>
        </w:rPr>
      </w:pPr>
    </w:p>
    <w:p>
      <w:pPr>
        <w:ind w:left="460" w:right="380" w:hanging="454"/>
        <w:spacing w:after="0" w:line="261"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$0.8 million and $3.1 million of the net assets acquired were allocated to other assets for “above market leases” and liabilities for “below market leases”, respectively. Additionally, the purchase price includes $22.3 million for an assumed mortgage.</w:t>
      </w:r>
    </w:p>
    <w:p>
      <w:pPr>
        <w:ind w:left="460" w:right="300" w:hanging="454"/>
        <w:spacing w:after="0" w:line="282"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$1.7 million and $18.0 million of the net assets acquired were allocated to other assets for “above market leases” and liabilities for “below market leases”,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271" w:right="239" w:bottom="1440" w:gutter="0" w:footer="0" w:header="0"/>
        </w:sectPr>
      </w:pPr>
    </w:p>
    <w:bookmarkStart w:id="74" w:name="page75"/>
    <w:bookmarkEnd w:id="7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 summary of our significant dispositions in 2005 and 2004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Date</w:t>
            </w:r>
          </w:p>
        </w:tc>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20" w:type="dxa"/>
            <w:vAlign w:val="bottom"/>
            <w:tcBorders>
              <w:bottom w:val="single" w:sz="8" w:color="auto"/>
            </w:tcBorders>
            <w:vMerge w:val="continue"/>
          </w:tcPr>
          <w:p>
            <w:pPr>
              <w:spacing w:after="0"/>
              <w:rPr>
                <w:sz w:val="13"/>
                <w:szCs w:val="13"/>
                <w:color w:val="auto"/>
              </w:rPr>
            </w:pPr>
          </w:p>
        </w:tc>
        <w:tc>
          <w:tcPr>
            <w:tcW w:w="680" w:type="dxa"/>
            <w:vAlign w:val="bottom"/>
          </w:tcPr>
          <w:p>
            <w:pPr>
              <w:spacing w:after="0"/>
              <w:rPr>
                <w:sz w:val="13"/>
                <w:szCs w:val="13"/>
                <w:color w:val="auto"/>
              </w:rPr>
            </w:pPr>
          </w:p>
        </w:tc>
        <w:tc>
          <w:tcPr>
            <w:tcW w:w="242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Property</w:t>
            </w:r>
          </w:p>
        </w:tc>
        <w:tc>
          <w:tcPr>
            <w:tcW w:w="460" w:type="dxa"/>
            <w:vAlign w:val="bottom"/>
          </w:tcPr>
          <w:p>
            <w:pPr>
              <w:spacing w:after="0"/>
              <w:rPr>
                <w:sz w:val="13"/>
                <w:szCs w:val="13"/>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Location</w:t>
            </w:r>
          </w:p>
        </w:tc>
        <w:tc>
          <w:tcPr>
            <w:tcW w:w="4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Leasable Area</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Sales Price</w:t>
            </w:r>
          </w:p>
        </w:tc>
        <w:tc>
          <w:tcPr>
            <w:tcW w:w="440" w:type="dxa"/>
            <w:vAlign w:val="bottom"/>
          </w:tcPr>
          <w:p>
            <w:pPr>
              <w:spacing w:after="0"/>
              <w:rPr>
                <w:sz w:val="13"/>
                <w:szCs w:val="13"/>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Gain</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Year ended December 31, 2005</w:t>
            </w:r>
          </w:p>
        </w:tc>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(In square feet)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b w:val="1"/>
                <w:bCs w:val="1"/>
                <w:color w:val="auto"/>
              </w:rPr>
              <w:t>(In</w:t>
            </w:r>
          </w:p>
        </w:tc>
        <w:tc>
          <w:tcPr>
            <w:tcW w:w="440" w:type="dxa"/>
            <w:vAlign w:val="bottom"/>
          </w:tcPr>
          <w:p>
            <w:pPr>
              <w:spacing w:after="0"/>
              <w:rPr>
                <w:sz w:val="20"/>
                <w:szCs w:val="20"/>
                <w:color w:val="auto"/>
              </w:rPr>
            </w:pPr>
            <w:r>
              <w:rPr>
                <w:rFonts w:ascii="Arial" w:cs="Arial" w:eastAsia="Arial" w:hAnsi="Arial"/>
                <w:sz w:val="13"/>
                <w:szCs w:val="13"/>
                <w:b w:val="1"/>
                <w:bCs w:val="1"/>
                <w:color w:val="auto"/>
                <w:w w:val="78"/>
              </w:rPr>
              <w:t>millions)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February 15</w:t>
            </w:r>
          </w:p>
        </w:tc>
        <w:tc>
          <w:tcPr>
            <w:tcW w:w="680" w:type="dxa"/>
            <w:vAlign w:val="bottom"/>
            <w:tcBorders>
              <w:top w:val="single" w:sz="8" w:color="auto"/>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420 &amp; 501 South Mill</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Tempe, AZ</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40,000</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June 2</w:t>
            </w:r>
          </w:p>
        </w:tc>
        <w:tc>
          <w:tcPr>
            <w:tcW w:w="68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Cone &amp; Andary Buildings</w:t>
            </w:r>
          </w:p>
        </w:tc>
        <w:tc>
          <w:tcPr>
            <w:tcW w:w="4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Winter Park, FL</w:t>
            </w:r>
          </w:p>
        </w:tc>
        <w:tc>
          <w:tcPr>
            <w:tcW w:w="1660" w:type="dxa"/>
            <w:vAlign w:val="bottom"/>
            <w:gridSpan w:val="3"/>
          </w:tcPr>
          <w:p>
            <w:pPr>
              <w:jc w:val="right"/>
              <w:ind w:right="240"/>
              <w:spacing w:after="0"/>
              <w:rPr>
                <w:sz w:val="20"/>
                <w:szCs w:val="20"/>
                <w:color w:val="auto"/>
              </w:rPr>
            </w:pPr>
            <w:r>
              <w:rPr>
                <w:rFonts w:ascii="Arial" w:cs="Arial" w:eastAsia="Arial" w:hAnsi="Arial"/>
                <w:sz w:val="17"/>
                <w:szCs w:val="17"/>
                <w:color w:val="auto"/>
              </w:rPr>
              <w:t>28,000</w:t>
            </w:r>
          </w:p>
        </w:tc>
        <w:tc>
          <w:tcPr>
            <w:tcW w:w="46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73"/>
              <w:spacing w:after="0"/>
              <w:rPr>
                <w:sz w:val="20"/>
                <w:szCs w:val="20"/>
                <w:color w:val="auto"/>
              </w:rPr>
            </w:pPr>
            <w:r>
              <w:rPr>
                <w:rFonts w:ascii="Arial" w:cs="Arial" w:eastAsia="Arial" w:hAnsi="Arial"/>
                <w:sz w:val="17"/>
                <w:szCs w:val="17"/>
                <w:color w:val="auto"/>
              </w:rPr>
              <w:t>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Various after</w:t>
            </w:r>
          </w:p>
        </w:tc>
        <w:tc>
          <w:tcPr>
            <w:tcW w:w="6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Condominiums at Santana Row</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San Jose, CA</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23.5(1)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August 26</w:t>
            </w:r>
          </w:p>
        </w:tc>
        <w:tc>
          <w:tcPr>
            <w:tcW w:w="680" w:type="dxa"/>
            <w:vAlign w:val="bottom"/>
            <w:shd w:val="clear" w:color="auto" w:fill="CCEEFF"/>
          </w:tcPr>
          <w:p>
            <w:pPr>
              <w:spacing w:after="0"/>
              <w:rPr>
                <w:sz w:val="19"/>
                <w:szCs w:val="19"/>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(130 units)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74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 2004</w:t>
            </w: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June 3 and September 16</w:t>
            </w:r>
          </w:p>
        </w:tc>
        <w:tc>
          <w:tcPr>
            <w:tcW w:w="680" w:type="dxa"/>
            <w:vAlign w:val="bottom"/>
            <w:tcBorders>
              <w:top w:val="single" w:sz="8" w:color="auto"/>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Village at Shirlington</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Arlington, VA</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(land parcels)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June 14</w:t>
            </w:r>
          </w:p>
        </w:tc>
        <w:tc>
          <w:tcPr>
            <w:tcW w:w="68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Magruders Center</w:t>
            </w:r>
          </w:p>
        </w:tc>
        <w:tc>
          <w:tcPr>
            <w:tcW w:w="4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Rockville, MD</w:t>
            </w:r>
          </w:p>
        </w:tc>
        <w:tc>
          <w:tcPr>
            <w:tcW w:w="1660" w:type="dxa"/>
            <w:vAlign w:val="bottom"/>
            <w:gridSpan w:val="3"/>
          </w:tcPr>
          <w:p>
            <w:pPr>
              <w:jc w:val="right"/>
              <w:ind w:right="240"/>
              <w:spacing w:after="0"/>
              <w:rPr>
                <w:sz w:val="20"/>
                <w:szCs w:val="20"/>
                <w:color w:val="auto"/>
              </w:rPr>
            </w:pPr>
            <w:r>
              <w:rPr>
                <w:rFonts w:ascii="Arial" w:cs="Arial" w:eastAsia="Arial" w:hAnsi="Arial"/>
                <w:sz w:val="17"/>
                <w:szCs w:val="17"/>
                <w:color w:val="auto"/>
              </w:rPr>
              <w:t>109,000</w:t>
            </w:r>
          </w:p>
        </w:tc>
        <w:tc>
          <w:tcPr>
            <w:tcW w:w="46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14.3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July 1</w:t>
            </w:r>
          </w:p>
        </w:tc>
        <w:tc>
          <w:tcPr>
            <w:tcW w:w="6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Plaza Del Mercado (2)</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Silver Spring, MD</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96,000</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December 15</w:t>
            </w:r>
          </w:p>
        </w:tc>
        <w:tc>
          <w:tcPr>
            <w:tcW w:w="68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314-324 &amp; 339 W. Main St. and</w:t>
            </w:r>
          </w:p>
        </w:tc>
        <w:tc>
          <w:tcPr>
            <w:tcW w:w="46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West Hartford</w:t>
            </w:r>
          </w:p>
        </w:tc>
        <w:tc>
          <w:tcPr>
            <w:tcW w:w="1660" w:type="dxa"/>
            <w:vAlign w:val="bottom"/>
            <w:gridSpan w:val="3"/>
          </w:tcPr>
          <w:p>
            <w:pPr>
              <w:jc w:val="right"/>
              <w:ind w:right="240"/>
              <w:spacing w:after="0"/>
              <w:rPr>
                <w:sz w:val="20"/>
                <w:szCs w:val="20"/>
                <w:color w:val="auto"/>
              </w:rPr>
            </w:pPr>
            <w:r>
              <w:rPr>
                <w:rFonts w:ascii="Arial" w:cs="Arial" w:eastAsia="Arial" w:hAnsi="Arial"/>
                <w:sz w:val="17"/>
                <w:szCs w:val="17"/>
                <w:color w:val="auto"/>
              </w:rPr>
              <w:t>63,000</w:t>
            </w:r>
          </w:p>
        </w:tc>
        <w:tc>
          <w:tcPr>
            <w:tcW w:w="46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73"/>
              <w:spacing w:after="0"/>
              <w:rPr>
                <w:sz w:val="20"/>
                <w:szCs w:val="20"/>
                <w:color w:val="auto"/>
              </w:rPr>
            </w:pPr>
            <w:r>
              <w:rPr>
                <w:rFonts w:ascii="Arial" w:cs="Arial" w:eastAsia="Arial" w:hAnsi="Arial"/>
                <w:sz w:val="17"/>
                <w:szCs w:val="17"/>
                <w:color w:val="auto"/>
              </w:rPr>
              <w:t>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20" w:type="dxa"/>
            <w:vAlign w:val="bottom"/>
          </w:tcPr>
          <w:p>
            <w:pPr>
              <w:ind w:left="160"/>
              <w:spacing w:after="0"/>
              <w:rPr>
                <w:sz w:val="20"/>
                <w:szCs w:val="20"/>
                <w:color w:val="auto"/>
              </w:rPr>
            </w:pPr>
            <w:r>
              <w:rPr>
                <w:rFonts w:ascii="Arial" w:cs="Arial" w:eastAsia="Arial" w:hAnsi="Arial"/>
                <w:sz w:val="17"/>
                <w:szCs w:val="17"/>
                <w:color w:val="auto"/>
              </w:rPr>
              <w:t>135 S. Main St.</w:t>
            </w:r>
          </w:p>
        </w:tc>
        <w:tc>
          <w:tcPr>
            <w:tcW w:w="46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and Avon, CT</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43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99" w:lineRule="exact"/>
        <w:rPr>
          <w:sz w:val="20"/>
          <w:szCs w:val="20"/>
          <w:color w:val="auto"/>
        </w:rPr>
      </w:pPr>
    </w:p>
    <w:p>
      <w:pPr>
        <w:ind w:left="460" w:hanging="454"/>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Gain of $23.5 million is net of $3.4 million in taxes.</w:t>
      </w:r>
    </w:p>
    <w:p>
      <w:pPr>
        <w:spacing w:after="0" w:line="24" w:lineRule="exact"/>
        <w:rPr>
          <w:rFonts w:ascii="Arial" w:cs="Arial" w:eastAsia="Arial" w:hAnsi="Arial"/>
          <w:sz w:val="17"/>
          <w:szCs w:val="17"/>
          <w:color w:val="auto"/>
        </w:rPr>
      </w:pPr>
    </w:p>
    <w:p>
      <w:pPr>
        <w:ind w:left="460" w:hanging="454"/>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Contributed to real estate partnership with Clarion Lion Properties Fund.</w:t>
      </w:r>
    </w:p>
    <w:p>
      <w:pPr>
        <w:spacing w:after="0" w:line="17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On August 26, 2005, we began closing sales of 219 condominium units located at Santana Row. As of December 31, 2005, we had sold 130 units and the cost of the remaining 89 units held for sale is presented as real estate—discontinued operations. Results of all properties sold and condominiums held for sale constitute discontinued operations and as such, the operations of these properties are classified as discontinued operations for all periods presented. A summary of the financial information for the discontinued operations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60" w:type="dxa"/>
            <w:vAlign w:val="bottom"/>
            <w:tcBorders>
              <w:bottom w:val="single" w:sz="8" w:color="auto"/>
            </w:tcBorders>
            <w:gridSpan w:val="8"/>
          </w:tcPr>
          <w:p>
            <w:pPr>
              <w:jc w:val="center"/>
              <w:ind w:left="413"/>
              <w:spacing w:after="0"/>
              <w:rPr>
                <w:sz w:val="20"/>
                <w:szCs w:val="20"/>
                <w:color w:val="auto"/>
              </w:rPr>
            </w:pPr>
            <w:r>
              <w:rPr>
                <w:rFonts w:ascii="Arial" w:cs="Arial" w:eastAsia="Arial" w:hAnsi="Arial"/>
                <w:sz w:val="13"/>
                <w:szCs w:val="13"/>
                <w:b w:val="1"/>
                <w:bCs w:val="1"/>
                <w:color w:val="auto"/>
                <w:w w:val="91"/>
              </w:rPr>
              <w:t>Year Ended December 31,</w:t>
            </w:r>
          </w:p>
        </w:tc>
        <w:tc>
          <w:tcPr>
            <w:tcW w:w="480" w:type="dxa"/>
            <w:vAlign w:val="bottom"/>
            <w:tcBorders>
              <w:bottom w:val="single" w:sz="8" w:color="auto"/>
            </w:tcBorders>
          </w:tcPr>
          <w:p>
            <w:pPr>
              <w:spacing w:after="0"/>
              <w:rPr>
                <w:sz w:val="13"/>
                <w:szCs w:val="13"/>
                <w:color w:val="auto"/>
              </w:rPr>
            </w:pPr>
          </w:p>
        </w:tc>
      </w:tr>
      <w:tr>
        <w:trPr>
          <w:trHeight w:val="140"/>
        </w:trPr>
        <w:tc>
          <w:tcPr>
            <w:tcW w:w="4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4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b w:val="1"/>
                <w:bCs w:val="1"/>
                <w:color w:val="auto"/>
              </w:rPr>
              <w:t>2005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0" w:lineRule="exact"/>
              <w:rPr>
                <w:sz w:val="20"/>
                <w:szCs w:val="20"/>
                <w:color w:val="auto"/>
              </w:rPr>
            </w:pPr>
            <w:r>
              <w:rPr>
                <w:rFonts w:ascii="Arial" w:cs="Arial" w:eastAsia="Arial" w:hAnsi="Arial"/>
                <w:sz w:val="13"/>
                <w:szCs w:val="13"/>
                <w:b w:val="1"/>
                <w:bCs w:val="1"/>
                <w:color w:val="auto"/>
              </w:rPr>
              <w:t>2004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0" w:lineRule="exact"/>
              <w:rPr>
                <w:sz w:val="20"/>
                <w:szCs w:val="20"/>
                <w:color w:val="auto"/>
              </w:rPr>
            </w:pPr>
            <w:r>
              <w:rPr>
                <w:rFonts w:ascii="Arial" w:cs="Arial" w:eastAsia="Arial" w:hAnsi="Arial"/>
                <w:sz w:val="13"/>
                <w:szCs w:val="13"/>
                <w:b w:val="1"/>
                <w:bCs w:val="1"/>
                <w:color w:val="auto"/>
              </w:rPr>
              <w:t>2003</w:t>
            </w:r>
          </w:p>
        </w:tc>
      </w:tr>
      <w:tr>
        <w:trPr>
          <w:trHeight w:val="140"/>
        </w:trPr>
        <w:tc>
          <w:tcPr>
            <w:tcW w:w="4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4"/>
          </w:tcPr>
          <w:p>
            <w:pPr>
              <w:jc w:val="center"/>
              <w:ind w:right="20"/>
              <w:spacing w:after="0" w:line="140" w:lineRule="exact"/>
              <w:rPr>
                <w:sz w:val="20"/>
                <w:szCs w:val="20"/>
                <w:color w:val="auto"/>
              </w:rPr>
            </w:pPr>
            <w:r>
              <w:rPr>
                <w:rFonts w:ascii="Arial" w:cs="Arial" w:eastAsia="Arial" w:hAnsi="Arial"/>
                <w:sz w:val="13"/>
                <w:szCs w:val="13"/>
                <w:b w:val="1"/>
                <w:bCs w:val="1"/>
                <w:color w:val="auto"/>
                <w:w w:val="91"/>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Rental income from discontinued operations</w:t>
            </w:r>
          </w:p>
        </w:tc>
        <w:tc>
          <w:tcPr>
            <w:tcW w:w="5300" w:type="dxa"/>
            <w:vAlign w:val="bottom"/>
            <w:gridSpan w:val="3"/>
            <w:shd w:val="clear" w:color="auto" w:fill="CCEEFF"/>
          </w:tcPr>
          <w:p>
            <w:pPr>
              <w:ind w:left="4560"/>
              <w:spacing w:after="0"/>
              <w:rPr>
                <w:sz w:val="20"/>
                <w:szCs w:val="20"/>
                <w:color w:val="auto"/>
              </w:rPr>
            </w:pPr>
            <w:r>
              <w:rPr>
                <w:rFonts w:ascii="Arial" w:cs="Arial" w:eastAsia="Arial" w:hAnsi="Arial"/>
                <w:sz w:val="17"/>
                <w:szCs w:val="17"/>
                <w:color w:val="auto"/>
              </w:rPr>
              <w:t>$ 5,511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11,351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13,356</w:t>
            </w:r>
          </w:p>
        </w:tc>
      </w:tr>
      <w:tr>
        <w:trPr>
          <w:trHeight w:val="220"/>
        </w:trPr>
        <w:tc>
          <w:tcPr>
            <w:tcW w:w="432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5300" w:type="dxa"/>
            <w:vAlign w:val="bottom"/>
            <w:gridSpan w:val="3"/>
          </w:tcPr>
          <w:p>
            <w:pPr>
              <w:ind w:left="4560"/>
              <w:spacing w:after="0"/>
              <w:rPr>
                <w:sz w:val="20"/>
                <w:szCs w:val="20"/>
                <w:color w:val="auto"/>
              </w:rPr>
            </w:pPr>
            <w:r>
              <w:rPr>
                <w:rFonts w:ascii="Arial" w:cs="Arial" w:eastAsia="Arial" w:hAnsi="Arial"/>
                <w:sz w:val="17"/>
                <w:szCs w:val="17"/>
                <w:color w:val="auto"/>
              </w:rPr>
              <w:t>$(1,358)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5,246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6,239</w:t>
            </w:r>
          </w:p>
        </w:tc>
      </w:tr>
      <w:tr>
        <w:trPr>
          <w:trHeight w:val="351"/>
        </w:trPr>
        <w:tc>
          <w:tcPr>
            <w:tcW w:w="4320" w:type="dxa"/>
            <w:vAlign w:val="bottom"/>
          </w:tcPr>
          <w:p>
            <w:pPr>
              <w:spacing w:after="0"/>
              <w:rPr>
                <w:sz w:val="24"/>
                <w:szCs w:val="24"/>
                <w:color w:val="auto"/>
              </w:rPr>
            </w:pPr>
          </w:p>
        </w:tc>
        <w:tc>
          <w:tcPr>
            <w:tcW w:w="5300" w:type="dxa"/>
            <w:vAlign w:val="bottom"/>
            <w:gridSpan w:val="3"/>
          </w:tcPr>
          <w:p>
            <w:pPr>
              <w:ind w:left="1240"/>
              <w:spacing w:after="0"/>
              <w:rPr>
                <w:sz w:val="20"/>
                <w:szCs w:val="20"/>
                <w:color w:val="auto"/>
              </w:rPr>
            </w:pPr>
            <w:r>
              <w:rPr>
                <w:rFonts w:ascii="Arial" w:cs="Arial" w:eastAsia="Arial" w:hAnsi="Arial"/>
                <w:sz w:val="17"/>
                <w:szCs w:val="17"/>
                <w:color w:val="auto"/>
              </w:rPr>
              <w:t>F-16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278" w:right="239" w:bottom="1440" w:gutter="0" w:footer="0" w:header="0"/>
        </w:sectPr>
      </w:pPr>
    </w:p>
    <w:bookmarkStart w:id="75" w:name="page76"/>
    <w:bookmarkEnd w:id="75"/>
    <w:p>
      <w:pPr>
        <w:ind w:right="500" w:firstLine="457"/>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Mortgages payable and capital lease obligations are due in installments over various terms extending to 2028 and 2076, respectively, with interest rates ranging from 5.40% to 11.25%. Our mortgages payable consist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5"/>
          </w:tcPr>
          <w:p>
            <w:pPr>
              <w:jc w:val="center"/>
              <w:ind w:right="780"/>
              <w:spacing w:after="0"/>
              <w:rPr>
                <w:sz w:val="20"/>
                <w:szCs w:val="20"/>
                <w:color w:val="auto"/>
              </w:rPr>
            </w:pPr>
            <w:r>
              <w:rPr>
                <w:rFonts w:ascii="Arial" w:cs="Arial" w:eastAsia="Arial" w:hAnsi="Arial"/>
                <w:sz w:val="13"/>
                <w:szCs w:val="13"/>
                <w:b w:val="1"/>
                <w:bCs w:val="1"/>
                <w:color w:val="auto"/>
                <w:w w:val="91"/>
              </w:rPr>
              <w:t>Principal Balance as of</w:t>
            </w:r>
          </w:p>
        </w:tc>
        <w:tc>
          <w:tcPr>
            <w:tcW w:w="1060" w:type="dxa"/>
            <w:vAlign w:val="bottom"/>
            <w:gridSpan w:val="4"/>
          </w:tcPr>
          <w:p>
            <w:pPr>
              <w:jc w:val="center"/>
              <w:ind w:right="213"/>
              <w:spacing w:after="0"/>
              <w:rPr>
                <w:sz w:val="20"/>
                <w:szCs w:val="20"/>
                <w:color w:val="auto"/>
              </w:rPr>
            </w:pPr>
            <w:r>
              <w:rPr>
                <w:rFonts w:ascii="Arial" w:cs="Arial" w:eastAsia="Arial" w:hAnsi="Arial"/>
                <w:sz w:val="13"/>
                <w:szCs w:val="13"/>
                <w:b w:val="1"/>
                <w:bCs w:val="1"/>
                <w:color w:val="auto"/>
                <w:w w:val="93"/>
              </w:rPr>
              <w:t>Interest Rate</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jc w:val="center"/>
              <w:ind w:left="398"/>
              <w:spacing w:after="0"/>
              <w:rPr>
                <w:sz w:val="20"/>
                <w:szCs w:val="20"/>
                <w:color w:val="auto"/>
              </w:rPr>
            </w:pPr>
            <w:r>
              <w:rPr>
                <w:rFonts w:ascii="Arial" w:cs="Arial" w:eastAsia="Arial" w:hAnsi="Arial"/>
                <w:sz w:val="13"/>
                <w:szCs w:val="13"/>
                <w:b w:val="1"/>
                <w:bCs w:val="1"/>
                <w:color w:val="auto"/>
                <w:w w:val="92"/>
              </w:rPr>
              <w:t>December 31,</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4"/>
          </w:tcPr>
          <w:p>
            <w:pPr>
              <w:jc w:val="center"/>
              <w:ind w:right="213"/>
              <w:spacing w:after="0" w:line="146" w:lineRule="exact"/>
              <w:rPr>
                <w:sz w:val="20"/>
                <w:szCs w:val="20"/>
                <w:color w:val="auto"/>
              </w:rPr>
            </w:pPr>
            <w:r>
              <w:rPr>
                <w:rFonts w:ascii="Arial" w:cs="Arial" w:eastAsia="Arial" w:hAnsi="Arial"/>
                <w:sz w:val="13"/>
                <w:szCs w:val="13"/>
                <w:b w:val="1"/>
                <w:bCs w:val="1"/>
                <w:color w:val="auto"/>
                <w:w w:val="85"/>
              </w:rPr>
              <w:t>as of</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w w:val="97"/>
              </w:rPr>
              <w:t>Original</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gridSpan w:val="4"/>
          </w:tcPr>
          <w:p>
            <w:pPr>
              <w:jc w:val="center"/>
              <w:ind w:right="213"/>
              <w:spacing w:after="0" w:line="113" w:lineRule="exact"/>
              <w:rPr>
                <w:sz w:val="20"/>
                <w:szCs w:val="20"/>
                <w:color w:val="auto"/>
              </w:rPr>
            </w:pPr>
            <w:r>
              <w:rPr>
                <w:rFonts w:ascii="Arial" w:cs="Arial" w:eastAsia="Arial" w:hAnsi="Arial"/>
                <w:sz w:val="13"/>
                <w:szCs w:val="13"/>
                <w:b w:val="1"/>
                <w:bCs w:val="1"/>
                <w:color w:val="auto"/>
                <w:w w:val="92"/>
              </w:rPr>
              <w:t>December 31,</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Description of Debt</w:t>
            </w:r>
          </w:p>
        </w:tc>
        <w:tc>
          <w:tcPr>
            <w:tcW w:w="44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Debt Issued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2005</w:t>
            </w:r>
          </w:p>
        </w:tc>
        <w:tc>
          <w:tcPr>
            <w:tcW w:w="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2004</w:t>
            </w:r>
          </w:p>
        </w:tc>
        <w:tc>
          <w:tcPr>
            <w:tcW w:w="6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5"/>
          </w:tcPr>
          <w:p>
            <w:pPr>
              <w:jc w:val="center"/>
              <w:ind w:right="780"/>
              <w:spacing w:after="0" w:line="146" w:lineRule="exact"/>
              <w:rPr>
                <w:sz w:val="20"/>
                <w:szCs w:val="20"/>
                <w:color w:val="auto"/>
              </w:rPr>
            </w:pPr>
            <w:r>
              <w:rPr>
                <w:rFonts w:ascii="Arial" w:cs="Arial" w:eastAsia="Arial" w:hAnsi="Arial"/>
                <w:sz w:val="13"/>
                <w:szCs w:val="13"/>
                <w:b w:val="1"/>
                <w:bCs w:val="1"/>
                <w:color w:val="auto"/>
                <w:w w:val="91"/>
              </w:rPr>
              <w:t>(Dollars 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Leesburg Plaza</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9,900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October 1, 2008</w:t>
            </w:r>
          </w:p>
        </w:tc>
        <w:tc>
          <w:tcPr>
            <w:tcW w:w="0" w:type="dxa"/>
            <w:vAlign w:val="bottom"/>
          </w:tcPr>
          <w:p>
            <w:pPr>
              <w:spacing w:after="0"/>
              <w:rPr>
                <w:sz w:val="1"/>
                <w:szCs w:val="1"/>
                <w:color w:val="auto"/>
              </w:rPr>
            </w:pPr>
          </w:p>
        </w:tc>
      </w:tr>
      <w:tr>
        <w:trPr>
          <w:trHeight w:val="213"/>
        </w:trPr>
        <w:tc>
          <w:tcPr>
            <w:tcW w:w="4180" w:type="dxa"/>
            <w:vAlign w:val="bottom"/>
            <w:gridSpan w:val="2"/>
          </w:tcPr>
          <w:p>
            <w:pPr>
              <w:spacing w:after="0"/>
              <w:rPr>
                <w:sz w:val="20"/>
                <w:szCs w:val="20"/>
                <w:color w:val="auto"/>
              </w:rPr>
            </w:pPr>
            <w:r>
              <w:rPr>
                <w:rFonts w:ascii="Arial" w:cs="Arial" w:eastAsia="Arial" w:hAnsi="Arial"/>
                <w:sz w:val="17"/>
                <w:szCs w:val="17"/>
                <w:color w:val="auto"/>
              </w:rPr>
              <w:t>164 E. Houston 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7"/>
                <w:szCs w:val="17"/>
                <w:color w:val="auto"/>
              </w:rPr>
              <w:t>189</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October 6, 2008</w:t>
            </w: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Mercer Mall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Acquired</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4,639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8.375%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April 1, 2009</w:t>
            </w:r>
          </w:p>
        </w:tc>
        <w:tc>
          <w:tcPr>
            <w:tcW w:w="0" w:type="dxa"/>
            <w:vAlign w:val="bottom"/>
          </w:tcPr>
          <w:p>
            <w:pPr>
              <w:spacing w:after="0"/>
              <w:rPr>
                <w:sz w:val="1"/>
                <w:szCs w:val="1"/>
                <w:color w:val="auto"/>
              </w:rPr>
            </w:pPr>
          </w:p>
        </w:tc>
      </w:tr>
      <w:tr>
        <w:trPr>
          <w:trHeight w:val="213"/>
        </w:trPr>
        <w:tc>
          <w:tcPr>
            <w:tcW w:w="4180" w:type="dxa"/>
            <w:vAlign w:val="bottom"/>
            <w:gridSpan w:val="2"/>
          </w:tcPr>
          <w:p>
            <w:pPr>
              <w:spacing w:after="0"/>
              <w:rPr>
                <w:sz w:val="20"/>
                <w:szCs w:val="20"/>
                <w:color w:val="auto"/>
              </w:rPr>
            </w:pPr>
            <w:r>
              <w:rPr>
                <w:rFonts w:ascii="Arial" w:cs="Arial" w:eastAsia="Arial" w:hAnsi="Arial"/>
                <w:sz w:val="17"/>
                <w:szCs w:val="17"/>
                <w:color w:val="auto"/>
              </w:rPr>
              <w:t>Federal Plaza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36,500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34,675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7"/>
                <w:szCs w:val="17"/>
                <w:color w:val="auto"/>
              </w:rPr>
              <w:t>35,127</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6.750%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w w:val="97"/>
              </w:rPr>
              <w:t>June 1, 2011</w:t>
            </w: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Tysons Station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6,633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September 1, 2011</w:t>
            </w:r>
          </w:p>
        </w:tc>
        <w:tc>
          <w:tcPr>
            <w:tcW w:w="0" w:type="dxa"/>
            <w:vAlign w:val="bottom"/>
          </w:tcPr>
          <w:p>
            <w:pPr>
              <w:spacing w:after="0"/>
              <w:rPr>
                <w:sz w:val="1"/>
                <w:szCs w:val="1"/>
                <w:color w:val="auto"/>
              </w:rPr>
            </w:pPr>
          </w:p>
        </w:tc>
      </w:tr>
      <w:tr>
        <w:trPr>
          <w:trHeight w:val="213"/>
        </w:trPr>
        <w:tc>
          <w:tcPr>
            <w:tcW w:w="4180" w:type="dxa"/>
            <w:vAlign w:val="bottom"/>
            <w:gridSpan w:val="2"/>
          </w:tcPr>
          <w:p>
            <w:pPr>
              <w:spacing w:after="0"/>
              <w:rPr>
                <w:sz w:val="20"/>
                <w:szCs w:val="20"/>
                <w:color w:val="auto"/>
              </w:rPr>
            </w:pPr>
            <w:r>
              <w:rPr>
                <w:rFonts w:ascii="Arial" w:cs="Arial" w:eastAsia="Arial" w:hAnsi="Arial"/>
                <w:sz w:val="17"/>
                <w:szCs w:val="17"/>
                <w:color w:val="auto"/>
              </w:rPr>
              <w:t>Crow Canyon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7"/>
                <w:szCs w:val="17"/>
                <w:color w:val="auto"/>
              </w:rPr>
              <w:t>Acquired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22,258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5.400%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August 11, 2013</w:t>
            </w: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Barracks Road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43,728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November 1, 2015</w:t>
            </w:r>
          </w:p>
        </w:tc>
        <w:tc>
          <w:tcPr>
            <w:tcW w:w="0" w:type="dxa"/>
            <w:vAlign w:val="bottom"/>
          </w:tcPr>
          <w:p>
            <w:pPr>
              <w:spacing w:after="0"/>
              <w:rPr>
                <w:sz w:val="1"/>
                <w:szCs w:val="1"/>
                <w:color w:val="auto"/>
              </w:rPr>
            </w:pPr>
          </w:p>
        </w:tc>
      </w:tr>
      <w:tr>
        <w:trPr>
          <w:trHeight w:val="213"/>
        </w:trPr>
        <w:tc>
          <w:tcPr>
            <w:tcW w:w="4180" w:type="dxa"/>
            <w:vAlign w:val="bottom"/>
            <w:gridSpan w:val="2"/>
          </w:tcPr>
          <w:p>
            <w:pPr>
              <w:spacing w:after="0"/>
              <w:rPr>
                <w:sz w:val="20"/>
                <w:szCs w:val="20"/>
                <w:color w:val="auto"/>
              </w:rPr>
            </w:pPr>
            <w:r>
              <w:rPr>
                <w:rFonts w:ascii="Arial" w:cs="Arial" w:eastAsia="Arial" w:hAnsi="Arial"/>
                <w:sz w:val="17"/>
                <w:szCs w:val="17"/>
                <w:color w:val="auto"/>
              </w:rPr>
              <w:t>Hauppauge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16,700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16,283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7"/>
                <w:szCs w:val="17"/>
                <w:color w:val="auto"/>
              </w:rPr>
              <w:t>16,484</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7.950%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w w:val="91"/>
              </w:rPr>
              <w:t>November 1, 2015</w:t>
            </w: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Lawrence Park</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30,615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30,994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November 1, 2015</w:t>
            </w:r>
          </w:p>
        </w:tc>
        <w:tc>
          <w:tcPr>
            <w:tcW w:w="0" w:type="dxa"/>
            <w:vAlign w:val="bottom"/>
          </w:tcPr>
          <w:p>
            <w:pPr>
              <w:spacing w:after="0"/>
              <w:rPr>
                <w:sz w:val="1"/>
                <w:szCs w:val="1"/>
                <w:color w:val="auto"/>
              </w:rPr>
            </w:pPr>
          </w:p>
        </w:tc>
      </w:tr>
      <w:tr>
        <w:trPr>
          <w:trHeight w:val="213"/>
        </w:trPr>
        <w:tc>
          <w:tcPr>
            <w:tcW w:w="4180" w:type="dxa"/>
            <w:vAlign w:val="bottom"/>
            <w:gridSpan w:val="2"/>
          </w:tcPr>
          <w:p>
            <w:pPr>
              <w:spacing w:after="0"/>
              <w:rPr>
                <w:sz w:val="20"/>
                <w:szCs w:val="20"/>
                <w:color w:val="auto"/>
              </w:rPr>
            </w:pPr>
            <w:r>
              <w:rPr>
                <w:rFonts w:ascii="Arial" w:cs="Arial" w:eastAsia="Arial" w:hAnsi="Arial"/>
                <w:sz w:val="17"/>
                <w:szCs w:val="17"/>
                <w:color w:val="auto"/>
              </w:rPr>
              <w:t>Wildwood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27,600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26,910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7"/>
                <w:szCs w:val="17"/>
                <w:color w:val="auto"/>
              </w:rPr>
              <w:t>27,243</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7.950%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w w:val="91"/>
              </w:rPr>
              <w:t>November 1, 2015</w:t>
            </w: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Wynnewood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31,586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November 1, 2015</w:t>
            </w:r>
          </w:p>
        </w:tc>
        <w:tc>
          <w:tcPr>
            <w:tcW w:w="0" w:type="dxa"/>
            <w:vAlign w:val="bottom"/>
          </w:tcPr>
          <w:p>
            <w:pPr>
              <w:spacing w:after="0"/>
              <w:rPr>
                <w:sz w:val="1"/>
                <w:szCs w:val="1"/>
                <w:color w:val="auto"/>
              </w:rPr>
            </w:pPr>
          </w:p>
        </w:tc>
      </w:tr>
      <w:tr>
        <w:trPr>
          <w:trHeight w:val="213"/>
        </w:trPr>
        <w:tc>
          <w:tcPr>
            <w:tcW w:w="4180" w:type="dxa"/>
            <w:vAlign w:val="bottom"/>
            <w:gridSpan w:val="2"/>
          </w:tcPr>
          <w:p>
            <w:pPr>
              <w:spacing w:after="0"/>
              <w:rPr>
                <w:sz w:val="20"/>
                <w:szCs w:val="20"/>
                <w:color w:val="auto"/>
              </w:rPr>
            </w:pPr>
            <w:r>
              <w:rPr>
                <w:rFonts w:ascii="Arial" w:cs="Arial" w:eastAsia="Arial" w:hAnsi="Arial"/>
                <w:sz w:val="17"/>
                <w:szCs w:val="17"/>
                <w:color w:val="auto"/>
              </w:rPr>
              <w:t>Brick Plaza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32,099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7"/>
                <w:szCs w:val="17"/>
                <w:color w:val="auto"/>
              </w:rPr>
              <w:t>32,533</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7.415%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w w:val="91"/>
              </w:rPr>
              <w:t>November 1, 2015</w:t>
            </w: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Mount Vernon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12,556</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12,829</w:t>
            </w:r>
          </w:p>
        </w:tc>
        <w:tc>
          <w:tcPr>
            <w:tcW w:w="6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April 15, 2028</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270,898</w:t>
            </w:r>
          </w:p>
        </w:tc>
        <w:tc>
          <w:tcPr>
            <w:tcW w:w="7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7"/>
                <w:szCs w:val="17"/>
                <w:color w:val="auto"/>
                <w:w w:val="91"/>
              </w:rPr>
              <w:t>251,885</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740" w:type="dxa"/>
            <w:vAlign w:val="bottom"/>
            <w:gridSpan w:val="14"/>
          </w:tcPr>
          <w:p>
            <w:pPr>
              <w:ind w:left="460"/>
              <w:spacing w:after="0"/>
              <w:rPr>
                <w:sz w:val="20"/>
                <w:szCs w:val="20"/>
                <w:color w:val="auto"/>
              </w:rPr>
            </w:pPr>
            <w:r>
              <w:rPr>
                <w:rFonts w:ascii="Arial" w:cs="Arial" w:eastAsia="Arial" w:hAnsi="Arial"/>
                <w:sz w:val="17"/>
                <w:szCs w:val="17"/>
                <w:color w:val="auto"/>
              </w:rPr>
              <w:t>Scheduled principal payments on mortgage loan indebtedness as of December 31, 2005 are as follows: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4"/>
          </w:tcPr>
          <w:p>
            <w:pP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4"/>
          </w:tcPr>
          <w:p>
            <w:pPr>
              <w:ind w:left="9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3,649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14,004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8,946</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4,930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235,156</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4"/>
          </w:tcPr>
          <w:p>
            <w:pPr>
              <w:ind w:left="940"/>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834"/>
              <w:spacing w:after="0"/>
              <w:rPr>
                <w:sz w:val="20"/>
                <w:szCs w:val="20"/>
                <w:color w:val="auto"/>
              </w:rPr>
            </w:pPr>
            <w:r>
              <w:rPr>
                <w:rFonts w:ascii="Arial" w:cs="Arial" w:eastAsia="Arial" w:hAnsi="Arial"/>
                <w:sz w:val="17"/>
                <w:szCs w:val="17"/>
                <w:color w:val="auto"/>
              </w:rPr>
              <w:t>270,898</w:t>
            </w:r>
          </w:p>
        </w:tc>
        <w:tc>
          <w:tcPr>
            <w:tcW w:w="0" w:type="dxa"/>
            <w:vAlign w:val="bottom"/>
          </w:tcPr>
          <w:p>
            <w:pPr>
              <w:spacing w:after="0"/>
              <w:rPr>
                <w:sz w:val="1"/>
                <w:szCs w:val="1"/>
                <w:color w:val="auto"/>
              </w:rPr>
            </w:pPr>
          </w:p>
        </w:tc>
      </w:tr>
      <w:tr>
        <w:trPr>
          <w:trHeight w:val="20"/>
        </w:trPr>
        <w:tc>
          <w:tcPr>
            <w:tcW w:w="962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800" w:type="dxa"/>
            <w:vAlign w:val="bottom"/>
            <w:gridSpan w:val="18"/>
          </w:tcPr>
          <w:p>
            <w:pPr>
              <w:jc w:val="center"/>
              <w:ind w:left="55"/>
              <w:spacing w:after="0"/>
              <w:rPr>
                <w:sz w:val="20"/>
                <w:szCs w:val="20"/>
                <w:color w:val="auto"/>
              </w:rPr>
            </w:pPr>
            <w:r>
              <w:rPr>
                <w:rFonts w:ascii="Arial" w:cs="Arial" w:eastAsia="Arial" w:hAnsi="Arial"/>
                <w:sz w:val="17"/>
                <w:szCs w:val="17"/>
                <w:color w:val="auto"/>
                <w:w w:val="91"/>
              </w:rPr>
              <w:t>Future minimum lease payments and their present value for property under capital leases as of December 31, 2005, are as follows: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4"/>
          </w:tcPr>
          <w:p>
            <w:pPr>
              <w:ind w:left="8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14,104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14,113</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14,141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14,215</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14,215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434,328</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505,116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Less amount representing interest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(356,301)</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920"/>
              <w:spacing w:after="0"/>
              <w:rPr>
                <w:sz w:val="20"/>
                <w:szCs w:val="20"/>
                <w:color w:val="auto"/>
              </w:rPr>
            </w:pPr>
            <w:r>
              <w:rPr>
                <w:rFonts w:ascii="Arial" w:cs="Arial" w:eastAsia="Arial" w:hAnsi="Arial"/>
                <w:sz w:val="17"/>
                <w:szCs w:val="17"/>
                <w:color w:val="auto"/>
              </w:rPr>
              <w:t>Present value</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4"/>
          </w:tcPr>
          <w:p>
            <w:pPr>
              <w:ind w:left="8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148,815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auto"/>
              </w:rPr>
              <w:t>F-17</w:t>
            </w: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76" w:name="page77"/>
    <w:bookmarkEnd w:id="76"/>
    <w:p>
      <w:pPr>
        <w:jc w:val="both"/>
        <w:ind w:right="14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The minimum payments under certain capital leases are revised every ten years when the owner refinances its debt related to these properties. In December 2005, our minimum payments were reduced in connection with the owner’s refinancing. As a result of the reduction in our minimum payments, we decreased both the related capital lease obligations and the carrying amounts of the related buildings by $9.0 million.</w:t>
      </w:r>
    </w:p>
    <w:p>
      <w:pPr>
        <w:spacing w:after="0" w:line="124" w:lineRule="exact"/>
        <w:rPr>
          <w:sz w:val="20"/>
          <w:szCs w:val="20"/>
          <w:color w:val="auto"/>
        </w:rPr>
      </w:pPr>
    </w:p>
    <w:p>
      <w:pPr>
        <w:ind w:right="80" w:firstLine="457"/>
        <w:spacing w:after="0" w:line="324" w:lineRule="auto"/>
        <w:rPr>
          <w:sz w:val="20"/>
          <w:szCs w:val="20"/>
          <w:color w:val="auto"/>
        </w:rPr>
      </w:pPr>
      <w:r>
        <w:rPr>
          <w:rFonts w:ascii="Arial" w:cs="Arial" w:eastAsia="Arial" w:hAnsi="Arial"/>
          <w:sz w:val="16"/>
          <w:szCs w:val="16"/>
          <w:color w:val="auto"/>
        </w:rPr>
        <w:t>Certain of our capital lease obligations require payments based on the performance of the related properties in addition to the minimum payment amounts set forth above. The additional performance based payments were $4.6 million, $3.9 million and $3.5 million in 2005, 2004 and 2003, respectively.</w:t>
      </w:r>
    </w:p>
    <w:p>
      <w:pPr>
        <w:spacing w:after="0" w:line="89"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Our 103 retail properties at December 31, 2005 are located in 12 states and the District of Columbia. There are approximately 2,200 tenants providing a wide range of retail products and services. These tenants range from sole proprietorships to national retailers; no one tenant or corporate group of tenants accounts for more than 2.5% of annualized base rent.</w:t>
      </w:r>
    </w:p>
    <w:p>
      <w:pPr>
        <w:spacing w:after="0" w:line="124" w:lineRule="exact"/>
        <w:rPr>
          <w:sz w:val="20"/>
          <w:szCs w:val="20"/>
          <w:color w:val="auto"/>
        </w:rPr>
      </w:pPr>
    </w:p>
    <w:p>
      <w:pPr>
        <w:ind w:right="140" w:firstLine="457"/>
        <w:spacing w:after="0" w:line="329" w:lineRule="auto"/>
        <w:rPr>
          <w:sz w:val="20"/>
          <w:szCs w:val="20"/>
          <w:color w:val="auto"/>
        </w:rPr>
      </w:pPr>
      <w:r>
        <w:rPr>
          <w:rFonts w:ascii="Arial" w:cs="Arial" w:eastAsia="Arial" w:hAnsi="Arial"/>
          <w:sz w:val="15"/>
          <w:szCs w:val="15"/>
          <w:color w:val="auto"/>
        </w:rPr>
        <w:t>Our leases with commercial property and residential tenants are classified as operating leases. Leases on apartments are generally for a period of one year or less. Commercial property leases generally range from three to ten years (certain leases with anchor tenants may be longer), and in addition to minimum rents, usually provide for percentage rents based on the tenant’s level of sales achieved and cost recoveries for the tenant’s share of certain operating costs.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Minimum future commercial property rentals on noncancelable operating leases, before any reserve for uncollectible amounts, on operating properties as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2005 are as follows:</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59"/>
        </w:trPr>
        <w:tc>
          <w:tcPr>
            <w:tcW w:w="86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(In thousands)</w:t>
            </w:r>
          </w:p>
        </w:tc>
      </w:tr>
      <w:tr>
        <w:trPr>
          <w:trHeight w:val="213"/>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620" w:type="dxa"/>
            <w:vAlign w:val="bottom"/>
          </w:tcPr>
          <w:p>
            <w:pPr>
              <w:spacing w:after="0"/>
              <w:rPr>
                <w:sz w:val="20"/>
                <w:szCs w:val="20"/>
                <w:color w:val="auto"/>
              </w:rPr>
            </w:pPr>
            <w:r>
              <w:rPr>
                <w:rFonts w:ascii="Arial" w:cs="Arial" w:eastAsia="Arial" w:hAnsi="Arial"/>
                <w:sz w:val="17"/>
                <w:szCs w:val="17"/>
                <w:color w:val="auto"/>
              </w:rPr>
              <w:t>2006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306,485</w:t>
            </w:r>
          </w:p>
        </w:tc>
      </w:tr>
      <w:tr>
        <w:trPr>
          <w:trHeight w:val="213"/>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287,622</w:t>
            </w:r>
          </w:p>
        </w:tc>
      </w:tr>
      <w:tr>
        <w:trPr>
          <w:trHeight w:val="213"/>
        </w:trPr>
        <w:tc>
          <w:tcPr>
            <w:tcW w:w="8620" w:type="dxa"/>
            <w:vAlign w:val="bottom"/>
          </w:tcPr>
          <w:p>
            <w:pPr>
              <w:spacing w:after="0"/>
              <w:rPr>
                <w:sz w:val="20"/>
                <w:szCs w:val="20"/>
                <w:color w:val="auto"/>
              </w:rPr>
            </w:pPr>
            <w:r>
              <w:rPr>
                <w:rFonts w:ascii="Arial" w:cs="Arial" w:eastAsia="Arial" w:hAnsi="Arial"/>
                <w:sz w:val="17"/>
                <w:szCs w:val="17"/>
                <w:color w:val="auto"/>
              </w:rPr>
              <w:t>2008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257,885</w:t>
            </w:r>
          </w:p>
        </w:tc>
      </w:tr>
      <w:tr>
        <w:trPr>
          <w:trHeight w:val="213"/>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226,223</w:t>
            </w:r>
          </w:p>
        </w:tc>
      </w:tr>
      <w:tr>
        <w:trPr>
          <w:trHeight w:val="213"/>
        </w:trPr>
        <w:tc>
          <w:tcPr>
            <w:tcW w:w="8620" w:type="dxa"/>
            <w:vAlign w:val="bottom"/>
          </w:tcPr>
          <w:p>
            <w:pPr>
              <w:spacing w:after="0"/>
              <w:rPr>
                <w:sz w:val="20"/>
                <w:szCs w:val="20"/>
                <w:color w:val="auto"/>
              </w:rPr>
            </w:pPr>
            <w:r>
              <w:rPr>
                <w:rFonts w:ascii="Arial" w:cs="Arial" w:eastAsia="Arial" w:hAnsi="Arial"/>
                <w:sz w:val="17"/>
                <w:szCs w:val="17"/>
                <w:color w:val="auto"/>
              </w:rPr>
              <w:t>2010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191,256</w:t>
            </w:r>
          </w:p>
        </w:tc>
      </w:tr>
      <w:tr>
        <w:trPr>
          <w:trHeight w:val="213"/>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1,375,138</w:t>
            </w:r>
          </w:p>
        </w:tc>
      </w:tr>
      <w:tr>
        <w:trPr>
          <w:trHeight w:val="219"/>
        </w:trPr>
        <w:tc>
          <w:tcPr>
            <w:tcW w:w="86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2,644,609</w:t>
            </w:r>
          </w:p>
        </w:tc>
      </w:tr>
      <w:tr>
        <w:trPr>
          <w:trHeight w:val="20"/>
        </w:trPr>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principal components of rental income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0"/>
        </w:trPr>
        <w:tc>
          <w:tcPr>
            <w:tcW w:w="8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0" w:lineRule="exact"/>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0" w:lineRule="exact"/>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0" w:lineRule="exact"/>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2"/>
                <w:szCs w:val="12"/>
                <w:color w:val="auto"/>
              </w:rPr>
            </w:pPr>
          </w:p>
        </w:tc>
      </w:tr>
      <w:tr>
        <w:trPr>
          <w:trHeight w:val="140"/>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w w:val="87"/>
              </w:rPr>
              <w:t>(In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Minimum rents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8560" w:type="dxa"/>
            <w:vAlign w:val="bottom"/>
          </w:tcPr>
          <w:p>
            <w:pPr>
              <w:ind w:left="440"/>
              <w:spacing w:after="0"/>
              <w:rPr>
                <w:sz w:val="20"/>
                <w:szCs w:val="20"/>
                <w:color w:val="auto"/>
              </w:rPr>
            </w:pPr>
            <w:r>
              <w:rPr>
                <w:rFonts w:ascii="Arial" w:cs="Arial" w:eastAsia="Arial" w:hAnsi="Arial"/>
                <w:sz w:val="17"/>
                <w:szCs w:val="17"/>
                <w:color w:val="auto"/>
              </w:rPr>
              <w:t>Retail and commercial</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300,230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279,494</w:t>
            </w:r>
          </w:p>
        </w:tc>
        <w:tc>
          <w:tcPr>
            <w:tcW w:w="2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258,126</w:t>
            </w:r>
          </w:p>
        </w:tc>
        <w:tc>
          <w:tcPr>
            <w:tcW w:w="20" w:type="dxa"/>
            <w:vAlign w:val="bottom"/>
          </w:tcPr>
          <w:p>
            <w:pPr>
              <w:spacing w:after="0"/>
              <w:rPr>
                <w:sz w:val="18"/>
                <w:szCs w:val="18"/>
                <w:color w:val="auto"/>
              </w:rPr>
            </w:pPr>
          </w:p>
        </w:tc>
      </w:tr>
      <w:tr>
        <w:trPr>
          <w:trHeight w:val="213"/>
        </w:trPr>
        <w:tc>
          <w:tcPr>
            <w:tcW w:w="8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4,469</w:t>
            </w:r>
          </w:p>
        </w:tc>
        <w:tc>
          <w:tcPr>
            <w:tcW w:w="20" w:type="dxa"/>
            <w:vAlign w:val="bottom"/>
          </w:tcPr>
          <w:p>
            <w:pPr>
              <w:spacing w:after="0"/>
              <w:rPr>
                <w:sz w:val="18"/>
                <w:szCs w:val="18"/>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7"/>
                <w:szCs w:val="17"/>
                <w:color w:val="auto"/>
              </w:rPr>
              <w:t>Cost reimbursement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76,154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71,870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62,982</w:t>
            </w:r>
          </w:p>
        </w:tc>
        <w:tc>
          <w:tcPr>
            <w:tcW w:w="20" w:type="dxa"/>
            <w:vAlign w:val="bottom"/>
          </w:tcPr>
          <w:p>
            <w:pPr>
              <w:spacing w:after="0"/>
              <w:rPr>
                <w:sz w:val="18"/>
                <w:szCs w:val="18"/>
                <w:color w:val="auto"/>
              </w:rPr>
            </w:pP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Percentage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5,895</w:t>
            </w:r>
          </w:p>
        </w:tc>
        <w:tc>
          <w:tcPr>
            <w:tcW w:w="20" w:type="dxa"/>
            <w:vAlign w:val="bottom"/>
          </w:tcPr>
          <w:p>
            <w:pPr>
              <w:spacing w:after="0"/>
              <w:rPr>
                <w:sz w:val="18"/>
                <w:szCs w:val="18"/>
                <w:color w:val="auto"/>
              </w:rPr>
            </w:pPr>
          </w:p>
        </w:tc>
      </w:tr>
      <w:tr>
        <w:trPr>
          <w:trHeight w:val="219"/>
        </w:trPr>
        <w:tc>
          <w:tcPr>
            <w:tcW w:w="856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5,058</w:t>
            </w:r>
          </w:p>
        </w:tc>
        <w:tc>
          <w:tcPr>
            <w:tcW w:w="20" w:type="dxa"/>
            <w:vAlign w:val="bottom"/>
          </w:tcPr>
          <w:p>
            <w:pPr>
              <w:spacing w:after="0"/>
              <w:rPr>
                <w:sz w:val="19"/>
                <w:szCs w:val="19"/>
                <w:color w:val="auto"/>
              </w:rPr>
            </w:pPr>
          </w:p>
        </w:tc>
      </w:tr>
      <w:tr>
        <w:trPr>
          <w:trHeight w:val="213"/>
        </w:trPr>
        <w:tc>
          <w:tcPr>
            <w:tcW w:w="8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395,403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336,530</w:t>
            </w:r>
          </w:p>
        </w:tc>
        <w:tc>
          <w:tcPr>
            <w:tcW w:w="2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Minimum rents include $7.6 million, $3.6 million and $1.9 million for 2005, 2004 and 2003, respectively, to recognize minimum rents on a straight-line basis. Straight-line rental income in 2005 includes the impact of changes in estimates of the collectibility of certain long-term receivables which increased straight-line rental income by $1.2 million. In addition, minimum rents include $1.6 million, $1.6 million and $0.3 million for 2005, 2004 and 2003, respectively, to recognize income for market lease adjustments in accordance with SFAS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277" w:right="239" w:bottom="1440" w:gutter="0" w:footer="0" w:header="0"/>
        </w:sectPr>
      </w:pPr>
    </w:p>
    <w:bookmarkStart w:id="77" w:name="page78"/>
    <w:bookmarkEnd w:id="77"/>
    <w:p>
      <w:pPr>
        <w:ind w:right="22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No. 141. Residential minimum rents consist of the entire rental amounts at Rollingwood Apartments, the Crest at Congressional Plaza Apartments and residential units at Santana Row not sold or held for sale at December 31, 2005.</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principal components of rental expense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20" w:type="dxa"/>
            <w:vAlign w:val="bottom"/>
          </w:tcPr>
          <w:p>
            <w:pPr>
              <w:spacing w:after="0"/>
              <w:rPr>
                <w:sz w:val="13"/>
                <w:szCs w:val="13"/>
                <w:color w:val="auto"/>
              </w:rPr>
            </w:pPr>
          </w:p>
        </w:tc>
        <w:tc>
          <w:tcPr>
            <w:tcW w:w="2400" w:type="dxa"/>
            <w:vAlign w:val="bottom"/>
            <w:tcBorders>
              <w:bottom w:val="single" w:sz="8" w:color="auto"/>
            </w:tcBorders>
            <w:gridSpan w:val="5"/>
          </w:tcPr>
          <w:p>
            <w:pPr>
              <w:jc w:val="right"/>
              <w:ind w:right="384"/>
              <w:spacing w:after="0"/>
              <w:rPr>
                <w:sz w:val="20"/>
                <w:szCs w:val="20"/>
                <w:color w:val="auto"/>
              </w:rPr>
            </w:pPr>
            <w:r>
              <w:rPr>
                <w:rFonts w:ascii="Arial" w:cs="Arial" w:eastAsia="Arial" w:hAnsi="Arial"/>
                <w:sz w:val="13"/>
                <w:szCs w:val="13"/>
                <w:b w:val="1"/>
                <w:bCs w:val="1"/>
                <w:color w:val="auto"/>
              </w:rPr>
              <w:t>Year Ended December 31,</w:t>
            </w:r>
          </w:p>
        </w:tc>
      </w:tr>
      <w:tr>
        <w:trPr>
          <w:trHeight w:val="219"/>
        </w:trPr>
        <w:tc>
          <w:tcPr>
            <w:tcW w:w="9020" w:type="dxa"/>
            <w:vAlign w:val="bottom"/>
          </w:tcPr>
          <w:p>
            <w:pPr>
              <w:spacing w:after="0"/>
              <w:rPr>
                <w:sz w:val="19"/>
                <w:szCs w:val="19"/>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2005</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2004</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2003</w:t>
            </w:r>
          </w:p>
        </w:tc>
      </w:tr>
      <w:tr>
        <w:trPr>
          <w:trHeight w:val="140"/>
        </w:trPr>
        <w:tc>
          <w:tcPr>
            <w:tcW w:w="9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3"/>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Repairs and maintenance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$27,617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$ 23,290</w:t>
            </w:r>
          </w:p>
        </w:tc>
      </w:tr>
      <w:tr>
        <w:trPr>
          <w:trHeight w:val="213"/>
        </w:trPr>
        <w:tc>
          <w:tcPr>
            <w:tcW w:w="9020" w:type="dxa"/>
            <w:vAlign w:val="bottom"/>
          </w:tcPr>
          <w:p>
            <w:pPr>
              <w:spacing w:after="0"/>
              <w:rPr>
                <w:sz w:val="20"/>
                <w:szCs w:val="20"/>
                <w:color w:val="auto"/>
              </w:rPr>
            </w:pPr>
            <w:r>
              <w:rPr>
                <w:rFonts w:ascii="Arial" w:cs="Arial" w:eastAsia="Arial" w:hAnsi="Arial"/>
                <w:sz w:val="17"/>
                <w:szCs w:val="17"/>
                <w:color w:val="auto"/>
              </w:rPr>
              <w:t>Utilities</w:t>
            </w:r>
          </w:p>
        </w:tc>
        <w:tc>
          <w:tcPr>
            <w:tcW w:w="560" w:type="dxa"/>
            <w:vAlign w:val="bottom"/>
          </w:tcPr>
          <w:p>
            <w:pPr>
              <w:jc w:val="right"/>
              <w:spacing w:after="0"/>
              <w:rPr>
                <w:sz w:val="20"/>
                <w:szCs w:val="20"/>
                <w:color w:val="auto"/>
              </w:rPr>
            </w:pPr>
            <w:r>
              <w:rPr>
                <w:rFonts w:ascii="Arial" w:cs="Arial" w:eastAsia="Arial" w:hAnsi="Arial"/>
                <w:sz w:val="17"/>
                <w:szCs w:val="17"/>
                <w:color w:val="auto"/>
              </w:rPr>
              <w:t>14,150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15,247</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12,710</w:t>
            </w:r>
          </w:p>
        </w:tc>
      </w:tr>
      <w:tr>
        <w:trPr>
          <w:trHeight w:val="213"/>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Management fees and costs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10,919</w:t>
            </w:r>
          </w:p>
        </w:tc>
      </w:tr>
      <w:tr>
        <w:trPr>
          <w:trHeight w:val="213"/>
        </w:trPr>
        <w:tc>
          <w:tcPr>
            <w:tcW w:w="9020" w:type="dxa"/>
            <w:vAlign w:val="bottom"/>
          </w:tcPr>
          <w:p>
            <w:pPr>
              <w:spacing w:after="0"/>
              <w:rPr>
                <w:sz w:val="20"/>
                <w:szCs w:val="20"/>
                <w:color w:val="auto"/>
              </w:rPr>
            </w:pPr>
            <w:r>
              <w:rPr>
                <w:rFonts w:ascii="Arial" w:cs="Arial" w:eastAsia="Arial" w:hAnsi="Arial"/>
                <w:sz w:val="17"/>
                <w:szCs w:val="17"/>
                <w:color w:val="auto"/>
              </w:rPr>
              <w:t>Insurance</w:t>
            </w:r>
          </w:p>
        </w:tc>
        <w:tc>
          <w:tcPr>
            <w:tcW w:w="560" w:type="dxa"/>
            <w:vAlign w:val="bottom"/>
          </w:tcPr>
          <w:p>
            <w:pPr>
              <w:jc w:val="right"/>
              <w:spacing w:after="0"/>
              <w:rPr>
                <w:sz w:val="20"/>
                <w:szCs w:val="20"/>
                <w:color w:val="auto"/>
              </w:rPr>
            </w:pPr>
            <w:r>
              <w:rPr>
                <w:rFonts w:ascii="Arial" w:cs="Arial" w:eastAsia="Arial" w:hAnsi="Arial"/>
                <w:sz w:val="17"/>
                <w:szCs w:val="17"/>
                <w:color w:val="auto"/>
              </w:rPr>
              <w:t>6,239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7,543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7,190</w:t>
            </w:r>
          </w:p>
        </w:tc>
      </w:tr>
      <w:tr>
        <w:trPr>
          <w:trHeight w:val="213"/>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Payroll — properties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7,642</w:t>
            </w:r>
          </w:p>
        </w:tc>
      </w:tr>
      <w:tr>
        <w:trPr>
          <w:trHeight w:val="213"/>
        </w:trPr>
        <w:tc>
          <w:tcPr>
            <w:tcW w:w="9020" w:type="dxa"/>
            <w:vAlign w:val="bottom"/>
          </w:tcPr>
          <w:p>
            <w:pPr>
              <w:spacing w:after="0"/>
              <w:rPr>
                <w:sz w:val="20"/>
                <w:szCs w:val="20"/>
                <w:color w:val="auto"/>
              </w:rPr>
            </w:pPr>
            <w:r>
              <w:rPr>
                <w:rFonts w:ascii="Arial" w:cs="Arial" w:eastAsia="Arial" w:hAnsi="Arial"/>
                <w:sz w:val="17"/>
                <w:szCs w:val="17"/>
                <w:color w:val="auto"/>
              </w:rPr>
              <w:t>Ground rent</w:t>
            </w:r>
          </w:p>
        </w:tc>
        <w:tc>
          <w:tcPr>
            <w:tcW w:w="560" w:type="dxa"/>
            <w:vAlign w:val="bottom"/>
          </w:tcPr>
          <w:p>
            <w:pPr>
              <w:jc w:val="right"/>
              <w:spacing w:after="0"/>
              <w:rPr>
                <w:sz w:val="20"/>
                <w:szCs w:val="20"/>
                <w:color w:val="auto"/>
              </w:rPr>
            </w:pPr>
            <w:r>
              <w:rPr>
                <w:rFonts w:ascii="Arial" w:cs="Arial" w:eastAsia="Arial" w:hAnsi="Arial"/>
                <w:sz w:val="17"/>
                <w:szCs w:val="17"/>
                <w:color w:val="auto"/>
              </w:rPr>
              <w:t>5,281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5,389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5,096</w:t>
            </w:r>
          </w:p>
        </w:tc>
      </w:tr>
      <w:tr>
        <w:trPr>
          <w:trHeight w:val="213"/>
        </w:trPr>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12,515</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16,913</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13,935</w:t>
            </w:r>
          </w:p>
        </w:tc>
      </w:tr>
      <w:tr>
        <w:trPr>
          <w:trHeight w:val="219"/>
        </w:trPr>
        <w:tc>
          <w:tcPr>
            <w:tcW w:w="9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85,086</w:t>
            </w:r>
          </w:p>
        </w:tc>
        <w:tc>
          <w:tcPr>
            <w:tcW w:w="9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90,209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$ 80,782</w:t>
            </w:r>
          </w:p>
        </w:tc>
      </w:tr>
      <w:tr>
        <w:trPr>
          <w:trHeight w:val="20"/>
        </w:trPr>
        <w:tc>
          <w:tcPr>
            <w:tcW w:w="9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NOTE 3. </w:t>
      </w:r>
      <w:r>
        <w:rPr>
          <w:rFonts w:ascii="Arial" w:cs="Arial" w:eastAsia="Arial" w:hAnsi="Arial"/>
          <w:sz w:val="17"/>
          <w:szCs w:val="17"/>
          <w:color w:val="auto"/>
        </w:rPr>
        <w:t>MORTGAGE NOTES RECEIVABLE</w:t>
      </w:r>
    </w:p>
    <w:p>
      <w:pPr>
        <w:spacing w:after="0" w:line="103" w:lineRule="exact"/>
        <w:rPr>
          <w:sz w:val="20"/>
          <w:szCs w:val="20"/>
          <w:color w:val="auto"/>
        </w:rPr>
      </w:pPr>
    </w:p>
    <w:p>
      <w:pPr>
        <w:ind w:right="140" w:firstLine="457"/>
        <w:spacing w:after="0" w:line="289" w:lineRule="auto"/>
        <w:rPr>
          <w:sz w:val="20"/>
          <w:szCs w:val="20"/>
          <w:color w:val="auto"/>
        </w:rPr>
      </w:pPr>
      <w:r>
        <w:rPr>
          <w:rFonts w:ascii="Arial" w:cs="Arial" w:eastAsia="Arial" w:hAnsi="Arial"/>
          <w:sz w:val="16"/>
          <w:szCs w:val="16"/>
          <w:color w:val="auto"/>
        </w:rPr>
        <w:t>At December 31, 2005 and 2004, we had mortgage notes receivable with an aggregate carrying amount of $40.5 million and $42.9 million, respectively, which is net of an allowance for collectibility of $4.5 million and $5.0 million, respectively. These mortgage notes are due over various terms from May 2011 to May 2021. At December 31, 2005 and 2004, our mortgages had a weighted average interest rate of 11.90% and 11.25%, respectively. Under the terms of certain of these mortgages, we receive additional interest based upon the gross income of the secured properties and, upon sale of the properties, we will share in the appreciation of the properties. One mortgage note can accrue up to an additional $2.2 million of unpaid interest under the mortgage.</w:t>
      </w:r>
    </w:p>
    <w:p>
      <w:pPr>
        <w:spacing w:after="0" w:line="116" w:lineRule="exact"/>
        <w:rPr>
          <w:sz w:val="20"/>
          <w:szCs w:val="20"/>
          <w:color w:val="auto"/>
        </w:rPr>
      </w:pPr>
    </w:p>
    <w:p>
      <w:pPr>
        <w:ind w:right="40" w:firstLine="457"/>
        <w:spacing w:after="0" w:line="291" w:lineRule="auto"/>
        <w:rPr>
          <w:sz w:val="20"/>
          <w:szCs w:val="20"/>
          <w:color w:val="auto"/>
        </w:rPr>
      </w:pPr>
      <w:r>
        <w:rPr>
          <w:rFonts w:ascii="Arial" w:cs="Arial" w:eastAsia="Arial" w:hAnsi="Arial"/>
          <w:sz w:val="17"/>
          <w:szCs w:val="17"/>
          <w:color w:val="auto"/>
        </w:rPr>
        <w:t>We made a $5.9 million loan secured by a building in San Francisco, California in January 2001 that was originally due February 28, 2003 but was not repaid on the due date. The loan was renegotiated with an interest rate of 6.0% and repaid in full on August 23, 2005.</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NOTE 4. </w:t>
      </w:r>
      <w:r>
        <w:rPr>
          <w:rFonts w:ascii="Arial" w:cs="Arial" w:eastAsia="Arial" w:hAnsi="Arial"/>
          <w:sz w:val="17"/>
          <w:szCs w:val="17"/>
          <w:color w:val="auto"/>
        </w:rPr>
        <w:t>REAL ESTATE PARTNERSHIP</w:t>
      </w:r>
    </w:p>
    <w:p>
      <w:pPr>
        <w:spacing w:after="0" w:line="103"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$42 million and $98 million, respectively, of equity capital to acquire properties with a targeted investment date through June 2006.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In 2004, the Partnership acquired four shopping centers in the East for $75.8 million. As of December 31, 2005, we have made total contributions of $9.4 million and received total distributions of $0.8 million. We account for our interest in the Partnership using the equity method.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277" w:right="239" w:bottom="1440" w:gutter="0" w:footer="0" w:header="0"/>
        </w:sectPr>
      </w:pPr>
    </w:p>
    <w:bookmarkStart w:id="78" w:name="page79"/>
    <w:bookmarkEnd w:id="7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The following are the summarized operating results and the financial position of the Partnership:</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6" w:lineRule="exact"/>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w w:val="93"/>
              </w:rPr>
              <w:t>(July 1, 2004)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w w:val="97"/>
              </w:rPr>
              <w:t>Year Ended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6" w:lineRule="exact"/>
              <w:rPr>
                <w:sz w:val="20"/>
                <w:szCs w:val="20"/>
                <w:color w:val="auto"/>
              </w:rPr>
            </w:pPr>
            <w:r>
              <w:rPr>
                <w:rFonts w:ascii="Arial" w:cs="Arial" w:eastAsia="Arial" w:hAnsi="Arial"/>
                <w:sz w:val="13"/>
                <w:szCs w:val="13"/>
                <w:b w:val="1"/>
                <w:bCs w:val="1"/>
                <w:color w:val="auto"/>
                <w:w w:val="81"/>
              </w:rPr>
              <w:t>to</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060" w:type="dxa"/>
            <w:vAlign w:val="bottom"/>
            <w:gridSpan w:val="3"/>
          </w:tcPr>
          <w:p>
            <w:pPr>
              <w:ind w:left="2260"/>
              <w:spacing w:after="0" w:line="146" w:lineRule="exact"/>
              <w:rPr>
                <w:sz w:val="20"/>
                <w:szCs w:val="20"/>
                <w:color w:val="auto"/>
              </w:rPr>
            </w:pPr>
            <w:r>
              <w:rPr>
                <w:rFonts w:ascii="Arial" w:cs="Arial" w:eastAsia="Arial" w:hAnsi="Arial"/>
                <w:sz w:val="13"/>
                <w:szCs w:val="13"/>
                <w:b w:val="1"/>
                <w:bCs w:val="1"/>
                <w:color w:val="auto"/>
                <w:w w:val="92"/>
              </w:rPr>
              <w:t>December 31,</w:t>
            </w:r>
          </w:p>
        </w:tc>
        <w:tc>
          <w:tcPr>
            <w:tcW w:w="1580" w:type="dxa"/>
            <w:vAlign w:val="bottom"/>
            <w:gridSpan w:val="3"/>
          </w:tcPr>
          <w:p>
            <w:pPr>
              <w:ind w:left="800"/>
              <w:spacing w:after="0" w:line="146"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2005</w:t>
            </w: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2004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line="140" w:lineRule="exact"/>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OPERATING RESULTS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Revenue</w:t>
            </w:r>
          </w:p>
        </w:tc>
        <w:tc>
          <w:tcPr>
            <w:tcW w:w="2440" w:type="dxa"/>
            <w:vAlign w:val="bottom"/>
            <w:gridSpan w:val="2"/>
          </w:tcPr>
          <w:p>
            <w:pPr>
              <w:ind w:left="2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8,384</w:t>
            </w:r>
          </w:p>
        </w:tc>
        <w:tc>
          <w:tcPr>
            <w:tcW w:w="900" w:type="dxa"/>
            <w:vAlign w:val="bottom"/>
            <w:gridSpan w:val="2"/>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2,099</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operating expenses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2,464</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2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6,741</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1,807</w:t>
            </w:r>
          </w:p>
        </w:tc>
        <w:tc>
          <w:tcPr>
            <w:tcW w:w="0" w:type="dxa"/>
            <w:vAlign w:val="bottom"/>
          </w:tcPr>
          <w:p>
            <w:pPr>
              <w:spacing w:after="0"/>
              <w:rPr>
                <w:sz w:val="1"/>
                <w:szCs w:val="1"/>
                <w:color w:val="auto"/>
              </w:rPr>
            </w:pPr>
          </w:p>
        </w:tc>
      </w:tr>
      <w:tr>
        <w:trPr>
          <w:trHeight w:val="219"/>
        </w:trPr>
        <w:tc>
          <w:tcPr>
            <w:tcW w:w="58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2440" w:type="dxa"/>
            <w:vAlign w:val="bottom"/>
            <w:gridSpan w:val="2"/>
          </w:tcPr>
          <w:p>
            <w:pPr>
              <w:ind w:left="2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1,643</w:t>
            </w:r>
          </w:p>
        </w:tc>
        <w:tc>
          <w:tcPr>
            <w:tcW w:w="900" w:type="dxa"/>
            <w:vAlign w:val="bottom"/>
            <w:gridSpan w:val="2"/>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Our share of net income from real estate partnership</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2005</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2004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line="140" w:lineRule="exact"/>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BALANCE SHEETS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Real estate, net</w:t>
            </w:r>
          </w:p>
        </w:tc>
        <w:tc>
          <w:tcPr>
            <w:tcW w:w="2440" w:type="dxa"/>
            <w:vAlign w:val="bottom"/>
            <w:gridSpan w:val="2"/>
          </w:tcPr>
          <w:p>
            <w:pPr>
              <w:ind w:left="2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79,050</w:t>
            </w:r>
          </w:p>
        </w:tc>
        <w:tc>
          <w:tcPr>
            <w:tcW w:w="900" w:type="dxa"/>
            <w:vAlign w:val="bottom"/>
            <w:gridSpan w:val="2"/>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80,345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Other assets</w:t>
            </w: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3,599</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84,101</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85,872</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7"/>
                <w:szCs w:val="17"/>
                <w:color w:val="auto"/>
              </w:rPr>
              <w:t>Mortgages payable</w:t>
            </w: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60" w:type="dxa"/>
            <w:vAlign w:val="bottom"/>
            <w:gridSpan w:val="2"/>
            <w:vMerge w:val="continue"/>
          </w:tcPr>
          <w:p>
            <w:pPr>
              <w:spacing w:after="0"/>
              <w:rPr>
                <w:sz w:val="17"/>
                <w:szCs w:val="17"/>
                <w:color w:val="auto"/>
              </w:rPr>
            </w:pPr>
          </w:p>
        </w:tc>
        <w:tc>
          <w:tcPr>
            <w:tcW w:w="2440" w:type="dxa"/>
            <w:vAlign w:val="bottom"/>
            <w:gridSpan w:val="2"/>
          </w:tcPr>
          <w:p>
            <w:pPr>
              <w:ind w:left="2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47,225</w:t>
            </w:r>
          </w:p>
        </w:tc>
        <w:tc>
          <w:tcPr>
            <w:tcW w:w="900" w:type="dxa"/>
            <w:vAlign w:val="bottom"/>
            <w:gridSpan w:val="2"/>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47,225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Partners’ capital</w:t>
            </w: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31,370</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 and partners’ capital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84,101</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85,872</w:t>
            </w: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860" w:type="dxa"/>
            <w:vAlign w:val="bottom"/>
            <w:gridSpan w:val="2"/>
          </w:tcPr>
          <w:p>
            <w:pPr>
              <w:spacing w:after="0"/>
              <w:rPr>
                <w:sz w:val="20"/>
                <w:szCs w:val="20"/>
                <w:color w:val="auto"/>
              </w:rPr>
            </w:pPr>
            <w:r>
              <w:rPr>
                <w:rFonts w:ascii="Arial" w:cs="Arial" w:eastAsia="Arial" w:hAnsi="Arial"/>
                <w:sz w:val="17"/>
                <w:szCs w:val="17"/>
                <w:color w:val="auto"/>
              </w:rPr>
              <w:t>Our share of unconsolidated debt</w:t>
            </w:r>
          </w:p>
        </w:tc>
        <w:tc>
          <w:tcPr>
            <w:tcW w:w="2440" w:type="dxa"/>
            <w:vAlign w:val="bottom"/>
            <w:gridSpan w:val="2"/>
          </w:tcPr>
          <w:p>
            <w:pPr>
              <w:ind w:left="2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14,168</w:t>
            </w:r>
          </w:p>
        </w:tc>
        <w:tc>
          <w:tcPr>
            <w:tcW w:w="900" w:type="dxa"/>
            <w:vAlign w:val="bottom"/>
            <w:gridSpan w:val="2"/>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Our investment in real estate partnership</w:t>
            </w:r>
          </w:p>
        </w:tc>
        <w:tc>
          <w:tcPr>
            <w:tcW w:w="2440" w:type="dxa"/>
            <w:vAlign w:val="bottom"/>
            <w:gridSpan w:val="2"/>
            <w:shd w:val="clear" w:color="auto" w:fill="CCEEFF"/>
          </w:tcPr>
          <w:p>
            <w:pPr>
              <w:ind w:left="2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7"/>
          <w:szCs w:val="17"/>
          <w:color w:val="auto"/>
        </w:rPr>
        <w:t>For mortgage notes totaling $36.7 million at December 31, 2005 that are secured by three properties owned by subsidiaries of the Partnership,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040"/>
          </w:cols>
          <w:pgMar w:left="240" w:top="277" w:right="619" w:bottom="1440" w:gutter="0" w:footer="0" w:header="0"/>
        </w:sectPr>
      </w:pPr>
    </w:p>
    <w:bookmarkStart w:id="79" w:name="page80"/>
    <w:bookmarkEnd w:id="79"/>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 xml:space="preserve">NOTE 5. </w:t>
      </w:r>
      <w:r>
        <w:rPr>
          <w:rFonts w:ascii="Arial" w:cs="Arial" w:eastAsia="Arial" w:hAnsi="Arial"/>
          <w:sz w:val="17"/>
          <w:szCs w:val="17"/>
          <w:color w:val="auto"/>
        </w:rPr>
        <w:t>FAIR VALUE OF FINANCIAL INSTRUMENTS</w:t>
      </w:r>
    </w:p>
    <w:p>
      <w:pPr>
        <w:spacing w:after="0" w:line="103" w:lineRule="exact"/>
        <w:rPr>
          <w:sz w:val="20"/>
          <w:szCs w:val="20"/>
          <w:color w:val="auto"/>
        </w:rPr>
      </w:pPr>
    </w:p>
    <w:p>
      <w:pPr>
        <w:ind w:right="300" w:firstLine="457"/>
        <w:spacing w:after="0" w:line="287"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are generally used to estimate the fair value of our mortgages and notes payable, using current interest rates for similar mortgages and notes.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3"/>
                <w:szCs w:val="13"/>
                <w:b w:val="1"/>
                <w:bCs w:val="1"/>
                <w:color w:val="auto"/>
              </w:rPr>
              <w:t>December 31, 2005</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December 31, 2004</w:t>
            </w:r>
          </w:p>
        </w:tc>
      </w:tr>
      <w:tr>
        <w:trPr>
          <w:trHeight w:val="127"/>
        </w:trPr>
        <w:tc>
          <w:tcPr>
            <w:tcW w:w="47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20"/>
              <w:spacing w:after="0" w:line="127"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
              <w:spacing w:after="0" w:line="127"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47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w w:val="93"/>
              </w:rPr>
              <w:t>Fair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3"/>
              </w:rPr>
              <w:t>Fair Value</w:t>
            </w:r>
          </w:p>
        </w:tc>
      </w:tr>
      <w:tr>
        <w:trPr>
          <w:trHeight w:val="140"/>
        </w:trPr>
        <w:tc>
          <w:tcPr>
            <w:tcW w:w="47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4"/>
              <w:spacing w:after="0" w:line="140" w:lineRule="exact"/>
              <w:rPr>
                <w:sz w:val="20"/>
                <w:szCs w:val="20"/>
                <w:color w:val="auto"/>
              </w:rPr>
            </w:pPr>
            <w:r>
              <w:rPr>
                <w:rFonts w:ascii="Arial" w:cs="Arial" w:eastAsia="Arial" w:hAnsi="Arial"/>
                <w:sz w:val="13"/>
                <w:szCs w:val="13"/>
                <w:b w:val="1"/>
                <w:bCs w:val="1"/>
                <w:color w:val="auto"/>
              </w:rPr>
              <w:t>(In</w:t>
            </w:r>
          </w:p>
        </w:tc>
        <w:tc>
          <w:tcPr>
            <w:tcW w:w="1040" w:type="dxa"/>
            <w:vAlign w:val="bottom"/>
            <w:gridSpan w:val="3"/>
          </w:tcPr>
          <w:p>
            <w:pPr>
              <w:jc w:val="center"/>
              <w:ind w:right="425"/>
              <w:spacing w:after="0" w:line="140" w:lineRule="exact"/>
              <w:rPr>
                <w:sz w:val="20"/>
                <w:szCs w:val="20"/>
                <w:color w:val="auto"/>
              </w:rPr>
            </w:pPr>
            <w:r>
              <w:rPr>
                <w:rFonts w:ascii="Arial" w:cs="Arial" w:eastAsia="Arial" w:hAnsi="Arial"/>
                <w:sz w:val="13"/>
                <w:szCs w:val="13"/>
                <w:b w:val="1"/>
                <w:bCs w:val="1"/>
                <w:color w:val="auto"/>
                <w:w w:val="77"/>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3"/>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Mortgages and notes payable</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587,653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599,667</w:t>
            </w:r>
          </w:p>
        </w:tc>
        <w:tc>
          <w:tcPr>
            <w:tcW w:w="340" w:type="dxa"/>
            <w:vAlign w:val="bottom"/>
            <w:gridSpan w:val="2"/>
            <w:shd w:val="clear" w:color="auto" w:fill="CCEEFF"/>
          </w:tcPr>
          <w:p>
            <w:pPr>
              <w:jc w:val="center"/>
              <w:ind w:left="14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576,936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600,431</w:t>
            </w:r>
          </w:p>
        </w:tc>
      </w:tr>
      <w:tr>
        <w:trPr>
          <w:trHeight w:val="220"/>
        </w:trPr>
        <w:tc>
          <w:tcPr>
            <w:tcW w:w="4780" w:type="dxa"/>
            <w:vAlign w:val="bottom"/>
          </w:tcPr>
          <w:p>
            <w:pPr>
              <w:spacing w:after="0"/>
              <w:rPr>
                <w:sz w:val="20"/>
                <w:szCs w:val="20"/>
                <w:color w:val="auto"/>
              </w:rPr>
            </w:pPr>
            <w:r>
              <w:rPr>
                <w:rFonts w:ascii="Arial" w:cs="Arial" w:eastAsia="Arial" w:hAnsi="Arial"/>
                <w:sz w:val="17"/>
                <w:szCs w:val="17"/>
                <w:color w:val="auto"/>
              </w:rPr>
              <w:t>Senior notes</w:t>
            </w:r>
          </w:p>
        </w:tc>
        <w:tc>
          <w:tcPr>
            <w:tcW w:w="28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ind w:left="120"/>
              <w:spacing w:after="0"/>
              <w:rPr>
                <w:sz w:val="20"/>
                <w:szCs w:val="20"/>
                <w:color w:val="auto"/>
              </w:rPr>
            </w:pPr>
            <w:r>
              <w:rPr>
                <w:rFonts w:ascii="Arial" w:cs="Arial" w:eastAsia="Arial" w:hAnsi="Arial"/>
                <w:sz w:val="17"/>
                <w:szCs w:val="17"/>
                <w:color w:val="auto"/>
                <w:w w:val="87"/>
              </w:rPr>
              <w:t>653,675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675,278</w:t>
            </w:r>
          </w:p>
        </w:tc>
        <w:tc>
          <w:tcPr>
            <w:tcW w:w="340" w:type="dxa"/>
            <w:vAlign w:val="bottom"/>
            <w:gridSpan w:val="2"/>
          </w:tcPr>
          <w:p>
            <w:pPr>
              <w:jc w:val="center"/>
              <w:ind w:left="14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ind w:left="120"/>
              <w:spacing w:after="0"/>
              <w:rPr>
                <w:sz w:val="20"/>
                <w:szCs w:val="20"/>
                <w:color w:val="auto"/>
              </w:rPr>
            </w:pPr>
            <w:r>
              <w:rPr>
                <w:rFonts w:ascii="Arial" w:cs="Arial" w:eastAsia="Arial" w:hAnsi="Arial"/>
                <w:sz w:val="17"/>
                <w:szCs w:val="17"/>
                <w:color w:val="auto"/>
              </w:rPr>
              <w:t>568,121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613,529</w:t>
            </w:r>
          </w:p>
        </w:tc>
      </w:tr>
    </w:tbl>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NOTE 6. </w:t>
      </w:r>
      <w:r>
        <w:rPr>
          <w:rFonts w:ascii="Arial" w:cs="Arial" w:eastAsia="Arial" w:hAnsi="Arial"/>
          <w:sz w:val="17"/>
          <w:szCs w:val="17"/>
          <w:color w:val="auto"/>
        </w:rPr>
        <w:t>NOTES PAYABLE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notes payable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rPr>
              <w:t>Original</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Principal Balance as of</w:t>
            </w:r>
          </w:p>
        </w:tc>
        <w:tc>
          <w:tcPr>
            <w:tcW w:w="340" w:type="dxa"/>
            <w:vAlign w:val="bottom"/>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 as of</w:t>
            </w:r>
          </w:p>
        </w:tc>
        <w:tc>
          <w:tcPr>
            <w:tcW w:w="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spacing w:after="0" w:line="127"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420"/>
              <w:spacing w:after="0" w:line="127" w:lineRule="exact"/>
              <w:rPr>
                <w:sz w:val="20"/>
                <w:szCs w:val="20"/>
                <w:color w:val="auto"/>
              </w:rPr>
            </w:pPr>
            <w:r>
              <w:rPr>
                <w:rFonts w:ascii="Arial" w:cs="Arial" w:eastAsia="Arial" w:hAnsi="Arial"/>
                <w:sz w:val="13"/>
                <w:szCs w:val="13"/>
                <w:b w:val="1"/>
                <w:bCs w:val="1"/>
                <w:color w:val="auto"/>
                <w:w w:val="89"/>
              </w:rPr>
              <w:t>December 31,</w:t>
            </w:r>
          </w:p>
        </w:tc>
        <w:tc>
          <w:tcPr>
            <w:tcW w:w="146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2"/>
              </w:rPr>
              <w:t>December 31,</w:t>
            </w:r>
          </w:p>
        </w:tc>
        <w:tc>
          <w:tcPr>
            <w:tcW w:w="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Description of Debt</w:t>
            </w:r>
          </w:p>
        </w:tc>
        <w:tc>
          <w:tcPr>
            <w:tcW w:w="32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Debt Issued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2005</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2004</w:t>
            </w:r>
          </w:p>
        </w:tc>
        <w:tc>
          <w:tcPr>
            <w:tcW w:w="3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2005</w:t>
            </w:r>
          </w:p>
        </w:tc>
        <w:tc>
          <w:tcPr>
            <w:tcW w:w="320" w:type="dxa"/>
            <w:vAlign w:val="bottom"/>
          </w:tcPr>
          <w:p>
            <w:pPr>
              <w:spacing w:after="0"/>
              <w:rPr>
                <w:sz w:val="14"/>
                <w:szCs w:val="14"/>
                <w:color w:val="auto"/>
              </w:rPr>
            </w:pPr>
          </w:p>
        </w:tc>
        <w:tc>
          <w:tcPr>
            <w:tcW w:w="17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88"/>
              </w:rPr>
              <w:t>(Dollars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Revolving credit facilities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55,500</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55,000</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LIBOR + 0.75%</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8, 2006</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7"/>
                <w:szCs w:val="17"/>
                <w:color w:val="auto"/>
              </w:rPr>
              <w:t>Term note with banks</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100,000</w:t>
            </w:r>
          </w:p>
        </w:tc>
        <w:tc>
          <w:tcPr>
            <w:tcW w:w="1780" w:type="dxa"/>
            <w:vAlign w:val="bottom"/>
            <w:gridSpan w:val="2"/>
          </w:tcPr>
          <w:p>
            <w:pPr>
              <w:jc w:val="right"/>
              <w:ind w:right="320"/>
              <w:spacing w:after="0"/>
              <w:rPr>
                <w:sz w:val="20"/>
                <w:szCs w:val="20"/>
                <w:color w:val="auto"/>
              </w:rPr>
            </w:pPr>
            <w:r>
              <w:rPr>
                <w:rFonts w:ascii="Arial" w:cs="Arial" w:eastAsia="Arial" w:hAnsi="Arial"/>
                <w:sz w:val="17"/>
                <w:szCs w:val="17"/>
                <w:color w:val="auto"/>
              </w:rPr>
              <w:t>LIBOR + 0.95%</w:t>
            </w:r>
          </w:p>
        </w:tc>
        <w:tc>
          <w:tcPr>
            <w:tcW w:w="1760" w:type="dxa"/>
            <w:vAlign w:val="bottom"/>
          </w:tcPr>
          <w:p>
            <w:pPr>
              <w:jc w:val="right"/>
              <w:spacing w:after="0"/>
              <w:rPr>
                <w:sz w:val="20"/>
                <w:szCs w:val="20"/>
                <w:color w:val="auto"/>
              </w:rPr>
            </w:pPr>
            <w:r>
              <w:rPr>
                <w:rFonts w:ascii="Arial" w:cs="Arial" w:eastAsia="Arial" w:hAnsi="Arial"/>
                <w:sz w:val="17"/>
                <w:szCs w:val="17"/>
                <w:color w:val="auto"/>
              </w:rPr>
              <w:t>October 8, 2006</w:t>
            </w: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Term note with banks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150,000</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LIBOR + 0.95%</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8, 2008</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7"/>
                <w:szCs w:val="17"/>
                <w:color w:val="auto"/>
              </w:rPr>
              <w:t>Perring Plaza Renovation</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3,087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1,977</w:t>
            </w:r>
          </w:p>
        </w:tc>
        <w:tc>
          <w:tcPr>
            <w:tcW w:w="1780" w:type="dxa"/>
            <w:vAlign w:val="bottom"/>
            <w:gridSpan w:val="2"/>
          </w:tcPr>
          <w:p>
            <w:pPr>
              <w:jc w:val="right"/>
              <w:ind w:right="320"/>
              <w:spacing w:after="0"/>
              <w:rPr>
                <w:sz w:val="20"/>
                <w:szCs w:val="20"/>
                <w:color w:val="auto"/>
              </w:rPr>
            </w:pPr>
            <w:r>
              <w:rPr>
                <w:rFonts w:ascii="Arial" w:cs="Arial" w:eastAsia="Arial" w:hAnsi="Arial"/>
                <w:sz w:val="17"/>
                <w:szCs w:val="17"/>
                <w:color w:val="auto"/>
              </w:rPr>
              <w:t>10.00%</w:t>
            </w:r>
          </w:p>
        </w:tc>
        <w:tc>
          <w:tcPr>
            <w:tcW w:w="1760" w:type="dxa"/>
            <w:vAlign w:val="bottom"/>
          </w:tcPr>
          <w:p>
            <w:pPr>
              <w:jc w:val="right"/>
              <w:spacing w:after="0"/>
              <w:rPr>
                <w:sz w:val="20"/>
                <w:szCs w:val="20"/>
                <w:color w:val="auto"/>
              </w:rPr>
            </w:pPr>
            <w:r>
              <w:rPr>
                <w:rFonts w:ascii="Arial" w:cs="Arial" w:eastAsia="Arial" w:hAnsi="Arial"/>
                <w:sz w:val="17"/>
                <w:szCs w:val="17"/>
                <w:color w:val="auto"/>
              </w:rPr>
              <w:t>January 31, 2013</w:t>
            </w: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Escondido (Municipal Bonds)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9,400</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1, 2016</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7"/>
                <w:szCs w:val="17"/>
                <w:color w:val="auto"/>
              </w:rPr>
              <w:t>Loehmann’s Redemption Note</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8,629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8,629</w:t>
            </w:r>
          </w:p>
        </w:tc>
        <w:tc>
          <w:tcPr>
            <w:tcW w:w="1780" w:type="dxa"/>
            <w:vAlign w:val="bottom"/>
            <w:gridSpan w:val="2"/>
          </w:tcPr>
          <w:p>
            <w:pPr>
              <w:jc w:val="right"/>
              <w:ind w:right="320"/>
              <w:spacing w:after="0"/>
              <w:rPr>
                <w:sz w:val="20"/>
                <w:szCs w:val="20"/>
                <w:color w:val="auto"/>
              </w:rPr>
            </w:pPr>
            <w:r>
              <w:rPr>
                <w:rFonts w:ascii="Arial" w:cs="Arial" w:eastAsia="Arial" w:hAnsi="Arial"/>
                <w:sz w:val="17"/>
                <w:szCs w:val="17"/>
                <w:color w:val="auto"/>
              </w:rPr>
              <w:t>2.34%</w:t>
            </w:r>
          </w:p>
        </w:tc>
        <w:tc>
          <w:tcPr>
            <w:tcW w:w="1760" w:type="dxa"/>
            <w:vAlign w:val="bottom"/>
          </w:tcPr>
          <w:p>
            <w:pPr>
              <w:jc w:val="right"/>
              <w:spacing w:after="0"/>
              <w:rPr>
                <w:sz w:val="20"/>
                <w:szCs w:val="20"/>
                <w:color w:val="auto"/>
              </w:rPr>
            </w:pPr>
            <w:r>
              <w:rPr>
                <w:rFonts w:ascii="Arial" w:cs="Arial" w:eastAsia="Arial" w:hAnsi="Arial"/>
                <w:sz w:val="17"/>
                <w:szCs w:val="17"/>
                <w:color w:val="auto"/>
              </w:rPr>
              <w:t>September 27, 2006</w:t>
            </w: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45</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Various</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Various</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7"/>
                <w:szCs w:val="17"/>
                <w:color w:val="auto"/>
              </w:rPr>
              <w:t>Total notes payable</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3"/>
          </w:tcPr>
          <w:p>
            <w:pPr>
              <w:ind w:left="34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316,755</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325,051</w:t>
            </w: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20" w:firstLine="457"/>
        <w:spacing w:after="0" w:line="301" w:lineRule="auto"/>
        <w:rPr>
          <w:sz w:val="20"/>
          <w:szCs w:val="20"/>
          <w:color w:val="auto"/>
        </w:rPr>
      </w:pPr>
      <w:r>
        <w:rPr>
          <w:rFonts w:ascii="Arial" w:cs="Arial" w:eastAsia="Arial" w:hAnsi="Arial"/>
          <w:sz w:val="16"/>
          <w:szCs w:val="16"/>
          <w:color w:val="auto"/>
        </w:rPr>
        <w:t>We have a $550 million unsecured credit facility consisting of a $150 million five-year term loan, a $100 million three-year term loan, and a $300 million three-year revolving credit facility, with a one-year 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106"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7"/>
          <w:szCs w:val="17"/>
          <w:color w:val="auto"/>
        </w:rPr>
        <w:t>In January 2004, to hedge our exposure to interest rate fluctuations on the $150 million five-year term loan, we entered into an interest rate swap, which fixed the LIBOR portion of the interest rate on the term loan at 2.401% through October 2006. The current interest rate, taking into account the swap, is 3.351% (2.401% plus 95 basis points) on a notional amount of $150 million. This swap qualifies as a cash flow hedge as discussed in Note 1.</w:t>
      </w:r>
    </w:p>
    <w:p>
      <w:pPr>
        <w:spacing w:after="0" w:line="124" w:lineRule="exact"/>
        <w:rPr>
          <w:sz w:val="20"/>
          <w:szCs w:val="20"/>
          <w:color w:val="auto"/>
        </w:rPr>
      </w:pPr>
    </w:p>
    <w:p>
      <w:pPr>
        <w:ind w:right="40" w:firstLine="457"/>
        <w:spacing w:after="0" w:line="318" w:lineRule="auto"/>
        <w:rPr>
          <w:sz w:val="20"/>
          <w:szCs w:val="20"/>
          <w:color w:val="auto"/>
        </w:rPr>
      </w:pPr>
      <w:r>
        <w:rPr>
          <w:rFonts w:ascii="Arial" w:cs="Arial" w:eastAsia="Arial" w:hAnsi="Arial"/>
          <w:sz w:val="15"/>
          <w:szCs w:val="15"/>
          <w:color w:val="auto"/>
        </w:rPr>
        <w:t>The maximum amount drawn under our revolving credit facilities during 2005, 2004 and 2003 was $159.7 million, $165.0 million and $215.0 million, respectively. In 2005, 2004 and 2003, the weighted average interest rate on borrowings was 3.7%, 2.2% and 3.4%, respectively, and the average amount outstanding was $105.1 million, $74.4 million and $96.9 million, respectively. The facility requires us to comply with various financial covenants, including the maintenance of a minimum shareholders’ equity and a maximum ratio of debt to net worth. At December 31, 2005, we were in compliance with all loan covenants.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271" w:right="239" w:bottom="1440" w:gutter="0" w:footer="0" w:header="0"/>
        </w:sectPr>
      </w:pPr>
    </w:p>
    <w:bookmarkStart w:id="80" w:name="page81"/>
    <w:bookmarkEnd w:id="80"/>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NOTE 7</w:t>
      </w:r>
      <w:r>
        <w:rPr>
          <w:rFonts w:ascii="Arial" w:cs="Arial" w:eastAsia="Arial" w:hAnsi="Arial"/>
          <w:sz w:val="17"/>
          <w:szCs w:val="17"/>
          <w:color w:val="auto"/>
        </w:rPr>
        <w:t>. SENIOR NOTES AND DEBENTURES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Unsecured senior notes and debentures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r>
      <w:tr>
        <w:trPr>
          <w:trHeight w:val="140"/>
        </w:trPr>
        <w:tc>
          <w:tcPr>
            <w:tcW w:w="4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0" w:lineRule="exact"/>
              <w:rPr>
                <w:sz w:val="20"/>
                <w:szCs w:val="20"/>
                <w:color w:val="auto"/>
              </w:rPr>
            </w:pPr>
            <w:r>
              <w:rPr>
                <w:rFonts w:ascii="Arial" w:cs="Arial" w:eastAsia="Arial" w:hAnsi="Arial"/>
                <w:sz w:val="13"/>
                <w:szCs w:val="13"/>
                <w:b w:val="1"/>
                <w:bCs w:val="1"/>
                <w:color w:val="auto"/>
              </w:rPr>
              <w:t>2005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2"/>
                <w:szCs w:val="12"/>
                <w:color w:val="auto"/>
              </w:rPr>
            </w:pPr>
          </w:p>
        </w:tc>
      </w:tr>
      <w:tr>
        <w:trPr>
          <w:trHeight w:val="140"/>
        </w:trPr>
        <w:tc>
          <w:tcPr>
            <w:tcW w:w="4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4"/>
          </w:tcPr>
          <w:p>
            <w:pPr>
              <w:jc w:val="right"/>
              <w:ind w:right="375"/>
              <w:spacing w:after="0" w:line="140" w:lineRule="exact"/>
              <w:rPr>
                <w:sz w:val="20"/>
                <w:szCs w:val="20"/>
                <w:color w:val="auto"/>
              </w:rPr>
            </w:pPr>
            <w:r>
              <w:rPr>
                <w:rFonts w:ascii="Arial" w:cs="Arial" w:eastAsia="Arial" w:hAnsi="Arial"/>
                <w:sz w:val="13"/>
                <w:szCs w:val="13"/>
                <w:b w:val="1"/>
                <w:bCs w:val="1"/>
                <w:color w:val="auto"/>
                <w:w w:val="82"/>
              </w:rPr>
              <w:t>thousands)</w:t>
            </w:r>
          </w:p>
        </w:tc>
        <w:tc>
          <w:tcPr>
            <w:tcW w:w="60" w:type="dxa"/>
            <w:vAlign w:val="bottom"/>
          </w:tcPr>
          <w:p>
            <w:pPr>
              <w:spacing w:after="0"/>
              <w:rPr>
                <w:sz w:val="12"/>
                <w:szCs w:val="12"/>
                <w:color w:val="auto"/>
              </w:rPr>
            </w:pPr>
          </w:p>
        </w:tc>
      </w:tr>
      <w:tr>
        <w:trPr>
          <w:trHeight w:val="213"/>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6.625% Notes due December 1, 2005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60" w:type="dxa"/>
            <w:vAlign w:val="bottom"/>
            <w:shd w:val="clear" w:color="auto" w:fill="CCEEFF"/>
          </w:tcPr>
          <w:p>
            <w:pPr>
              <w:spacing w:after="0"/>
              <w:rPr>
                <w:sz w:val="18"/>
                <w:szCs w:val="18"/>
                <w:color w:val="auto"/>
              </w:rPr>
            </w:pPr>
          </w:p>
        </w:tc>
      </w:tr>
      <w:tr>
        <w:trPr>
          <w:trHeight w:val="213"/>
        </w:trPr>
        <w:tc>
          <w:tcPr>
            <w:tcW w:w="480" w:type="dxa"/>
            <w:vAlign w:val="bottom"/>
          </w:tcPr>
          <w:p>
            <w:pPr>
              <w:spacing w:after="0"/>
              <w:rPr>
                <w:sz w:val="20"/>
                <w:szCs w:val="20"/>
                <w:color w:val="auto"/>
              </w:rPr>
            </w:pPr>
            <w:r>
              <w:rPr>
                <w:rFonts w:ascii="Arial" w:cs="Arial" w:eastAsia="Arial" w:hAnsi="Arial"/>
                <w:sz w:val="17"/>
                <w:szCs w:val="17"/>
                <w:color w:val="auto"/>
                <w:w w:val="95"/>
              </w:rPr>
              <w:t>6.99%</w:t>
            </w:r>
          </w:p>
        </w:tc>
        <w:tc>
          <w:tcPr>
            <w:tcW w:w="7520" w:type="dxa"/>
            <w:vAlign w:val="bottom"/>
          </w:tcPr>
          <w:p>
            <w:pPr>
              <w:ind w:left="20"/>
              <w:spacing w:after="0"/>
              <w:rPr>
                <w:sz w:val="20"/>
                <w:szCs w:val="20"/>
                <w:color w:val="auto"/>
              </w:rPr>
            </w:pPr>
            <w:r>
              <w:rPr>
                <w:rFonts w:ascii="Arial" w:cs="Arial" w:eastAsia="Arial" w:hAnsi="Arial"/>
                <w:sz w:val="17"/>
                <w:szCs w:val="17"/>
                <w:color w:val="auto"/>
              </w:rPr>
              <w:t>Medium-term notes due March 10, 2006</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40,500</w:t>
            </w:r>
          </w:p>
        </w:tc>
        <w:tc>
          <w:tcPr>
            <w:tcW w:w="60" w:type="dxa"/>
            <w:vAlign w:val="bottom"/>
          </w:tcPr>
          <w:p>
            <w:pPr>
              <w:spacing w:after="0"/>
              <w:rPr>
                <w:sz w:val="18"/>
                <w:szCs w:val="18"/>
                <w:color w:val="auto"/>
              </w:rPr>
            </w:pPr>
          </w:p>
        </w:tc>
      </w:tr>
      <w:tr>
        <w:trPr>
          <w:trHeight w:val="213"/>
        </w:trPr>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95"/>
              </w:rPr>
              <w:t>6.82%</w:t>
            </w:r>
          </w:p>
        </w:tc>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Medium-term notes due August 1, 2027, redeemable at par by holder August 1, 2007</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60" w:type="dxa"/>
            <w:vAlign w:val="bottom"/>
            <w:shd w:val="clear" w:color="auto" w:fill="CCEEFF"/>
          </w:tcPr>
          <w:p>
            <w:pPr>
              <w:spacing w:after="0"/>
              <w:rPr>
                <w:sz w:val="18"/>
                <w:szCs w:val="18"/>
                <w:color w:val="auto"/>
              </w:rPr>
            </w:pPr>
          </w:p>
        </w:tc>
      </w:tr>
      <w:tr>
        <w:trPr>
          <w:trHeight w:val="213"/>
        </w:trPr>
        <w:tc>
          <w:tcPr>
            <w:tcW w:w="8000" w:type="dxa"/>
            <w:vAlign w:val="bottom"/>
            <w:gridSpan w:val="2"/>
          </w:tcPr>
          <w:p>
            <w:pPr>
              <w:spacing w:after="0"/>
              <w:rPr>
                <w:sz w:val="20"/>
                <w:szCs w:val="20"/>
                <w:color w:val="auto"/>
              </w:rPr>
            </w:pPr>
            <w:r>
              <w:rPr>
                <w:rFonts w:ascii="Arial" w:cs="Arial" w:eastAsia="Arial" w:hAnsi="Arial"/>
                <w:sz w:val="17"/>
                <w:szCs w:val="17"/>
                <w:color w:val="auto"/>
              </w:rPr>
              <w:t>6.125% Notes due November 15, 2007</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150,000</w:t>
            </w:r>
          </w:p>
        </w:tc>
        <w:tc>
          <w:tcPr>
            <w:tcW w:w="60" w:type="dxa"/>
            <w:vAlign w:val="bottom"/>
          </w:tcPr>
          <w:p>
            <w:pPr>
              <w:spacing w:after="0"/>
              <w:rPr>
                <w:sz w:val="18"/>
                <w:szCs w:val="18"/>
                <w:color w:val="auto"/>
              </w:rPr>
            </w:pPr>
          </w:p>
        </w:tc>
      </w:tr>
      <w:tr>
        <w:trPr>
          <w:trHeight w:val="213"/>
        </w:trPr>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95"/>
              </w:rPr>
              <w:t>7.48%</w:t>
            </w:r>
          </w:p>
        </w:tc>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Debentures due August 15, 2026, redeemable at par by holder August 15, 2008</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60" w:type="dxa"/>
            <w:vAlign w:val="bottom"/>
            <w:shd w:val="clear" w:color="auto" w:fill="CCEEFF"/>
          </w:tcPr>
          <w:p>
            <w:pPr>
              <w:spacing w:after="0"/>
              <w:rPr>
                <w:sz w:val="18"/>
                <w:szCs w:val="18"/>
                <w:color w:val="auto"/>
              </w:rPr>
            </w:pPr>
          </w:p>
        </w:tc>
      </w:tr>
      <w:tr>
        <w:trPr>
          <w:trHeight w:val="213"/>
        </w:trPr>
        <w:tc>
          <w:tcPr>
            <w:tcW w:w="480" w:type="dxa"/>
            <w:vAlign w:val="bottom"/>
          </w:tcPr>
          <w:p>
            <w:pPr>
              <w:spacing w:after="0"/>
              <w:rPr>
                <w:sz w:val="20"/>
                <w:szCs w:val="20"/>
                <w:color w:val="auto"/>
              </w:rPr>
            </w:pPr>
            <w:r>
              <w:rPr>
                <w:rFonts w:ascii="Arial" w:cs="Arial" w:eastAsia="Arial" w:hAnsi="Arial"/>
                <w:sz w:val="17"/>
                <w:szCs w:val="17"/>
                <w:color w:val="auto"/>
                <w:w w:val="95"/>
              </w:rPr>
              <w:t>8.75%</w:t>
            </w:r>
          </w:p>
        </w:tc>
        <w:tc>
          <w:tcPr>
            <w:tcW w:w="7520" w:type="dxa"/>
            <w:vAlign w:val="bottom"/>
          </w:tcPr>
          <w:p>
            <w:pPr>
              <w:ind w:left="20"/>
              <w:spacing w:after="0"/>
              <w:rPr>
                <w:sz w:val="20"/>
                <w:szCs w:val="20"/>
                <w:color w:val="auto"/>
              </w:rPr>
            </w:pPr>
            <w:r>
              <w:rPr>
                <w:rFonts w:ascii="Arial" w:cs="Arial" w:eastAsia="Arial" w:hAnsi="Arial"/>
                <w:sz w:val="17"/>
                <w:szCs w:val="17"/>
                <w:color w:val="auto"/>
              </w:rPr>
              <w:t>Notes due December 1, 2009</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175,000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175,000</w:t>
            </w:r>
          </w:p>
        </w:tc>
        <w:tc>
          <w:tcPr>
            <w:tcW w:w="60" w:type="dxa"/>
            <w:vAlign w:val="bottom"/>
          </w:tcPr>
          <w:p>
            <w:pPr>
              <w:spacing w:after="0"/>
              <w:rPr>
                <w:sz w:val="18"/>
                <w:szCs w:val="18"/>
                <w:color w:val="auto"/>
              </w:rPr>
            </w:pPr>
          </w:p>
        </w:tc>
      </w:tr>
      <w:tr>
        <w:trPr>
          <w:trHeight w:val="213"/>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4.5% Notes due February 15, 2011</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60" w:type="dxa"/>
            <w:vAlign w:val="bottom"/>
            <w:shd w:val="clear" w:color="auto" w:fill="CCEEFF"/>
          </w:tcPr>
          <w:p>
            <w:pPr>
              <w:spacing w:after="0"/>
              <w:rPr>
                <w:sz w:val="18"/>
                <w:szCs w:val="18"/>
                <w:color w:val="auto"/>
              </w:rPr>
            </w:pPr>
          </w:p>
        </w:tc>
      </w:tr>
      <w:tr>
        <w:trPr>
          <w:trHeight w:val="219"/>
        </w:trPr>
        <w:tc>
          <w:tcPr>
            <w:tcW w:w="480" w:type="dxa"/>
            <w:vAlign w:val="bottom"/>
          </w:tcPr>
          <w:p>
            <w:pPr>
              <w:spacing w:after="0"/>
              <w:rPr>
                <w:sz w:val="20"/>
                <w:szCs w:val="20"/>
                <w:color w:val="auto"/>
              </w:rPr>
            </w:pPr>
            <w:r>
              <w:rPr>
                <w:rFonts w:ascii="Arial" w:cs="Arial" w:eastAsia="Arial" w:hAnsi="Arial"/>
                <w:sz w:val="17"/>
                <w:szCs w:val="17"/>
                <w:color w:val="auto"/>
                <w:w w:val="95"/>
              </w:rPr>
              <w:t>5.65%</w:t>
            </w:r>
          </w:p>
        </w:tc>
        <w:tc>
          <w:tcPr>
            <w:tcW w:w="7520" w:type="dxa"/>
            <w:vAlign w:val="bottom"/>
          </w:tcPr>
          <w:p>
            <w:pPr>
              <w:ind w:left="20"/>
              <w:spacing w:after="0"/>
              <w:rPr>
                <w:sz w:val="20"/>
                <w:szCs w:val="20"/>
                <w:color w:val="auto"/>
              </w:rPr>
            </w:pPr>
            <w:r>
              <w:rPr>
                <w:rFonts w:ascii="Arial" w:cs="Arial" w:eastAsia="Arial" w:hAnsi="Arial"/>
                <w:sz w:val="17"/>
                <w:szCs w:val="17"/>
                <w:color w:val="auto"/>
              </w:rPr>
              <w:t>Notes due June 1, 2016</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125,000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3"/>
        </w:trPr>
        <w:tc>
          <w:tcPr>
            <w:tcW w:w="4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655,500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570,500</w:t>
            </w:r>
          </w:p>
        </w:tc>
        <w:tc>
          <w:tcPr>
            <w:tcW w:w="60" w:type="dxa"/>
            <w:vAlign w:val="bottom"/>
            <w:shd w:val="clear" w:color="auto" w:fill="CCEEFF"/>
          </w:tcPr>
          <w:p>
            <w:pPr>
              <w:spacing w:after="0"/>
              <w:rPr>
                <w:sz w:val="18"/>
                <w:szCs w:val="18"/>
                <w:color w:val="auto"/>
              </w:rPr>
            </w:pPr>
          </w:p>
        </w:tc>
      </w:tr>
      <w:tr>
        <w:trPr>
          <w:trHeight w:val="219"/>
        </w:trPr>
        <w:tc>
          <w:tcPr>
            <w:tcW w:w="8000" w:type="dxa"/>
            <w:vAlign w:val="bottom"/>
            <w:gridSpan w:val="2"/>
          </w:tcPr>
          <w:p>
            <w:pPr>
              <w:spacing w:after="0"/>
              <w:rPr>
                <w:sz w:val="20"/>
                <w:szCs w:val="20"/>
                <w:color w:val="auto"/>
              </w:rPr>
            </w:pPr>
            <w:r>
              <w:rPr>
                <w:rFonts w:ascii="Arial" w:cs="Arial" w:eastAsia="Arial" w:hAnsi="Arial"/>
                <w:sz w:val="17"/>
                <w:szCs w:val="17"/>
                <w:color w:val="auto"/>
              </w:rPr>
              <w:t>Less: unamortized debt discount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13"/>
              <w:spacing w:after="0"/>
              <w:rPr>
                <w:sz w:val="20"/>
                <w:szCs w:val="20"/>
                <w:color w:val="auto"/>
              </w:rPr>
            </w:pPr>
            <w:r>
              <w:rPr>
                <w:rFonts w:ascii="Arial" w:cs="Arial" w:eastAsia="Arial" w:hAnsi="Arial"/>
                <w:sz w:val="17"/>
                <w:szCs w:val="17"/>
                <w:color w:val="auto"/>
              </w:rPr>
              <w:t>(1,825)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(2,379)</w:t>
            </w:r>
          </w:p>
        </w:tc>
      </w:tr>
      <w:tr>
        <w:trPr>
          <w:trHeight w:val="213"/>
        </w:trPr>
        <w:tc>
          <w:tcPr>
            <w:tcW w:w="4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653,675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568,121</w:t>
            </w:r>
          </w:p>
        </w:tc>
        <w:tc>
          <w:tcPr>
            <w:tcW w:w="60" w:type="dxa"/>
            <w:vAlign w:val="bottom"/>
            <w:shd w:val="clear" w:color="auto" w:fill="CCEEFF"/>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00" w:firstLine="457"/>
        <w:spacing w:after="0" w:line="291" w:lineRule="auto"/>
        <w:rPr>
          <w:sz w:val="20"/>
          <w:szCs w:val="20"/>
          <w:color w:val="auto"/>
        </w:rPr>
      </w:pPr>
      <w:r>
        <w:rPr>
          <w:rFonts w:ascii="Arial" w:cs="Arial" w:eastAsia="Arial" w:hAnsi="Arial"/>
          <w:sz w:val="17"/>
          <w:szCs w:val="17"/>
          <w:color w:val="auto"/>
        </w:rPr>
        <w:t>These loan agreements contain various covenants, including limitations on the amount of debt and minimum debt service coverage ratios. At December 31, 2005, we were in compliance with all covenants. No principal is due on these notes prior to maturity.</w:t>
      </w:r>
    </w:p>
    <w:p>
      <w:pPr>
        <w:spacing w:after="0" w:line="111"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In October 2002, we filed a $500 million shelf registration statement, declared effective on November 6, 2002, with the Securities and Exchange Commission which allows the issuance of debt securities, preferred shares and common shares. As of December 31, 2005, $100 million was available under our shelf registration.</w:t>
      </w:r>
    </w:p>
    <w:p>
      <w:pPr>
        <w:spacing w:after="0" w:line="124" w:lineRule="exact"/>
        <w:rPr>
          <w:sz w:val="20"/>
          <w:szCs w:val="20"/>
          <w:color w:val="auto"/>
        </w:rPr>
      </w:pPr>
    </w:p>
    <w:p>
      <w:pPr>
        <w:ind w:right="80" w:firstLine="457"/>
        <w:spacing w:after="0" w:line="291" w:lineRule="auto"/>
        <w:rPr>
          <w:sz w:val="20"/>
          <w:szCs w:val="20"/>
          <w:color w:val="auto"/>
        </w:rPr>
      </w:pPr>
      <w:r>
        <w:rPr>
          <w:rFonts w:ascii="Arial" w:cs="Arial" w:eastAsia="Arial" w:hAnsi="Arial"/>
          <w:sz w:val="17"/>
          <w:szCs w:val="17"/>
          <w:color w:val="auto"/>
        </w:rPr>
        <w:t>On January 26, 2004, we issued $75 million of fixed rate notes, which mature in February 2011 and bear interest at 4.50%. The proceeds of this note offering were used to pay down our revolving credit facility by $50 million and the remainder was used for general corporate purposes.</w:t>
      </w:r>
    </w:p>
    <w:p>
      <w:pPr>
        <w:spacing w:after="0" w:line="111" w:lineRule="exact"/>
        <w:rPr>
          <w:sz w:val="20"/>
          <w:szCs w:val="20"/>
          <w:color w:val="auto"/>
        </w:rPr>
      </w:pPr>
    </w:p>
    <w:p>
      <w:pPr>
        <w:ind w:right="100" w:firstLine="457"/>
        <w:spacing w:after="0" w:line="291" w:lineRule="auto"/>
        <w:rPr>
          <w:sz w:val="20"/>
          <w:szCs w:val="20"/>
          <w:color w:val="auto"/>
        </w:rPr>
      </w:pPr>
      <w:r>
        <w:rPr>
          <w:rFonts w:ascii="Arial" w:cs="Arial" w:eastAsia="Arial" w:hAnsi="Arial"/>
          <w:sz w:val="17"/>
          <w:szCs w:val="17"/>
          <w:color w:val="auto"/>
        </w:rPr>
        <w:t>We paid off our 6.74% Medium Term Notes on their due date of March 10, 2004 for their full principal balance of $39.5 million plus accrued interest of $1.2 million.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paid off our 6.625% Notes on their due dates of December 1, 2005 for their full principal balance of $40.0 million plus accrued interest of $1.3 million.</w:t>
      </w:r>
    </w:p>
    <w:p>
      <w:pPr>
        <w:spacing w:after="0" w:line="189" w:lineRule="exact"/>
        <w:rPr>
          <w:sz w:val="20"/>
          <w:szCs w:val="20"/>
          <w:color w:val="auto"/>
        </w:rPr>
      </w:pPr>
    </w:p>
    <w:p>
      <w:pPr>
        <w:ind w:right="280" w:firstLine="457"/>
        <w:spacing w:after="0" w:line="291" w:lineRule="auto"/>
        <w:rPr>
          <w:sz w:val="20"/>
          <w:szCs w:val="20"/>
          <w:color w:val="auto"/>
        </w:rPr>
      </w:pPr>
      <w:r>
        <w:rPr>
          <w:rFonts w:ascii="Arial" w:cs="Arial" w:eastAsia="Arial" w:hAnsi="Arial"/>
          <w:sz w:val="17"/>
          <w:szCs w:val="17"/>
          <w:color w:val="auto"/>
        </w:rPr>
        <w:t>On December 2, 2005 we issued $125 million of fixed rate notes which mature in June 2016 and bear interest at 5.65%. The proceeds of this note offering were used to pay down our revolving credit facility, including amounts drawn to pay off our 6.625% Notes due December 2005.</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NOTE 8. </w:t>
      </w:r>
      <w:r>
        <w:rPr>
          <w:rFonts w:ascii="Arial" w:cs="Arial" w:eastAsia="Arial" w:hAnsi="Arial"/>
          <w:sz w:val="17"/>
          <w:szCs w:val="17"/>
          <w:color w:val="auto"/>
        </w:rPr>
        <w:t>DIVIDENDS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dividends declared and paid per share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tcPr>
          <w:p>
            <w:pPr>
              <w:ind w:left="26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940" w:type="dxa"/>
            <w:vAlign w:val="bottom"/>
            <w:gridSpan w:val="3"/>
          </w:tcPr>
          <w:p>
            <w:pPr>
              <w:ind w:left="280"/>
              <w:spacing w:after="0"/>
              <w:rPr>
                <w:sz w:val="20"/>
                <w:szCs w:val="20"/>
                <w:color w:val="auto"/>
              </w:rPr>
            </w:pPr>
            <w:r>
              <w:rPr>
                <w:rFonts w:ascii="Arial" w:cs="Arial" w:eastAsia="Arial" w:hAnsi="Arial"/>
                <w:sz w:val="13"/>
                <w:szCs w:val="13"/>
                <w:b w:val="1"/>
                <w:bCs w:val="1"/>
                <w:color w:val="auto"/>
                <w:w w:val="89"/>
              </w:rPr>
              <w:t>Year Ended</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ind w:left="260"/>
              <w:spacing w:after="0"/>
              <w:rPr>
                <w:sz w:val="20"/>
                <w:szCs w:val="20"/>
                <w:color w:val="auto"/>
              </w:rPr>
            </w:pPr>
            <w:r>
              <w:rPr>
                <w:rFonts w:ascii="Arial" w:cs="Arial" w:eastAsia="Arial" w:hAnsi="Arial"/>
                <w:sz w:val="13"/>
                <w:szCs w:val="13"/>
                <w:b w:val="1"/>
                <w:bCs w:val="1"/>
                <w:color w:val="auto"/>
                <w:w w:val="92"/>
              </w:rPr>
              <w:t>Year Ended</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b w:val="1"/>
                <w:bCs w:val="1"/>
                <w:color w:val="auto"/>
              </w:rPr>
              <w:t>December 31, 2005</w:t>
            </w:r>
          </w:p>
        </w:tc>
        <w:tc>
          <w:tcPr>
            <w:tcW w:w="140" w:type="dxa"/>
            <w:vAlign w:val="bottom"/>
          </w:tcPr>
          <w:p>
            <w:pPr>
              <w:spacing w:after="0"/>
              <w:rPr>
                <w:sz w:val="13"/>
                <w:szCs w:val="13"/>
                <w:color w:val="auto"/>
              </w:rPr>
            </w:pPr>
          </w:p>
        </w:tc>
        <w:tc>
          <w:tcPr>
            <w:tcW w:w="1360" w:type="dxa"/>
            <w:vAlign w:val="bottom"/>
            <w:gridSpan w:val="4"/>
          </w:tcPr>
          <w:p>
            <w:pPr>
              <w:ind w:left="80"/>
              <w:spacing w:after="0"/>
              <w:rPr>
                <w:sz w:val="20"/>
                <w:szCs w:val="20"/>
                <w:color w:val="auto"/>
              </w:rPr>
            </w:pPr>
            <w:r>
              <w:rPr>
                <w:rFonts w:ascii="Arial" w:cs="Arial" w:eastAsia="Arial" w:hAnsi="Arial"/>
                <w:sz w:val="13"/>
                <w:szCs w:val="13"/>
                <w:b w:val="1"/>
                <w:bCs w:val="1"/>
                <w:color w:val="auto"/>
              </w:rPr>
              <w:t>December 31, 2004</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5"/>
          </w:tcPr>
          <w:p>
            <w:pPr>
              <w:ind w:left="60"/>
              <w:spacing w:after="0"/>
              <w:rPr>
                <w:sz w:val="20"/>
                <w:szCs w:val="20"/>
                <w:color w:val="auto"/>
              </w:rPr>
            </w:pPr>
            <w:r>
              <w:rPr>
                <w:rFonts w:ascii="Arial" w:cs="Arial" w:eastAsia="Arial" w:hAnsi="Arial"/>
                <w:sz w:val="13"/>
                <w:szCs w:val="13"/>
                <w:b w:val="1"/>
                <w:bCs w:val="1"/>
                <w:color w:val="auto"/>
              </w:rPr>
              <w:t>December 31, 2003</w:t>
            </w:r>
          </w:p>
        </w:tc>
      </w:tr>
      <w:tr>
        <w:trPr>
          <w:trHeight w:val="140"/>
        </w:trPr>
        <w:tc>
          <w:tcPr>
            <w:tcW w:w="4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ind w:left="40"/>
              <w:spacing w:after="0" w:line="140" w:lineRule="exact"/>
              <w:rPr>
                <w:sz w:val="20"/>
                <w:szCs w:val="20"/>
                <w:color w:val="auto"/>
              </w:rPr>
            </w:pPr>
            <w:r>
              <w:rPr>
                <w:rFonts w:ascii="Arial" w:cs="Arial" w:eastAsia="Arial" w:hAnsi="Arial"/>
                <w:sz w:val="13"/>
                <w:szCs w:val="13"/>
                <w:b w:val="1"/>
                <w:bCs w:val="1"/>
                <w:color w:val="auto"/>
                <w:w w:val="94"/>
              </w:rPr>
              <w:t>Declared</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0" w:lineRule="exact"/>
              <w:rPr>
                <w:sz w:val="20"/>
                <w:szCs w:val="20"/>
                <w:color w:val="auto"/>
              </w:rPr>
            </w:pPr>
            <w:r>
              <w:rPr>
                <w:rFonts w:ascii="Arial" w:cs="Arial" w:eastAsia="Arial" w:hAnsi="Arial"/>
                <w:sz w:val="13"/>
                <w:szCs w:val="13"/>
                <w:b w:val="1"/>
                <w:bCs w:val="1"/>
                <w:color w:val="auto"/>
              </w:rPr>
              <w:t>Paid</w:t>
            </w:r>
          </w:p>
        </w:tc>
        <w:tc>
          <w:tcPr>
            <w:tcW w:w="3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ind w:left="40"/>
              <w:spacing w:after="0" w:line="140" w:lineRule="exact"/>
              <w:rPr>
                <w:sz w:val="20"/>
                <w:szCs w:val="20"/>
                <w:color w:val="auto"/>
              </w:rPr>
            </w:pPr>
            <w:r>
              <w:rPr>
                <w:rFonts w:ascii="Arial" w:cs="Arial" w:eastAsia="Arial" w:hAnsi="Arial"/>
                <w:sz w:val="13"/>
                <w:szCs w:val="13"/>
                <w:b w:val="1"/>
                <w:bCs w:val="1"/>
                <w:color w:val="auto"/>
                <w:w w:val="98"/>
              </w:rPr>
              <w:t>Declared</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b w:val="1"/>
                <w:bCs w:val="1"/>
                <w:color w:val="auto"/>
              </w:rPr>
              <w:t>Paid</w:t>
            </w:r>
          </w:p>
        </w:tc>
        <w:tc>
          <w:tcPr>
            <w:tcW w:w="32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ind w:left="60"/>
              <w:spacing w:after="0" w:line="140" w:lineRule="exact"/>
              <w:rPr>
                <w:sz w:val="20"/>
                <w:szCs w:val="20"/>
                <w:color w:val="auto"/>
              </w:rPr>
            </w:pPr>
            <w:r>
              <w:rPr>
                <w:rFonts w:ascii="Arial" w:cs="Arial" w:eastAsia="Arial" w:hAnsi="Arial"/>
                <w:sz w:val="13"/>
                <w:szCs w:val="13"/>
                <w:b w:val="1"/>
                <w:bCs w:val="1"/>
                <w:color w:val="auto"/>
                <w:w w:val="94"/>
              </w:rPr>
              <w:t>Declared</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80"/>
              <w:spacing w:after="0" w:line="140" w:lineRule="exact"/>
              <w:rPr>
                <w:sz w:val="20"/>
                <w:szCs w:val="20"/>
                <w:color w:val="auto"/>
              </w:rPr>
            </w:pPr>
            <w:r>
              <w:rPr>
                <w:rFonts w:ascii="Arial" w:cs="Arial" w:eastAsia="Arial" w:hAnsi="Arial"/>
                <w:sz w:val="13"/>
                <w:szCs w:val="13"/>
                <w:b w:val="1"/>
                <w:bCs w:val="1"/>
                <w:color w:val="auto"/>
                <w:w w:val="87"/>
              </w:rPr>
              <w:t>Paid</w:t>
            </w:r>
          </w:p>
        </w:tc>
        <w:tc>
          <w:tcPr>
            <w:tcW w:w="20" w:type="dxa"/>
            <w:vAlign w:val="bottom"/>
          </w:tcPr>
          <w:p>
            <w:pPr>
              <w:spacing w:after="0"/>
              <w:rPr>
                <w:sz w:val="12"/>
                <w:szCs w:val="12"/>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2.370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2.320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1.990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1.975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1.950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1.945</w:t>
            </w:r>
          </w:p>
        </w:tc>
        <w:tc>
          <w:tcPr>
            <w:tcW w:w="20" w:type="dxa"/>
            <w:vAlign w:val="bottom"/>
          </w:tcPr>
          <w:p>
            <w:pPr>
              <w:spacing w:after="0"/>
              <w:rPr>
                <w:sz w:val="17"/>
                <w:szCs w:val="17"/>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8.5% Series B Cumulative Redeemable Preferred</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0"/>
              <w:spacing w:after="0"/>
              <w:rPr>
                <w:sz w:val="20"/>
                <w:szCs w:val="20"/>
                <w:color w:val="auto"/>
              </w:rPr>
            </w:pPr>
            <w:r>
              <w:rPr>
                <w:rFonts w:ascii="Arial" w:cs="Arial" w:eastAsia="Arial" w:hAnsi="Arial"/>
                <w:sz w:val="17"/>
                <w:szCs w:val="17"/>
                <w:color w:val="auto"/>
              </w:rPr>
              <w:t>2.125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2.125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ind w:left="80"/>
              <w:spacing w:after="0"/>
              <w:rPr>
                <w:sz w:val="20"/>
                <w:szCs w:val="20"/>
                <w:color w:val="auto"/>
              </w:rPr>
            </w:pPr>
            <w:r>
              <w:rPr>
                <w:rFonts w:ascii="Arial" w:cs="Arial" w:eastAsia="Arial" w:hAnsi="Arial"/>
                <w:sz w:val="17"/>
                <w:szCs w:val="17"/>
                <w:color w:val="auto"/>
                <w:w w:val="84"/>
              </w:rPr>
              <w:t>2.125</w:t>
            </w: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20" w:type="dxa"/>
            <w:vAlign w:val="bottom"/>
          </w:tcPr>
          <w:p>
            <w:pPr>
              <w:ind w:left="20"/>
              <w:spacing w:after="0"/>
              <w:rPr>
                <w:sz w:val="20"/>
                <w:szCs w:val="20"/>
                <w:color w:val="auto"/>
              </w:rPr>
            </w:pPr>
            <w:r>
              <w:rPr>
                <w:rFonts w:ascii="Arial" w:cs="Arial" w:eastAsia="Arial" w:hAnsi="Arial"/>
                <w:sz w:val="17"/>
                <w:szCs w:val="17"/>
                <w:color w:val="auto"/>
                <w:w w:val="89"/>
              </w:rPr>
              <w:t>2.125</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2.125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2.125</w:t>
            </w:r>
          </w:p>
        </w:tc>
        <w:tc>
          <w:tcPr>
            <w:tcW w:w="20" w:type="dxa"/>
            <w:vAlign w:val="bottom"/>
          </w:tcPr>
          <w:p>
            <w:pPr>
              <w:spacing w:after="0"/>
              <w:rPr>
                <w:sz w:val="19"/>
                <w:szCs w:val="19"/>
                <w:color w:val="auto"/>
              </w:rPr>
            </w:pPr>
          </w:p>
        </w:tc>
      </w:tr>
      <w:tr>
        <w:trPr>
          <w:trHeight w:val="351"/>
        </w:trPr>
        <w:tc>
          <w:tcPr>
            <w:tcW w:w="4480" w:type="dxa"/>
            <w:vAlign w:val="bottom"/>
          </w:tcPr>
          <w:p>
            <w:pPr>
              <w:spacing w:after="0"/>
              <w:rPr>
                <w:sz w:val="24"/>
                <w:szCs w:val="24"/>
                <w:color w:val="auto"/>
              </w:rPr>
            </w:pPr>
          </w:p>
        </w:tc>
        <w:tc>
          <w:tcPr>
            <w:tcW w:w="1940" w:type="dxa"/>
            <w:vAlign w:val="bottom"/>
            <w:gridSpan w:val="2"/>
          </w:tcPr>
          <w:p>
            <w:pPr>
              <w:jc w:val="right"/>
              <w:ind w:right="473"/>
              <w:spacing w:after="0"/>
              <w:rPr>
                <w:sz w:val="20"/>
                <w:szCs w:val="20"/>
                <w:color w:val="auto"/>
              </w:rPr>
            </w:pPr>
            <w:r>
              <w:rPr>
                <w:rFonts w:ascii="Arial" w:cs="Arial" w:eastAsia="Arial" w:hAnsi="Arial"/>
                <w:sz w:val="17"/>
                <w:szCs w:val="17"/>
                <w:color w:val="auto"/>
              </w:rPr>
              <w:t>F-22</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 summary of the income tax status of dividends per share paid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80" w:type="dxa"/>
            <w:vAlign w:val="bottom"/>
          </w:tcPr>
          <w:p>
            <w:pPr>
              <w:spacing w:after="0"/>
              <w:rPr>
                <w:sz w:val="13"/>
                <w:szCs w:val="13"/>
                <w:color w:val="auto"/>
              </w:rPr>
            </w:pPr>
          </w:p>
        </w:tc>
        <w:tc>
          <w:tcPr>
            <w:tcW w:w="2160" w:type="dxa"/>
            <w:vAlign w:val="bottom"/>
            <w:gridSpan w:val="6"/>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0"/>
        </w:trPr>
        <w:tc>
          <w:tcPr>
            <w:tcW w:w="9280" w:type="dxa"/>
            <w:vAlign w:val="bottom"/>
          </w:tcPr>
          <w:p>
            <w:pPr>
              <w:spacing w:after="0"/>
              <w:rPr>
                <w:sz w:val="12"/>
                <w:szCs w:val="12"/>
                <w:color w:val="auto"/>
              </w:rPr>
            </w:pPr>
          </w:p>
        </w:tc>
        <w:tc>
          <w:tcPr>
            <w:tcW w:w="500" w:type="dxa"/>
            <w:vAlign w:val="bottom"/>
            <w:tcBorders>
              <w:top w:val="single" w:sz="8" w:color="auto"/>
            </w:tcBorders>
          </w:tcPr>
          <w:p>
            <w:pPr>
              <w:jc w:val="right"/>
              <w:ind w:right="38"/>
              <w:spacing w:after="0" w:line="140" w:lineRule="exact"/>
              <w:rPr>
                <w:sz w:val="20"/>
                <w:szCs w:val="20"/>
                <w:color w:val="auto"/>
              </w:rPr>
            </w:pPr>
            <w:r>
              <w:rPr>
                <w:rFonts w:ascii="Arial" w:cs="Arial" w:eastAsia="Arial" w:hAnsi="Arial"/>
                <w:sz w:val="13"/>
                <w:szCs w:val="13"/>
                <w:b w:val="1"/>
                <w:bCs w:val="1"/>
                <w:color w:val="auto"/>
              </w:rPr>
              <w:t>2005</w:t>
            </w:r>
          </w:p>
        </w:tc>
        <w:tc>
          <w:tcPr>
            <w:tcW w:w="820" w:type="dxa"/>
            <w:vAlign w:val="bottom"/>
            <w:tcBorders>
              <w:top w:val="single" w:sz="8" w:color="auto"/>
            </w:tcBorders>
            <w:gridSpan w:val="2"/>
          </w:tcPr>
          <w:p>
            <w:pPr>
              <w:jc w:val="right"/>
              <w:ind w:right="34"/>
              <w:spacing w:after="0" w:line="140" w:lineRule="exact"/>
              <w:rPr>
                <w:sz w:val="20"/>
                <w:szCs w:val="20"/>
                <w:color w:val="auto"/>
              </w:rPr>
            </w:pPr>
            <w:r>
              <w:rPr>
                <w:rFonts w:ascii="Arial" w:cs="Arial" w:eastAsia="Arial" w:hAnsi="Arial"/>
                <w:sz w:val="13"/>
                <w:szCs w:val="13"/>
                <w:b w:val="1"/>
                <w:bCs w:val="1"/>
                <w:color w:val="auto"/>
              </w:rPr>
              <w:t>2004</w:t>
            </w:r>
          </w:p>
        </w:tc>
        <w:tc>
          <w:tcPr>
            <w:tcW w:w="820" w:type="dxa"/>
            <w:vAlign w:val="bottom"/>
            <w:tcBorders>
              <w:top w:val="single" w:sz="8" w:color="auto"/>
            </w:tcBorders>
            <w:gridSpan w:val="2"/>
          </w:tcPr>
          <w:p>
            <w:pPr>
              <w:jc w:val="right"/>
              <w:ind w:right="34"/>
              <w:spacing w:after="0" w:line="140" w:lineRule="exact"/>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928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80" w:type="dxa"/>
            <w:vAlign w:val="bottom"/>
          </w:tcPr>
          <w:p>
            <w:pPr>
              <w:ind w:left="440"/>
              <w:spacing w:after="0"/>
              <w:rPr>
                <w:sz w:val="20"/>
                <w:szCs w:val="20"/>
                <w:color w:val="auto"/>
              </w:rPr>
            </w:pPr>
            <w:r>
              <w:rPr>
                <w:rFonts w:ascii="Arial" w:cs="Arial" w:eastAsia="Arial" w:hAnsi="Arial"/>
                <w:sz w:val="17"/>
                <w:szCs w:val="17"/>
                <w:color w:val="auto"/>
              </w:rPr>
              <w:t>Ordinary dividend</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$1.601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$1.876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Ordinary dividend eligible for 15% rate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0.093</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80" w:type="dxa"/>
            <w:vAlign w:val="bottom"/>
          </w:tcPr>
          <w:p>
            <w:pPr>
              <w:ind w:left="440"/>
              <w:spacing w:after="0"/>
              <w:rPr>
                <w:sz w:val="20"/>
                <w:szCs w:val="20"/>
                <w:color w:val="auto"/>
              </w:rPr>
            </w:pPr>
            <w:r>
              <w:rPr>
                <w:rFonts w:ascii="Arial" w:cs="Arial" w:eastAsia="Arial" w:hAnsi="Arial"/>
                <w:sz w:val="17"/>
                <w:szCs w:val="17"/>
                <w:color w:val="auto"/>
              </w:rPr>
              <w:t>Capital gain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0.626</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0.099</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2.320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7"/>
                <w:szCs w:val="17"/>
                <w:color w:val="auto"/>
              </w:rPr>
              <w:t>8.5% Series B Cumulative Redeemable Preferred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Ordinary dividend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80" w:type="dxa"/>
            <w:vAlign w:val="bottom"/>
          </w:tcPr>
          <w:p>
            <w:pPr>
              <w:ind w:left="440"/>
              <w:spacing w:after="0"/>
              <w:rPr>
                <w:sz w:val="20"/>
                <w:szCs w:val="20"/>
                <w:color w:val="auto"/>
              </w:rPr>
            </w:pPr>
            <w:r>
              <w:rPr>
                <w:rFonts w:ascii="Arial" w:cs="Arial" w:eastAsia="Arial" w:hAnsi="Arial"/>
                <w:sz w:val="17"/>
                <w:szCs w:val="17"/>
                <w:color w:val="auto"/>
              </w:rPr>
              <w:t>Capital gain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0.574</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0.106</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2.125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2.125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On October 28, 2005, the Trustees declared a quarterly cash dividend of $0.555 per common share, payable January 16, 2006 to common shareholders of record on January 3, 2006. Dividends declared in 2005 include a $0.20 special dividend paid on December 20, 2005. Also on October 28, 2005, the Trustees declared a quarterly cash dividend of $0.53125 per share on our Series B Cumulative Redeemable Preferred Shares, payable on January 31, 2006 to shareholders of record on January 16, 2006, respectively.</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NOTE 9. </w:t>
      </w:r>
      <w:r>
        <w:rPr>
          <w:rFonts w:ascii="Arial" w:cs="Arial" w:eastAsia="Arial" w:hAnsi="Arial"/>
          <w:sz w:val="17"/>
          <w:szCs w:val="17"/>
          <w:color w:val="auto"/>
        </w:rPr>
        <w:t>COMMITMENTS AND CONTINGENCIES</w:t>
      </w:r>
    </w:p>
    <w:p>
      <w:pPr>
        <w:spacing w:after="0" w:line="103"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are currently a party to various legal proceedings. We do not believe that the ultimate outcome of these matters, either individually or in the aggregate, will have a material adverse effect on our financial position or overall trends in results of operations; however, litigation is subject to inherent uncertainties. Currently, we have two matters expected to go to trial in 2006. Based on the facts of these matters and advice from our legal counsel, we believe that we will prevail in both matters. If, however, we are unsuccessful in our defense of either of these matters, there is a possibility that there will be a material adverse impact on our net income in the period in which we would pay the damages awarded in any adverse judgment.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5"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Any increases to our estimated warranty losses would usually result in a decrease in net income.</w:t>
      </w:r>
    </w:p>
    <w:p>
      <w:pPr>
        <w:spacing w:after="0" w:line="124"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actuary valuations and future increases in costs of claims, when making these determinations. If our liability costs exceed these accruals, it will reduce our net income.</w:t>
      </w:r>
    </w:p>
    <w:p>
      <w:pPr>
        <w:spacing w:after="0" w:line="133" w:lineRule="exact"/>
        <w:rPr>
          <w:sz w:val="20"/>
          <w:szCs w:val="20"/>
          <w:color w:val="auto"/>
        </w:rPr>
      </w:pPr>
    </w:p>
    <w:p>
      <w:pPr>
        <w:ind w:right="100" w:firstLine="457"/>
        <w:spacing w:after="0" w:line="362" w:lineRule="auto"/>
        <w:rPr>
          <w:sz w:val="20"/>
          <w:szCs w:val="20"/>
          <w:color w:val="auto"/>
        </w:rPr>
      </w:pPr>
      <w:r>
        <w:rPr>
          <w:rFonts w:ascii="Arial" w:cs="Arial" w:eastAsia="Arial" w:hAnsi="Arial"/>
          <w:sz w:val="15"/>
          <w:szCs w:val="15"/>
          <w:color w:val="auto"/>
        </w:rPr>
        <w:t>At December 31, 2005 and 2004, our reserves for warranties and general liability costs were $6.2 million and $2.9 million, respectively. Any potential losses which exceed our estimates would result in a decrease in our net income. During 2005 and 2004, we did not make any payments related to warranty claims.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277" w:right="239" w:bottom="1440" w:gutter="0" w:footer="0" w:header="0"/>
        </w:sectPr>
      </w:pPr>
    </w:p>
    <w:bookmarkStart w:id="82" w:name="page83"/>
    <w:bookmarkEnd w:id="82"/>
    <w:p>
      <w:pPr>
        <w:ind w:right="700" w:firstLine="457"/>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We are committed to invest approximately $13.3 million in restaurant joint ventures at Santana Row, of which $10.8 million has been invested as of December 31, 2005.</w:t>
      </w:r>
    </w:p>
    <w:p>
      <w:pPr>
        <w:spacing w:after="0" w:line="111" w:lineRule="exact"/>
        <w:rPr>
          <w:sz w:val="20"/>
          <w:szCs w:val="20"/>
          <w:color w:val="auto"/>
        </w:rPr>
      </w:pPr>
    </w:p>
    <w:p>
      <w:pPr>
        <w:ind w:right="100" w:firstLine="457"/>
        <w:spacing w:after="0" w:line="309" w:lineRule="auto"/>
        <w:rPr>
          <w:sz w:val="20"/>
          <w:szCs w:val="20"/>
          <w:color w:val="auto"/>
        </w:rPr>
      </w:pPr>
      <w:r>
        <w:rPr>
          <w:rFonts w:ascii="Arial" w:cs="Arial" w:eastAsia="Arial" w:hAnsi="Arial"/>
          <w:sz w:val="15"/>
          <w:szCs w:val="15"/>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2005, our estimated maximum liability upon exercise of the put option would range from approximately $40 million to $45 million. In conjunction with the construction of the apartments at the property that were completed in 2003, 8.03% of the third party’s interest in Congressional Plaza was re-allocated to us, effective January 1, 2004, thereby lowering the third party’s ownership percentage from 37.50% to its current level of 29.47%, as a result of our having funded approximately $7 million of the third party’s share of the redevelopment cost.</w:t>
      </w:r>
    </w:p>
    <w:p>
      <w:pPr>
        <w:spacing w:after="0" w:line="104" w:lineRule="exact"/>
        <w:rPr>
          <w:sz w:val="20"/>
          <w:szCs w:val="20"/>
          <w:color w:val="auto"/>
        </w:rPr>
      </w:pPr>
    </w:p>
    <w:p>
      <w:pPr>
        <w:ind w:right="40" w:firstLine="457"/>
        <w:spacing w:after="0" w:line="291" w:lineRule="auto"/>
        <w:rPr>
          <w:sz w:val="20"/>
          <w:szCs w:val="20"/>
          <w:color w:val="auto"/>
        </w:rPr>
      </w:pPr>
      <w:r>
        <w:rPr>
          <w:rFonts w:ascii="Arial" w:cs="Arial" w:eastAsia="Arial" w:hAnsi="Arial"/>
          <w:sz w:val="17"/>
          <w:szCs w:val="17"/>
          <w:color w:val="auto"/>
        </w:rPr>
        <w:t>Under the terms of various other partnership agreements for entities, the partners have the right to exchange their operating units for cash or the same number of our common shares, at our option. As of December 31, 2005, a total of 420,426 operating units are outstanding.</w:t>
      </w:r>
    </w:p>
    <w:p>
      <w:pPr>
        <w:spacing w:after="0" w:line="111"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We estimate our total obligation under the Agreement to be in the range of $1.6 million to $3.0 million. In 2005, 2004 and 2003, we funded approximately $0.3 million, $ 0.4 million and $0.4 million, respectively. In anticipation of further shortfalls of incremental tax revenues to the City, we have accrued approximately $0.4 million as of December 31, 2005 to cover additional payments we may be obligated to make as part of the project costs. Prior to the expiration of the Agreement on September 30, 2014, we could be required to provide funding beyond the $0.4 million currently accrued. However, we do not anticipate that our obligation would exceed $0.6 million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11" w:lineRule="exact"/>
        <w:rPr>
          <w:sz w:val="20"/>
          <w:szCs w:val="20"/>
          <w:color w:val="auto"/>
        </w:rPr>
      </w:pPr>
    </w:p>
    <w:p>
      <w:pPr>
        <w:ind w:right="320" w:firstLine="457"/>
        <w:spacing w:after="0" w:line="291" w:lineRule="auto"/>
        <w:rPr>
          <w:sz w:val="20"/>
          <w:szCs w:val="20"/>
          <w:color w:val="auto"/>
        </w:rPr>
      </w:pPr>
      <w:r>
        <w:rPr>
          <w:rFonts w:ascii="Arial" w:cs="Arial" w:eastAsia="Arial" w:hAnsi="Arial"/>
          <w:sz w:val="17"/>
          <w:szCs w:val="17"/>
          <w:color w:val="auto"/>
        </w:rPr>
        <w:t>We have three leases in which the lessor has a put option, which would require us to purchase the properties during the remaining lease term. If the lessor were to exercise this option in 2006, the purchase price would be approximately $63 million.</w:t>
      </w:r>
    </w:p>
    <w:p>
      <w:pPr>
        <w:spacing w:after="0" w:line="111"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11"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Upon completion of construction on or around June 1, 2006, we expect to take possession of certain retail space under a capital lease. The term of the capital lease is 99 years from the date of possession and requires annual cash payments of approximately $374,000 and will be adjusted every 20 years based on the Consumer Price Index and other factors.</w:t>
      </w:r>
    </w:p>
    <w:p>
      <w:pPr>
        <w:spacing w:after="0" w:line="124" w:lineRule="exact"/>
        <w:rPr>
          <w:sz w:val="20"/>
          <w:szCs w:val="20"/>
          <w:color w:val="auto"/>
        </w:rPr>
      </w:pPr>
    </w:p>
    <w:p>
      <w:pPr>
        <w:ind w:right="520" w:firstLine="457"/>
        <w:spacing w:after="0" w:line="291" w:lineRule="auto"/>
        <w:rPr>
          <w:sz w:val="20"/>
          <w:szCs w:val="20"/>
          <w:color w:val="auto"/>
        </w:rPr>
      </w:pPr>
      <w:r>
        <w:rPr>
          <w:rFonts w:ascii="Arial" w:cs="Arial" w:eastAsia="Arial" w:hAnsi="Arial"/>
          <w:sz w:val="17"/>
          <w:szCs w:val="17"/>
          <w:color w:val="auto"/>
        </w:rPr>
        <w:t>Upon completion of construction, we are committed to purchase certain retail space for $6.3 million. Construction of this retail space is expected to be completed in 2006.</w:t>
      </w:r>
    </w:p>
    <w:p>
      <w:pPr>
        <w:spacing w:after="0" w:line="111" w:lineRule="exact"/>
        <w:rPr>
          <w:sz w:val="20"/>
          <w:szCs w:val="20"/>
          <w:color w:val="auto"/>
        </w:rPr>
      </w:pPr>
    </w:p>
    <w:p>
      <w:pPr>
        <w:jc w:val="center"/>
        <w:ind w:left="320" w:right="380"/>
        <w:spacing w:after="0" w:line="471" w:lineRule="auto"/>
        <w:rPr>
          <w:sz w:val="20"/>
          <w:szCs w:val="20"/>
          <w:color w:val="auto"/>
        </w:rPr>
      </w:pPr>
      <w:r>
        <w:rPr>
          <w:rFonts w:ascii="Arial" w:cs="Arial" w:eastAsia="Arial" w:hAnsi="Arial"/>
          <w:sz w:val="17"/>
          <w:szCs w:val="17"/>
          <w:color w:val="auto"/>
        </w:rPr>
        <w:t>As of December 31, 2005 in connection with renovation and development projects, the Trust has contractual obligations of approximately $49.8 million. F-24</w:t>
      </w:r>
    </w:p>
    <w:p>
      <w:pPr>
        <w:sectPr>
          <w:pgSz w:w="11900" w:h="16838" w:orient="portrait"/>
          <w:cols w:equalWidth="0" w:num="1">
            <w:col w:w="11400"/>
          </w:cols>
          <w:pgMar w:left="240" w:top="277" w:right="259" w:bottom="1440" w:gutter="0" w:footer="0" w:header="0"/>
        </w:sectPr>
      </w:pPr>
    </w:p>
    <w:bookmarkStart w:id="83" w:name="page84"/>
    <w:bookmarkEnd w:id="8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We are obligated under ground lease agreements on several shopping centers requiring minimum annual payments as follows, as of December 31, 2005:</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59"/>
        </w:trPr>
        <w:tc>
          <w:tcPr>
            <w:tcW w:w="87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89"/>
              </w:rPr>
              <w:t>(In thousands)</w:t>
            </w:r>
          </w:p>
        </w:tc>
      </w:tr>
      <w:tr>
        <w:trPr>
          <w:trHeight w:val="213"/>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3"/>
        </w:trPr>
        <w:tc>
          <w:tcPr>
            <w:tcW w:w="8760" w:type="dxa"/>
            <w:vAlign w:val="bottom"/>
          </w:tcPr>
          <w:p>
            <w:pPr>
              <w:spacing w:after="0"/>
              <w:rPr>
                <w:sz w:val="20"/>
                <w:szCs w:val="20"/>
                <w:color w:val="auto"/>
              </w:rPr>
            </w:pPr>
            <w:r>
              <w:rPr>
                <w:rFonts w:ascii="Arial" w:cs="Arial" w:eastAsia="Arial" w:hAnsi="Arial"/>
                <w:sz w:val="17"/>
                <w:szCs w:val="17"/>
                <w:color w:val="auto"/>
              </w:rPr>
              <w:t>2006</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4,551</w:t>
            </w:r>
          </w:p>
        </w:tc>
      </w:tr>
      <w:tr>
        <w:trPr>
          <w:trHeight w:val="213"/>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4,598</w:t>
            </w:r>
          </w:p>
        </w:tc>
      </w:tr>
      <w:tr>
        <w:trPr>
          <w:trHeight w:val="213"/>
        </w:trPr>
        <w:tc>
          <w:tcPr>
            <w:tcW w:w="8760" w:type="dxa"/>
            <w:vAlign w:val="bottom"/>
          </w:tcPr>
          <w:p>
            <w:pPr>
              <w:spacing w:after="0"/>
              <w:rPr>
                <w:sz w:val="20"/>
                <w:szCs w:val="20"/>
                <w:color w:val="auto"/>
              </w:rPr>
            </w:pPr>
            <w:r>
              <w:rPr>
                <w:rFonts w:ascii="Arial" w:cs="Arial" w:eastAsia="Arial" w:hAnsi="Arial"/>
                <w:sz w:val="17"/>
                <w:szCs w:val="17"/>
                <w:color w:val="auto"/>
              </w:rPr>
              <w:t>2008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4,584</w:t>
            </w:r>
          </w:p>
        </w:tc>
      </w:tr>
      <w:tr>
        <w:trPr>
          <w:trHeight w:val="213"/>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w:t>
            </w:r>
          </w:p>
        </w:tc>
      </w:tr>
      <w:tr>
        <w:trPr>
          <w:trHeight w:val="213"/>
        </w:trPr>
        <w:tc>
          <w:tcPr>
            <w:tcW w:w="8760" w:type="dxa"/>
            <w:vAlign w:val="bottom"/>
          </w:tcPr>
          <w:p>
            <w:pPr>
              <w:spacing w:after="0"/>
              <w:rPr>
                <w:sz w:val="20"/>
                <w:szCs w:val="20"/>
                <w:color w:val="auto"/>
              </w:rPr>
            </w:pPr>
            <w:r>
              <w:rPr>
                <w:rFonts w:ascii="Arial" w:cs="Arial" w:eastAsia="Arial" w:hAnsi="Arial"/>
                <w:sz w:val="17"/>
                <w:szCs w:val="17"/>
                <w:color w:val="auto"/>
              </w:rPr>
              <w:t>2010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4,537</w:t>
            </w:r>
          </w:p>
        </w:tc>
      </w:tr>
      <w:tr>
        <w:trPr>
          <w:trHeight w:val="213"/>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262,645</w:t>
            </w:r>
          </w:p>
        </w:tc>
      </w:tr>
      <w:tr>
        <w:trPr>
          <w:trHeight w:val="219"/>
        </w:trPr>
        <w:tc>
          <w:tcPr>
            <w:tcW w:w="8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285,444</w:t>
            </w:r>
          </w:p>
        </w:tc>
      </w:tr>
      <w:tr>
        <w:trPr>
          <w:trHeight w:val="20"/>
        </w:trPr>
        <w:tc>
          <w:tcPr>
            <w:tcW w:w="8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NOTE 10. </w:t>
      </w:r>
      <w:r>
        <w:rPr>
          <w:rFonts w:ascii="Arial" w:cs="Arial" w:eastAsia="Arial" w:hAnsi="Arial"/>
          <w:sz w:val="17"/>
          <w:szCs w:val="17"/>
          <w:color w:val="auto"/>
        </w:rPr>
        <w:t>SHAREHOLDERS’ EQUITY</w:t>
      </w:r>
    </w:p>
    <w:p>
      <w:pPr>
        <w:spacing w:after="0" w:line="10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In November 2001, we issued 5.4 million 8.5% Series B Cumulative Redeemable Preferred Shares (the “Preferred Shares”) at $25 per share in a public offering. The Preferred Shares are not redeemable prior to November 27, 2006. On or after that date, the Preferred Shares may be redeemed, in whole or in part, at our option, at a redemption price of $25 per share plus all accrued and unpaid dividends. Dividends on the Preferred Shares are payable quarterly in arrears on the last day of January, April, July and October.</w:t>
      </w:r>
    </w:p>
    <w:p>
      <w:pPr>
        <w:spacing w:after="0" w:line="128" w:lineRule="exact"/>
        <w:rPr>
          <w:sz w:val="20"/>
          <w:szCs w:val="20"/>
          <w:color w:val="auto"/>
        </w:rPr>
      </w:pPr>
    </w:p>
    <w:p>
      <w:pPr>
        <w:ind w:right="280" w:firstLine="457"/>
        <w:spacing w:after="0" w:line="291" w:lineRule="auto"/>
        <w:rPr>
          <w:sz w:val="20"/>
          <w:szCs w:val="20"/>
          <w:color w:val="auto"/>
        </w:rPr>
      </w:pPr>
      <w:r>
        <w:rPr>
          <w:rFonts w:ascii="Arial" w:cs="Arial" w:eastAsia="Arial" w:hAnsi="Arial"/>
          <w:sz w:val="17"/>
          <w:szCs w:val="17"/>
          <w:color w:val="auto"/>
        </w:rPr>
        <w:t>On May 14, 2003, we issued 3.2 million common shares at $30.457 per share ($31.48 gross, before an aggregate 3.25% underwriters discount and selling concession) netting $98.4 million in cash proceeds, after all expenses of the offering.</w:t>
      </w:r>
    </w:p>
    <w:p>
      <w:pPr>
        <w:spacing w:after="0" w:line="111"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On April 7, 2004, we issued 2.2 million common shares at a net price of $45.33 per share (after taking into account underwriters discount and commissions) netting approximately $99 million in cash proceeds before other expenses of the offering. The proceeds were used to repay borrowings outstanding under our revolving credit facility that were drawn to acquire Westgate Mall and for general corporate purposes.</w:t>
      </w:r>
    </w:p>
    <w:p>
      <w:pPr>
        <w:spacing w:after="0" w:line="124" w:lineRule="exact"/>
        <w:rPr>
          <w:sz w:val="20"/>
          <w:szCs w:val="20"/>
          <w:color w:val="auto"/>
        </w:rPr>
      </w:pPr>
    </w:p>
    <w:p>
      <w:pPr>
        <w:ind w:right="240" w:firstLine="457"/>
        <w:spacing w:after="0" w:line="291" w:lineRule="auto"/>
        <w:rPr>
          <w:sz w:val="20"/>
          <w:szCs w:val="20"/>
          <w:color w:val="auto"/>
        </w:rPr>
      </w:pPr>
      <w:r>
        <w:rPr>
          <w:rFonts w:ascii="Arial" w:cs="Arial" w:eastAsia="Arial" w:hAnsi="Arial"/>
          <w:sz w:val="17"/>
          <w:szCs w:val="17"/>
          <w:color w:val="auto"/>
        </w:rPr>
        <w:t>We have a Dividend Reinvestment Plan, whereby shareholders may use their dividends and optional cash payments to purchase shares. In 2005, 2004 and 2003, 62,579 shares, 82,391 shares and 109,835 shares, respectively, were issued under the Plan.</w:t>
      </w:r>
    </w:p>
    <w:p>
      <w:pPr>
        <w:spacing w:after="0" w:line="111"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In 2005, 2004 and 2003, 78,591 common shares, 84,617 common shares and 138,568 common shares, respectively, were awarded to key employees, under various incentive compensation programs designed to directly link a significant portion of their current and long term compensation to the prosperity of the Trust and its shareholders. The shares vest over terms from 3 to 5 years. We recorded compensation expense of $3.9 million, $3.5 million and $1.3 million for 2005, 2004 and 2003, respectively, under our long term incentive plans. The weighted-average grant-date fair value of stock awarded in 2005, 2004 and 2003 was $51.35, $42.94 and $28.01, respectively.</w:t>
      </w:r>
    </w:p>
    <w:p>
      <w:pPr>
        <w:spacing w:after="0" w:line="133"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color w:val="auto"/>
        </w:rPr>
        <w:t>In February 2002 and 2003, we granted performance awards of 30,000 and 120,000 shares, respectively, to certain officers and employees of the Trust. Pursuant to the terms of these awards, 20% of the performance shares will vest for any calendar year in which we exceed certain performance targets for the same period. Any performance awards, which remain unvested after 2011 and 2012, respectively, will be forfeited.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2004 and 2003, tax loans were made in connection with restricted share grants to certain of our officers and in connection with the Share Purchase Plans.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balance of these loans was $300,000 at December 31, 2004. These loans were paid in full in May, 2005.</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360"/>
          </w:cols>
          <w:pgMar w:left="240" w:top="277" w:right="299" w:bottom="1440" w:gutter="0" w:footer="0" w:header="0"/>
        </w:sectPr>
      </w:pPr>
    </w:p>
    <w:bookmarkStart w:id="84" w:name="page85"/>
    <w:bookmarkEnd w:id="8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On February 16, 2006, common shares and options were awarded under various incentive compensation plans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Borders>
              <w:bottom w:val="single" w:sz="8" w:color="auto"/>
            </w:tcBorders>
          </w:tcPr>
          <w:p>
            <w:pPr>
              <w:ind w:left="1820"/>
              <w:spacing w:after="0"/>
              <w:rPr>
                <w:sz w:val="20"/>
                <w:szCs w:val="20"/>
                <w:color w:val="auto"/>
              </w:rPr>
            </w:pPr>
            <w:r>
              <w:rPr>
                <w:rFonts w:ascii="Arial" w:cs="Arial" w:eastAsia="Arial" w:hAnsi="Arial"/>
                <w:sz w:val="13"/>
                <w:szCs w:val="13"/>
                <w:b w:val="1"/>
                <w:bCs w:val="1"/>
                <w:color w:val="auto"/>
              </w:rPr>
              <w:t>Award</w:t>
            </w:r>
          </w:p>
        </w:tc>
        <w:tc>
          <w:tcPr>
            <w:tcW w:w="460" w:type="dxa"/>
            <w:vAlign w:val="bottom"/>
          </w:tcPr>
          <w:p>
            <w:pPr>
              <w:spacing w:after="0"/>
              <w:rPr>
                <w:sz w:val="14"/>
                <w:szCs w:val="14"/>
                <w:color w:val="auto"/>
              </w:rPr>
            </w:pPr>
          </w:p>
        </w:tc>
        <w:tc>
          <w:tcPr>
            <w:tcW w:w="3760" w:type="dxa"/>
            <w:vAlign w:val="bottom"/>
            <w:tcBorders>
              <w:bottom w:val="single" w:sz="8" w:color="auto"/>
            </w:tcBorders>
          </w:tcPr>
          <w:p>
            <w:pPr>
              <w:ind w:left="1500"/>
              <w:spacing w:after="0"/>
              <w:rPr>
                <w:sz w:val="20"/>
                <w:szCs w:val="20"/>
                <w:color w:val="auto"/>
              </w:rPr>
            </w:pPr>
            <w:r>
              <w:rPr>
                <w:rFonts w:ascii="Arial" w:cs="Arial" w:eastAsia="Arial" w:hAnsi="Arial"/>
                <w:sz w:val="13"/>
                <w:szCs w:val="13"/>
                <w:b w:val="1"/>
                <w:bCs w:val="1"/>
                <w:color w:val="auto"/>
              </w:rPr>
              <w:t>Vesting Term</w:t>
            </w:r>
          </w:p>
        </w:tc>
        <w:tc>
          <w:tcPr>
            <w:tcW w:w="460" w:type="dxa"/>
            <w:vAlign w:val="bottom"/>
          </w:tcPr>
          <w:p>
            <w:pPr>
              <w:spacing w:after="0"/>
              <w:rPr>
                <w:sz w:val="14"/>
                <w:szCs w:val="14"/>
                <w:color w:val="auto"/>
              </w:rPr>
            </w:pPr>
          </w:p>
        </w:tc>
        <w:tc>
          <w:tcPr>
            <w:tcW w:w="272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Beneficiary</w:t>
            </w:r>
          </w:p>
        </w:tc>
      </w:tr>
      <w:tr>
        <w:trPr>
          <w:trHeight w:val="206"/>
        </w:trPr>
        <w:tc>
          <w:tcPr>
            <w:tcW w:w="4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75,607 Restricted shares</w:t>
            </w:r>
          </w:p>
        </w:tc>
        <w:tc>
          <w:tcPr>
            <w:tcW w:w="42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Ranging from immediate to 5 years</w:t>
            </w:r>
          </w:p>
        </w:tc>
        <w:tc>
          <w:tcPr>
            <w:tcW w:w="4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Officers and key employees</w:t>
            </w:r>
          </w:p>
        </w:tc>
      </w:tr>
      <w:tr>
        <w:trPr>
          <w:trHeight w:val="213"/>
        </w:trPr>
        <w:tc>
          <w:tcPr>
            <w:tcW w:w="4020" w:type="dxa"/>
            <w:vAlign w:val="bottom"/>
          </w:tcPr>
          <w:p>
            <w:pPr>
              <w:ind w:left="420"/>
              <w:spacing w:after="0"/>
              <w:rPr>
                <w:sz w:val="20"/>
                <w:szCs w:val="20"/>
                <w:color w:val="auto"/>
              </w:rPr>
            </w:pPr>
            <w:r>
              <w:rPr>
                <w:rFonts w:ascii="Arial" w:cs="Arial" w:eastAsia="Arial" w:hAnsi="Arial"/>
                <w:sz w:val="17"/>
                <w:szCs w:val="17"/>
                <w:color w:val="auto"/>
              </w:rPr>
              <w:t>312,813 Options</w:t>
            </w:r>
          </w:p>
        </w:tc>
        <w:tc>
          <w:tcPr>
            <w:tcW w:w="4220" w:type="dxa"/>
            <w:vAlign w:val="bottom"/>
            <w:gridSpan w:val="2"/>
          </w:tcPr>
          <w:p>
            <w:pPr>
              <w:ind w:left="460"/>
              <w:spacing w:after="0"/>
              <w:rPr>
                <w:sz w:val="20"/>
                <w:szCs w:val="20"/>
                <w:color w:val="auto"/>
              </w:rPr>
            </w:pPr>
            <w:r>
              <w:rPr>
                <w:rFonts w:ascii="Arial" w:cs="Arial" w:eastAsia="Arial" w:hAnsi="Arial"/>
                <w:sz w:val="17"/>
                <w:szCs w:val="17"/>
                <w:color w:val="auto"/>
              </w:rPr>
              <w:t>Ranging from 3 to 5 years</w:t>
            </w:r>
          </w:p>
        </w:tc>
        <w:tc>
          <w:tcPr>
            <w:tcW w:w="46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Officers and key employees</w:t>
            </w:r>
          </w:p>
        </w:tc>
      </w:tr>
      <w:tr>
        <w:trPr>
          <w:trHeight w:val="213"/>
        </w:trPr>
        <w:tc>
          <w:tcPr>
            <w:tcW w:w="4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2,727 Shares</w:t>
            </w:r>
          </w:p>
        </w:tc>
        <w:tc>
          <w:tcPr>
            <w:tcW w:w="42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Immediate</w:t>
            </w:r>
          </w:p>
        </w:tc>
        <w:tc>
          <w:tcPr>
            <w:tcW w:w="4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Trustees</w:t>
            </w: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of the restricted share awards granted on February 16, 2006, were made under our 2001 Plan.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11</w:t>
      </w:r>
      <w:r>
        <w:rPr>
          <w:rFonts w:ascii="Arial" w:cs="Arial" w:eastAsia="Arial" w:hAnsi="Arial"/>
          <w:sz w:val="17"/>
          <w:szCs w:val="17"/>
          <w:color w:val="auto"/>
        </w:rPr>
        <w:t>. STOCK OPTION PLAN</w:t>
      </w:r>
    </w:p>
    <w:p>
      <w:pPr>
        <w:spacing w:after="0" w:line="103" w:lineRule="exact"/>
        <w:rPr>
          <w:sz w:val="20"/>
          <w:szCs w:val="20"/>
          <w:color w:val="auto"/>
        </w:rPr>
      </w:pPr>
    </w:p>
    <w:p>
      <w:pPr>
        <w:ind w:right="400" w:firstLine="457"/>
        <w:spacing w:after="0" w:line="291" w:lineRule="auto"/>
        <w:rPr>
          <w:sz w:val="20"/>
          <w:szCs w:val="20"/>
          <w:color w:val="auto"/>
        </w:rPr>
      </w:pPr>
      <w:r>
        <w:rPr>
          <w:rFonts w:ascii="Arial" w:cs="Arial" w:eastAsia="Arial" w:hAnsi="Arial"/>
          <w:sz w:val="17"/>
          <w:szCs w:val="17"/>
          <w:color w:val="auto"/>
        </w:rPr>
        <w:t>Our 1993 Long Term Incentive Plan (“the 1993 Plan”) authorized the grant of options and other stock based awards for up to 5.5 million shares. Options granted under the 1993 Plan have ten year terms and vest in one to five years. The 1993 Plan expired in May 2003.</w:t>
      </w:r>
    </w:p>
    <w:p>
      <w:pPr>
        <w:spacing w:after="0" w:line="111" w:lineRule="exact"/>
        <w:rPr>
          <w:sz w:val="20"/>
          <w:szCs w:val="20"/>
          <w:color w:val="auto"/>
        </w:rPr>
      </w:pPr>
    </w:p>
    <w:p>
      <w:pPr>
        <w:ind w:right="260" w:firstLine="457"/>
        <w:spacing w:after="0" w:line="291" w:lineRule="auto"/>
        <w:rPr>
          <w:sz w:val="20"/>
          <w:szCs w:val="20"/>
          <w:color w:val="auto"/>
        </w:rPr>
      </w:pPr>
      <w:r>
        <w:rPr>
          <w:rFonts w:ascii="Arial" w:cs="Arial" w:eastAsia="Arial" w:hAnsi="Arial"/>
          <w:sz w:val="17"/>
          <w:szCs w:val="17"/>
          <w:color w:val="auto"/>
        </w:rPr>
        <w:t>In May 2001 our shareholders’ approved our 2001 Long Term Incentive Plan (“the 2001 Plan”) which authorized an additional 1,750,000 shares for future option and other stock based awards.</w:t>
      </w:r>
    </w:p>
    <w:p>
      <w:pPr>
        <w:spacing w:after="0" w:line="111" w:lineRule="exact"/>
        <w:rPr>
          <w:sz w:val="20"/>
          <w:szCs w:val="20"/>
          <w:color w:val="auto"/>
        </w:rPr>
      </w:pPr>
    </w:p>
    <w:p>
      <w:pPr>
        <w:jc w:val="both"/>
        <w:ind w:right="20" w:firstLine="457"/>
        <w:spacing w:after="0" w:line="293" w:lineRule="auto"/>
        <w:rPr>
          <w:sz w:val="20"/>
          <w:szCs w:val="20"/>
          <w:color w:val="auto"/>
        </w:rPr>
      </w:pPr>
      <w:r>
        <w:rPr>
          <w:rFonts w:ascii="Arial" w:cs="Arial" w:eastAsia="Arial" w:hAnsi="Arial"/>
          <w:sz w:val="16"/>
          <w:szCs w:val="16"/>
          <w:color w:val="auto"/>
        </w:rPr>
        <w:t>The option price to acquire shares under the 2001 Plan and previous plans is required to be at least the fair market value at the date of grant. As a result of the exercise of options, we had outstanding from our officers and employees notes for $1.8 million at December 31, 2005 and 2004. These notes bear interest at LIBOR plus a market-rate spread with the rate adjusted annually. These notes are collateralized by the shares with recourse to the borrower and have five-year terms. Option awards made in 2001 and later do not provide for employees to be able to exercise their options with a loan from the Trust.</w:t>
      </w:r>
    </w:p>
    <w:p>
      <w:pPr>
        <w:spacing w:after="0" w:line="113"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SFAS No. 123, “Accounting for Stock-Based Compensation” requires pro forma information regarding net income and earnings per share as if we accounted for our stock options under the fair value method of SFAS No. 123. The estimated fair value for options issued in 2005, 2004 and 2003 is $1.2 million, $1.1 million and $582,000, respectively, as of the date of grant, using a Black Scholes model with the following weighted-average assumptions for 2005, 2004 and 2003, respectively: risk-free interest rates of 4.1%, 4.5% and 3.2%; volatility factors of the expected market price of our shares of 18%, 20% and 16%; weighted average expected life of the option of 5.0 years, 5.3 years and 6.0 years; and weighted average dividend yields of 3.78%, 4.62% and 8.85%.</w:t>
      </w:r>
    </w:p>
    <w:p>
      <w:pPr>
        <w:spacing w:after="0" w:line="116" w:lineRule="exact"/>
        <w:rPr>
          <w:sz w:val="20"/>
          <w:szCs w:val="20"/>
          <w:color w:val="auto"/>
        </w:rPr>
      </w:pPr>
    </w:p>
    <w:p>
      <w:pPr>
        <w:jc w:val="both"/>
        <w:ind w:right="100" w:firstLine="457"/>
        <w:spacing w:after="0" w:line="276" w:lineRule="auto"/>
        <w:rPr>
          <w:sz w:val="20"/>
          <w:szCs w:val="20"/>
          <w:color w:val="auto"/>
        </w:rPr>
      </w:pPr>
      <w:r>
        <w:rPr>
          <w:rFonts w:ascii="Arial" w:cs="Arial" w:eastAsia="Arial" w:hAnsi="Arial"/>
          <w:sz w:val="17"/>
          <w:szCs w:val="17"/>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277" w:right="239" w:bottom="1440" w:gutter="0" w:footer="0" w:header="0"/>
        </w:sectPr>
      </w:pPr>
    </w:p>
    <w:bookmarkStart w:id="85" w:name="page86"/>
    <w:bookmarkEnd w:id="8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 summary of our stock option activity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 Under Option</w:t>
            </w: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89"/>
              </w:rPr>
              <w:t>Exercise Price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2002</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3,220,742</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Options granted 2003</w:t>
            </w:r>
          </w:p>
        </w:tc>
        <w:tc>
          <w:tcPr>
            <w:tcW w:w="1800" w:type="dxa"/>
            <w:vAlign w:val="bottom"/>
            <w:gridSpan w:val="2"/>
          </w:tcPr>
          <w:p>
            <w:pPr>
              <w:jc w:val="right"/>
              <w:ind w:right="580"/>
              <w:spacing w:after="0"/>
              <w:rPr>
                <w:sz w:val="20"/>
                <w:szCs w:val="20"/>
                <w:color w:val="auto"/>
              </w:rPr>
            </w:pPr>
            <w:r>
              <w:rPr>
                <w:rFonts w:ascii="Arial" w:cs="Arial" w:eastAsia="Arial" w:hAnsi="Arial"/>
                <w:sz w:val="17"/>
                <w:szCs w:val="17"/>
                <w:color w:val="auto"/>
              </w:rPr>
              <w:t>419,500</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Options exercised 2003</w:t>
            </w:r>
          </w:p>
        </w:tc>
        <w:tc>
          <w:tcPr>
            <w:tcW w:w="18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(2,124,869)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Options forfeited 2003</w:t>
            </w:r>
          </w:p>
        </w:tc>
        <w:tc>
          <w:tcPr>
            <w:tcW w:w="1800" w:type="dxa"/>
            <w:vAlign w:val="bottom"/>
            <w:gridSpan w:val="2"/>
          </w:tcPr>
          <w:p>
            <w:pPr>
              <w:jc w:val="right"/>
              <w:ind w:right="520"/>
              <w:spacing w:after="0"/>
              <w:rPr>
                <w:sz w:val="20"/>
                <w:szCs w:val="20"/>
                <w:color w:val="auto"/>
              </w:rPr>
            </w:pPr>
            <w:r>
              <w:rPr>
                <w:rFonts w:ascii="Arial" w:cs="Arial" w:eastAsia="Arial" w:hAnsi="Arial"/>
                <w:sz w:val="17"/>
                <w:szCs w:val="17"/>
                <w:color w:val="auto"/>
              </w:rPr>
              <w:t>(53,333)</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2003</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1,462,040</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Options granted 2004</w:t>
            </w:r>
          </w:p>
        </w:tc>
        <w:tc>
          <w:tcPr>
            <w:tcW w:w="1800" w:type="dxa"/>
            <w:vAlign w:val="bottom"/>
            <w:gridSpan w:val="2"/>
          </w:tcPr>
          <w:p>
            <w:pPr>
              <w:jc w:val="right"/>
              <w:ind w:right="580"/>
              <w:spacing w:after="0"/>
              <w:rPr>
                <w:sz w:val="20"/>
                <w:szCs w:val="20"/>
                <w:color w:val="auto"/>
              </w:rPr>
            </w:pPr>
            <w:r>
              <w:rPr>
                <w:rFonts w:ascii="Arial" w:cs="Arial" w:eastAsia="Arial" w:hAnsi="Arial"/>
                <w:sz w:val="17"/>
                <w:szCs w:val="17"/>
                <w:color w:val="auto"/>
              </w:rPr>
              <w:t>187,500</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Options exercised 2004</w:t>
            </w:r>
          </w:p>
        </w:tc>
        <w:tc>
          <w:tcPr>
            <w:tcW w:w="18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(348,868)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Options forfeited 2004</w:t>
            </w:r>
          </w:p>
        </w:tc>
        <w:tc>
          <w:tcPr>
            <w:tcW w:w="1800" w:type="dxa"/>
            <w:vAlign w:val="bottom"/>
            <w:gridSpan w:val="2"/>
          </w:tcPr>
          <w:p>
            <w:pPr>
              <w:jc w:val="right"/>
              <w:ind w:right="520"/>
              <w:spacing w:after="0"/>
              <w:rPr>
                <w:sz w:val="20"/>
                <w:szCs w:val="20"/>
                <w:color w:val="auto"/>
              </w:rPr>
            </w:pPr>
            <w:r>
              <w:rPr>
                <w:rFonts w:ascii="Arial" w:cs="Arial" w:eastAsia="Arial" w:hAnsi="Arial"/>
                <w:sz w:val="17"/>
                <w:szCs w:val="17"/>
                <w:color w:val="auto"/>
              </w:rPr>
              <w:t>(69,331)</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2004</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1,231,341</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Options granted 2005</w:t>
            </w:r>
          </w:p>
        </w:tc>
        <w:tc>
          <w:tcPr>
            <w:tcW w:w="1800" w:type="dxa"/>
            <w:vAlign w:val="bottom"/>
            <w:gridSpan w:val="2"/>
          </w:tcPr>
          <w:p>
            <w:pPr>
              <w:jc w:val="right"/>
              <w:ind w:right="580"/>
              <w:spacing w:after="0"/>
              <w:rPr>
                <w:sz w:val="20"/>
                <w:szCs w:val="20"/>
                <w:color w:val="auto"/>
              </w:rPr>
            </w:pPr>
            <w:r>
              <w:rPr>
                <w:rFonts w:ascii="Arial" w:cs="Arial" w:eastAsia="Arial" w:hAnsi="Arial"/>
                <w:sz w:val="17"/>
                <w:szCs w:val="17"/>
                <w:color w:val="auto"/>
              </w:rPr>
              <w:t>164,500</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Options exercised 2005</w:t>
            </w:r>
          </w:p>
        </w:tc>
        <w:tc>
          <w:tcPr>
            <w:tcW w:w="18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(409,889)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Options forfeited 2005</w:t>
            </w:r>
          </w:p>
        </w:tc>
        <w:tc>
          <w:tcPr>
            <w:tcW w:w="1800" w:type="dxa"/>
            <w:vAlign w:val="bottom"/>
            <w:gridSpan w:val="2"/>
          </w:tcPr>
          <w:p>
            <w:pPr>
              <w:jc w:val="right"/>
              <w:ind w:right="520"/>
              <w:spacing w:after="0"/>
              <w:rPr>
                <w:sz w:val="20"/>
                <w:szCs w:val="20"/>
                <w:color w:val="auto"/>
              </w:rPr>
            </w:pPr>
            <w:r>
              <w:rPr>
                <w:rFonts w:ascii="Arial" w:cs="Arial" w:eastAsia="Arial" w:hAnsi="Arial"/>
                <w:sz w:val="17"/>
                <w:szCs w:val="17"/>
                <w:color w:val="auto"/>
              </w:rPr>
              <w:t>(27,497)</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958,455</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7"/>
                <w:szCs w:val="17"/>
                <w:color w:val="auto"/>
              </w:rPr>
              <w:t>Options exercisable at December 31, 2005</w:t>
            </w: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vMerge w:val="restart"/>
          </w:tcPr>
          <w:p>
            <w:pPr>
              <w:ind w:left="520"/>
              <w:spacing w:after="0"/>
              <w:rPr>
                <w:sz w:val="20"/>
                <w:szCs w:val="20"/>
                <w:color w:val="auto"/>
              </w:rPr>
            </w:pPr>
            <w:r>
              <w:rPr>
                <w:rFonts w:ascii="Arial" w:cs="Arial" w:eastAsia="Arial" w:hAnsi="Arial"/>
                <w:sz w:val="17"/>
                <w:szCs w:val="17"/>
                <w:color w:val="auto"/>
                <w:w w:val="84"/>
              </w:rPr>
              <w:t>$</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25.12</w:t>
            </w:r>
          </w:p>
        </w:tc>
        <w:tc>
          <w:tcPr>
            <w:tcW w:w="0" w:type="dxa"/>
            <w:vAlign w:val="bottom"/>
          </w:tcPr>
          <w:p>
            <w:pPr>
              <w:spacing w:after="0" w:line="20" w:lineRule="exact"/>
              <w:rPr>
                <w:sz w:val="1"/>
                <w:szCs w:val="1"/>
                <w:color w:val="auto"/>
              </w:rPr>
            </w:pPr>
          </w:p>
        </w:tc>
      </w:tr>
      <w:tr>
        <w:trPr>
          <w:trHeight w:val="205"/>
        </w:trPr>
        <w:tc>
          <w:tcPr>
            <w:tcW w:w="8060" w:type="dxa"/>
            <w:vAlign w:val="bottom"/>
            <w:gridSpan w:val="2"/>
            <w:vMerge w:val="continue"/>
          </w:tcPr>
          <w:p>
            <w:pPr>
              <w:spacing w:after="0"/>
              <w:rPr>
                <w:sz w:val="17"/>
                <w:szCs w:val="17"/>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7"/>
                <w:szCs w:val="17"/>
                <w:color w:val="auto"/>
              </w:rPr>
              <w:t>659,626</w:t>
            </w:r>
          </w:p>
        </w:tc>
        <w:tc>
          <w:tcPr>
            <w:tcW w:w="6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exercisable at December 31, 2004</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846,496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7"/>
                <w:szCs w:val="17"/>
                <w:color w:val="auto"/>
              </w:rPr>
              <w:t>Options exercisable at December 31, 2003</w:t>
            </w:r>
          </w:p>
        </w:tc>
        <w:tc>
          <w:tcPr>
            <w:tcW w:w="1800" w:type="dxa"/>
            <w:vAlign w:val="bottom"/>
            <w:gridSpan w:val="2"/>
          </w:tcPr>
          <w:p>
            <w:pPr>
              <w:jc w:val="right"/>
              <w:ind w:right="580"/>
              <w:spacing w:after="0"/>
              <w:rPr>
                <w:sz w:val="20"/>
                <w:szCs w:val="20"/>
                <w:color w:val="auto"/>
              </w:rPr>
            </w:pPr>
            <w:r>
              <w:rPr>
                <w:rFonts w:ascii="Arial" w:cs="Arial" w:eastAsia="Arial" w:hAnsi="Arial"/>
                <w:sz w:val="17"/>
                <w:szCs w:val="17"/>
                <w:color w:val="auto"/>
              </w:rPr>
              <w:t>931,929</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Information about options outstanding at December 31, 2005, is summarized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80" w:type="dxa"/>
            <w:vAlign w:val="bottom"/>
            <w:gridSpan w:val="3"/>
          </w:tcPr>
          <w:p>
            <w:pPr>
              <w:ind w:left="780"/>
              <w:spacing w:after="0"/>
              <w:rPr>
                <w:sz w:val="20"/>
                <w:szCs w:val="20"/>
                <w:color w:val="auto"/>
              </w:rPr>
            </w:pPr>
            <w:r>
              <w:rPr>
                <w:rFonts w:ascii="Arial" w:cs="Arial" w:eastAsia="Arial" w:hAnsi="Arial"/>
                <w:sz w:val="13"/>
                <w:szCs w:val="13"/>
                <w:b w:val="1"/>
                <w:bCs w:val="1"/>
                <w:color w:val="auto"/>
              </w:rPr>
              <w:t>Options Outstanding</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2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w w:val="89"/>
              </w:rPr>
              <w:t>Options Exercisable</w:t>
            </w:r>
          </w:p>
        </w:tc>
        <w:tc>
          <w:tcPr>
            <w:tcW w:w="0" w:type="dxa"/>
            <w:vAlign w:val="bottom"/>
          </w:tcPr>
          <w:p>
            <w:pPr>
              <w:spacing w:after="0"/>
              <w:rPr>
                <w:sz w:val="1"/>
                <w:szCs w:val="1"/>
                <w:color w:val="auto"/>
              </w:rPr>
            </w:pPr>
          </w:p>
        </w:tc>
      </w:tr>
      <w:tr>
        <w:trPr>
          <w:trHeight w:val="127"/>
        </w:trPr>
        <w:tc>
          <w:tcPr>
            <w:tcW w:w="2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1000"/>
              <w:spacing w:after="0" w:line="127"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gridSpan w:val="2"/>
          </w:tcPr>
          <w:p>
            <w:pPr>
              <w:jc w:val="center"/>
              <w:ind w:right="1000"/>
              <w:spacing w:after="0" w:line="146"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gridSpan w:val="2"/>
          </w:tcPr>
          <w:p>
            <w:pPr>
              <w:jc w:val="center"/>
              <w:ind w:right="1000"/>
              <w:spacing w:after="0" w:line="146"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2"/>
                <w:szCs w:val="12"/>
                <w:color w:val="auto"/>
              </w:rPr>
            </w:pPr>
          </w:p>
        </w:tc>
        <w:tc>
          <w:tcPr>
            <w:tcW w:w="1700" w:type="dxa"/>
            <w:vAlign w:val="bottom"/>
            <w:gridSpan w:val="2"/>
          </w:tcPr>
          <w:p>
            <w:pPr>
              <w:jc w:val="right"/>
              <w:ind w:right="1100"/>
              <w:spacing w:after="0" w:line="146" w:lineRule="exact"/>
              <w:rPr>
                <w:sz w:val="20"/>
                <w:szCs w:val="20"/>
                <w:color w:val="auto"/>
              </w:rPr>
            </w:pPr>
            <w:r>
              <w:rPr>
                <w:rFonts w:ascii="Arial" w:cs="Arial" w:eastAsia="Arial" w:hAnsi="Arial"/>
                <w:sz w:val="13"/>
                <w:szCs w:val="13"/>
                <w:b w:val="1"/>
                <w:bCs w:val="1"/>
                <w:color w:val="auto"/>
                <w:w w:val="92"/>
              </w:rPr>
              <w:t>Weighted-</w:t>
            </w: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6" w:lineRule="exact"/>
              <w:rPr>
                <w:sz w:val="20"/>
                <w:szCs w:val="20"/>
                <w:color w:val="auto"/>
              </w:rPr>
            </w:pPr>
            <w:r>
              <w:rPr>
                <w:rFonts w:ascii="Arial" w:cs="Arial" w:eastAsia="Arial" w:hAnsi="Arial"/>
                <w:sz w:val="13"/>
                <w:szCs w:val="13"/>
                <w:b w:val="1"/>
                <w:bCs w:val="1"/>
                <w:color w:val="auto"/>
                <w:w w:val="89"/>
              </w:rPr>
              <w:t>Weighted-</w:t>
            </w:r>
          </w:p>
        </w:tc>
        <w:tc>
          <w:tcPr>
            <w:tcW w:w="0" w:type="dxa"/>
            <w:vAlign w:val="bottom"/>
          </w:tcPr>
          <w:p>
            <w:pPr>
              <w:spacing w:after="0"/>
              <w:rPr>
                <w:sz w:val="1"/>
                <w:szCs w:val="1"/>
                <w:color w:val="auto"/>
              </w:rPr>
            </w:pPr>
          </w:p>
        </w:tc>
      </w:tr>
      <w:tr>
        <w:trPr>
          <w:trHeight w:val="146"/>
        </w:trPr>
        <w:tc>
          <w:tcPr>
            <w:tcW w:w="2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Range of Exercise Prices</w:t>
            </w:r>
          </w:p>
        </w:tc>
        <w:tc>
          <w:tcPr>
            <w:tcW w:w="1000" w:type="dxa"/>
            <w:vAlign w:val="bottom"/>
            <w:vMerge w:val="restart"/>
          </w:tcPr>
          <w:p>
            <w:pPr>
              <w:spacing w:after="0"/>
              <w:rPr>
                <w:sz w:val="12"/>
                <w:szCs w:val="12"/>
                <w:color w:val="auto"/>
              </w:rPr>
            </w:pPr>
          </w:p>
        </w:tc>
        <w:tc>
          <w:tcPr>
            <w:tcW w:w="720" w:type="dxa"/>
            <w:vAlign w:val="bottom"/>
          </w:tcPr>
          <w:p>
            <w:pPr>
              <w:jc w:val="right"/>
              <w:ind w:right="60"/>
              <w:spacing w:after="0" w:line="146" w:lineRule="exact"/>
              <w:rPr>
                <w:sz w:val="20"/>
                <w:szCs w:val="20"/>
                <w:color w:val="auto"/>
              </w:rPr>
            </w:pPr>
            <w:r>
              <w:rPr>
                <w:rFonts w:ascii="Arial" w:cs="Arial" w:eastAsia="Arial" w:hAnsi="Arial"/>
                <w:sz w:val="13"/>
                <w:szCs w:val="13"/>
                <w:b w:val="1"/>
                <w:bCs w:val="1"/>
                <w:color w:val="auto"/>
              </w:rPr>
              <w:t>Number</w:t>
            </w:r>
          </w:p>
        </w:tc>
        <w:tc>
          <w:tcPr>
            <w:tcW w:w="980" w:type="dxa"/>
            <w:vAlign w:val="bottom"/>
          </w:tcPr>
          <w:p>
            <w:pPr>
              <w:spacing w:after="0"/>
              <w:rPr>
                <w:sz w:val="12"/>
                <w:szCs w:val="12"/>
                <w:color w:val="auto"/>
              </w:rPr>
            </w:pPr>
          </w:p>
        </w:tc>
        <w:tc>
          <w:tcPr>
            <w:tcW w:w="1700" w:type="dxa"/>
            <w:vAlign w:val="bottom"/>
            <w:gridSpan w:val="2"/>
          </w:tcPr>
          <w:p>
            <w:pPr>
              <w:jc w:val="right"/>
              <w:ind w:right="1000"/>
              <w:spacing w:after="0" w:line="146" w:lineRule="exact"/>
              <w:rPr>
                <w:sz w:val="20"/>
                <w:szCs w:val="20"/>
                <w:color w:val="auto"/>
              </w:rPr>
            </w:pPr>
            <w:r>
              <w:rPr>
                <w:rFonts w:ascii="Arial" w:cs="Arial" w:eastAsia="Arial" w:hAnsi="Arial"/>
                <w:sz w:val="13"/>
                <w:szCs w:val="13"/>
                <w:b w:val="1"/>
                <w:bCs w:val="1"/>
                <w:color w:val="auto"/>
                <w:w w:val="94"/>
              </w:rPr>
              <w:t>Contractual</w:t>
            </w:r>
          </w:p>
        </w:tc>
        <w:tc>
          <w:tcPr>
            <w:tcW w:w="100" w:type="dxa"/>
            <w:vAlign w:val="bottom"/>
          </w:tcPr>
          <w:p>
            <w:pPr>
              <w:spacing w:after="0"/>
              <w:rPr>
                <w:sz w:val="12"/>
                <w:szCs w:val="12"/>
                <w:color w:val="auto"/>
              </w:rPr>
            </w:pPr>
          </w:p>
        </w:tc>
        <w:tc>
          <w:tcPr>
            <w:tcW w:w="1700" w:type="dxa"/>
            <w:vAlign w:val="bottom"/>
            <w:gridSpan w:val="2"/>
          </w:tcPr>
          <w:p>
            <w:pPr>
              <w:jc w:val="right"/>
              <w:ind w:right="1160"/>
              <w:spacing w:after="0" w:line="146" w:lineRule="exact"/>
              <w:rPr>
                <w:sz w:val="20"/>
                <w:szCs w:val="20"/>
                <w:color w:val="auto"/>
              </w:rPr>
            </w:pPr>
            <w:r>
              <w:rPr>
                <w:rFonts w:ascii="Arial" w:cs="Arial" w:eastAsia="Arial" w:hAnsi="Arial"/>
                <w:sz w:val="13"/>
                <w:szCs w:val="13"/>
                <w:b w:val="1"/>
                <w:bCs w:val="1"/>
                <w:color w:val="auto"/>
              </w:rPr>
              <w:t>Average</w:t>
            </w:r>
          </w:p>
        </w:tc>
        <w:tc>
          <w:tcPr>
            <w:tcW w:w="680" w:type="dxa"/>
            <w:vAlign w:val="bottom"/>
          </w:tcPr>
          <w:p>
            <w:pPr>
              <w:jc w:val="right"/>
              <w:ind w:right="20"/>
              <w:spacing w:after="0" w:line="146" w:lineRule="exact"/>
              <w:rPr>
                <w:sz w:val="20"/>
                <w:szCs w:val="20"/>
                <w:color w:val="auto"/>
              </w:rPr>
            </w:pPr>
            <w:r>
              <w:rPr>
                <w:rFonts w:ascii="Arial" w:cs="Arial" w:eastAsia="Arial" w:hAnsi="Arial"/>
                <w:sz w:val="13"/>
                <w:szCs w:val="13"/>
                <w:b w:val="1"/>
                <w:bCs w:val="1"/>
                <w:color w:val="auto"/>
              </w:rPr>
              <w:t>Number</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6"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46"/>
        </w:trPr>
        <w:tc>
          <w:tcPr>
            <w:tcW w:w="27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88"/>
              </w:rPr>
              <w:t>Outstanding</w:t>
            </w:r>
          </w:p>
        </w:tc>
        <w:tc>
          <w:tcPr>
            <w:tcW w:w="98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3"/>
              </w:rPr>
              <w:t>Life (Years)</w:t>
            </w:r>
          </w:p>
        </w:tc>
        <w:tc>
          <w:tcPr>
            <w:tcW w:w="1000" w:type="dxa"/>
            <w:vAlign w:val="bottom"/>
          </w:tcPr>
          <w:p>
            <w:pPr>
              <w:spacing w:after="0"/>
              <w:rPr>
                <w:sz w:val="12"/>
                <w:szCs w:val="12"/>
                <w:color w:val="auto"/>
              </w:rPr>
            </w:pPr>
          </w:p>
        </w:tc>
        <w:tc>
          <w:tcPr>
            <w:tcW w:w="18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Exercise Price</w:t>
            </w:r>
          </w:p>
        </w:tc>
        <w:tc>
          <w:tcPr>
            <w:tcW w:w="6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88"/>
              </w:rPr>
              <w:t>Exercisable</w:t>
            </w:r>
          </w:p>
        </w:tc>
        <w:tc>
          <w:tcPr>
            <w:tcW w:w="980" w:type="dxa"/>
            <w:vAlign w:val="bottom"/>
          </w:tcPr>
          <w:p>
            <w:pPr>
              <w:spacing w:after="0"/>
              <w:rPr>
                <w:sz w:val="12"/>
                <w:szCs w:val="12"/>
                <w:color w:val="auto"/>
              </w:rPr>
            </w:pPr>
          </w:p>
        </w:tc>
        <w:tc>
          <w:tcPr>
            <w:tcW w:w="84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w w:val="89"/>
              </w:rPr>
              <w:t>Exercise Price</w:t>
            </w:r>
          </w:p>
        </w:tc>
        <w:tc>
          <w:tcPr>
            <w:tcW w:w="0" w:type="dxa"/>
            <w:vAlign w:val="bottom"/>
          </w:tcPr>
          <w:p>
            <w:pPr>
              <w:spacing w:after="0"/>
              <w:rPr>
                <w:sz w:val="1"/>
                <w:szCs w:val="1"/>
                <w:color w:val="auto"/>
              </w:rPr>
            </w:pPr>
          </w:p>
        </w:tc>
      </w:tr>
      <w:tr>
        <w:trPr>
          <w:trHeight w:val="27"/>
        </w:trPr>
        <w:tc>
          <w:tcPr>
            <w:tcW w:w="27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$18.00–$34.99</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666,193</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24.10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612,783</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gridSpan w:val="2"/>
          </w:tcPr>
          <w:p>
            <w:pPr>
              <w:jc w:val="center"/>
              <w:ind w:right="1000"/>
              <w:spacing w:after="0"/>
              <w:rPr>
                <w:sz w:val="20"/>
                <w:szCs w:val="20"/>
                <w:color w:val="auto"/>
              </w:rPr>
            </w:pPr>
            <w:r>
              <w:rPr>
                <w:rFonts w:ascii="Arial" w:cs="Arial" w:eastAsia="Arial" w:hAnsi="Arial"/>
                <w:sz w:val="17"/>
                <w:szCs w:val="17"/>
                <w:color w:val="auto"/>
                <w:w w:val="89"/>
              </w:rPr>
              <w:t>$35.00–$49.99</w:t>
            </w:r>
          </w:p>
        </w:tc>
        <w:tc>
          <w:tcPr>
            <w:tcW w:w="720" w:type="dxa"/>
            <w:vAlign w:val="bottom"/>
          </w:tcPr>
          <w:p>
            <w:pPr>
              <w:jc w:val="right"/>
              <w:spacing w:after="0"/>
              <w:rPr>
                <w:sz w:val="20"/>
                <w:szCs w:val="20"/>
                <w:color w:val="auto"/>
              </w:rPr>
            </w:pPr>
            <w:r>
              <w:rPr>
                <w:rFonts w:ascii="Arial" w:cs="Arial" w:eastAsia="Arial" w:hAnsi="Arial"/>
                <w:sz w:val="17"/>
                <w:szCs w:val="17"/>
                <w:color w:val="auto"/>
              </w:rPr>
              <w:t>120,262</w:t>
            </w:r>
          </w:p>
        </w:tc>
        <w:tc>
          <w:tcPr>
            <w:tcW w:w="2680" w:type="dxa"/>
            <w:vAlign w:val="bottom"/>
            <w:gridSpan w:val="3"/>
          </w:tcPr>
          <w:p>
            <w:pPr>
              <w:jc w:val="right"/>
              <w:ind w:right="1000"/>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700" w:type="dxa"/>
            <w:vAlign w:val="bottom"/>
            <w:gridSpan w:val="2"/>
          </w:tcPr>
          <w:p>
            <w:pPr>
              <w:jc w:val="right"/>
              <w:ind w:right="1000"/>
              <w:spacing w:after="0"/>
              <w:rPr>
                <w:sz w:val="20"/>
                <w:szCs w:val="20"/>
                <w:color w:val="auto"/>
              </w:rPr>
            </w:pPr>
            <w:r>
              <w:rPr>
                <w:rFonts w:ascii="Arial" w:cs="Arial" w:eastAsia="Arial" w:hAnsi="Arial"/>
                <w:sz w:val="17"/>
                <w:szCs w:val="17"/>
                <w:color w:val="auto"/>
              </w:rPr>
              <w:t>42.42</w:t>
            </w:r>
          </w:p>
        </w:tc>
        <w:tc>
          <w:tcPr>
            <w:tcW w:w="680" w:type="dxa"/>
            <w:vAlign w:val="bottom"/>
          </w:tcPr>
          <w:p>
            <w:pPr>
              <w:jc w:val="right"/>
              <w:spacing w:after="0"/>
              <w:rPr>
                <w:sz w:val="20"/>
                <w:szCs w:val="20"/>
                <w:color w:val="auto"/>
              </w:rPr>
            </w:pPr>
            <w:r>
              <w:rPr>
                <w:rFonts w:ascii="Arial" w:cs="Arial" w:eastAsia="Arial" w:hAnsi="Arial"/>
                <w:sz w:val="17"/>
                <w:szCs w:val="17"/>
                <w:color w:val="auto"/>
              </w:rPr>
              <w:t>41,010</w:t>
            </w:r>
          </w:p>
        </w:tc>
        <w:tc>
          <w:tcPr>
            <w:tcW w:w="1100" w:type="dxa"/>
            <w:vAlign w:val="bottom"/>
            <w:gridSpan w:val="2"/>
          </w:tcPr>
          <w:p>
            <w:pPr>
              <w:ind w:left="100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gridSpan w:val="2"/>
            <w:shd w:val="clear" w:color="auto" w:fill="CCEEFF"/>
          </w:tcPr>
          <w:p>
            <w:pPr>
              <w:jc w:val="center"/>
              <w:ind w:right="1000"/>
              <w:spacing w:after="0"/>
              <w:rPr>
                <w:sz w:val="20"/>
                <w:szCs w:val="20"/>
                <w:color w:val="auto"/>
              </w:rPr>
            </w:pPr>
            <w:r>
              <w:rPr>
                <w:rFonts w:ascii="Arial" w:cs="Arial" w:eastAsia="Arial" w:hAnsi="Arial"/>
                <w:sz w:val="17"/>
                <w:szCs w:val="17"/>
                <w:color w:val="auto"/>
                <w:w w:val="89"/>
              </w:rPr>
              <w:t>$50.00–$65.05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172,000</w:t>
            </w:r>
          </w:p>
        </w:tc>
        <w:tc>
          <w:tcPr>
            <w:tcW w:w="2680" w:type="dxa"/>
            <w:vAlign w:val="bottom"/>
            <w:gridSpan w:val="3"/>
            <w:shd w:val="clear" w:color="auto" w:fill="CCEEFF"/>
          </w:tcPr>
          <w:p>
            <w:pPr>
              <w:jc w:val="right"/>
              <w:ind w:right="1000"/>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58.19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gridSpan w:val="2"/>
          </w:tcPr>
          <w:p>
            <w:pPr>
              <w:jc w:val="center"/>
              <w:ind w:right="1000"/>
              <w:spacing w:after="0"/>
              <w:rPr>
                <w:sz w:val="20"/>
                <w:szCs w:val="20"/>
                <w:color w:val="auto"/>
              </w:rPr>
            </w:pPr>
            <w:r>
              <w:rPr>
                <w:rFonts w:ascii="Arial" w:cs="Arial" w:eastAsia="Arial" w:hAnsi="Arial"/>
                <w:sz w:val="17"/>
                <w:szCs w:val="17"/>
                <w:color w:val="auto"/>
                <w:w w:val="89"/>
              </w:rPr>
              <w:t>$18.00–$65.05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958,455</w:t>
            </w:r>
          </w:p>
        </w:tc>
        <w:tc>
          <w:tcPr>
            <w:tcW w:w="2680" w:type="dxa"/>
            <w:vAlign w:val="bottom"/>
            <w:gridSpan w:val="3"/>
          </w:tcPr>
          <w:p>
            <w:pPr>
              <w:jc w:val="right"/>
              <w:ind w:right="100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700" w:type="dxa"/>
            <w:vAlign w:val="bottom"/>
            <w:gridSpan w:val="2"/>
          </w:tcPr>
          <w:p>
            <w:pPr>
              <w:jc w:val="right"/>
              <w:ind w:right="1000"/>
              <w:spacing w:after="0"/>
              <w:rPr>
                <w:sz w:val="20"/>
                <w:szCs w:val="20"/>
                <w:color w:val="auto"/>
              </w:rPr>
            </w:pPr>
            <w:r>
              <w:rPr>
                <w:rFonts w:ascii="Arial" w:cs="Arial" w:eastAsia="Arial" w:hAnsi="Arial"/>
                <w:sz w:val="17"/>
                <w:szCs w:val="17"/>
                <w:color w:val="auto"/>
              </w:rPr>
              <w:t>32.52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659,626</w:t>
            </w:r>
          </w:p>
        </w:tc>
        <w:tc>
          <w:tcPr>
            <w:tcW w:w="1100" w:type="dxa"/>
            <w:vAlign w:val="bottom"/>
            <w:gridSpan w:val="2"/>
          </w:tcPr>
          <w:p>
            <w:pPr>
              <w:ind w:left="100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25.12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weighted average grant date fair value per option for options granted in 2005, 2004 and 2003 was $7.01, $6.13 and $1.32, respectively.</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12</w:t>
      </w:r>
      <w:r>
        <w:rPr>
          <w:rFonts w:ascii="Arial" w:cs="Arial" w:eastAsia="Arial" w:hAnsi="Arial"/>
          <w:sz w:val="17"/>
          <w:szCs w:val="17"/>
          <w:color w:val="auto"/>
        </w:rPr>
        <w:t>. SAVINGS AND RETIREMENT PLANS</w:t>
      </w:r>
    </w:p>
    <w:p>
      <w:pPr>
        <w:spacing w:after="0" w:line="103" w:lineRule="exact"/>
        <w:rPr>
          <w:sz w:val="20"/>
          <w:szCs w:val="20"/>
          <w:color w:val="auto"/>
        </w:rPr>
      </w:pPr>
    </w:p>
    <w:p>
      <w:pPr>
        <w:ind w:right="260" w:firstLine="457"/>
        <w:spacing w:after="0" w:line="309" w:lineRule="auto"/>
        <w:rPr>
          <w:sz w:val="20"/>
          <w:szCs w:val="20"/>
          <w:color w:val="auto"/>
        </w:rPr>
      </w:pPr>
      <w:r>
        <w:rPr>
          <w:rFonts w:ascii="Arial" w:cs="Arial" w:eastAsia="Arial" w:hAnsi="Arial"/>
          <w:sz w:val="15"/>
          <w:szCs w:val="15"/>
          <w:color w:val="auto"/>
        </w:rPr>
        <w:t>We have a savings and retirement plan in accordance with the provisions of Section 401(k) of the Internal Revenue Code. For employees who choose to contribute, their contributions can range, at their discretion, from 1% to 20% of compensation up to a maximum of $14,000, $13,000 and $12,000 for 2005, 2004 and 2003, respectively. Under the plan, we contribute 50% of each employee’s first 5% of contributions. In addition, we may make discretionary contributions within the limits of deductibility set forth by the Code. Our employees are immediately eligible to become plan participants. Effective as of January 1, 2005 employees are eligible to receive matching contributions immediately on their participation, however, these matching payments will not vest until their first anniversary of employment. Our expense for the years ended December 31, 2005, 2004 and 2003 was $333,000, $252,000 and $237,000, respectively.</w:t>
      </w:r>
    </w:p>
    <w:p>
      <w:pPr>
        <w:spacing w:after="0" w:line="104"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The plan allows the participants to defer future income until the earlier of age 65 or termination of employment. As of December 31, 2005, we are liable to participants for approximately $4.5 million under this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277" w:right="239" w:bottom="1440" w:gutter="0" w:footer="0" w:header="0"/>
        </w:sectPr>
      </w:pPr>
    </w:p>
    <w:bookmarkStart w:id="86" w:name="page87"/>
    <w:bookmarkEnd w:id="86"/>
    <w:p>
      <w:pPr>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plan. Although this is an unfunded plan, we have purchased certain investments to match this obligation. Our obligation under this plan and the related investments are both included in the accompanying financial statements.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13</w:t>
      </w:r>
      <w:r>
        <w:rPr>
          <w:rFonts w:ascii="Arial" w:cs="Arial" w:eastAsia="Arial" w:hAnsi="Arial"/>
          <w:sz w:val="17"/>
          <w:szCs w:val="17"/>
          <w:color w:val="auto"/>
        </w:rPr>
        <w:t>. INTEREST EXPENSE</w:t>
      </w:r>
    </w:p>
    <w:p>
      <w:pPr>
        <w:spacing w:after="0" w:line="103" w:lineRule="exact"/>
        <w:rPr>
          <w:sz w:val="20"/>
          <w:szCs w:val="20"/>
          <w:color w:val="auto"/>
        </w:rPr>
      </w:pPr>
    </w:p>
    <w:p>
      <w:pPr>
        <w:ind w:right="180" w:firstLine="457"/>
        <w:spacing w:after="0" w:line="324" w:lineRule="auto"/>
        <w:rPr>
          <w:sz w:val="20"/>
          <w:szCs w:val="20"/>
          <w:color w:val="auto"/>
        </w:rPr>
      </w:pPr>
      <w:r>
        <w:rPr>
          <w:rFonts w:ascii="Arial" w:cs="Arial" w:eastAsia="Arial" w:hAnsi="Arial"/>
          <w:sz w:val="16"/>
          <w:szCs w:val="16"/>
          <w:color w:val="auto"/>
        </w:rPr>
        <w:t>We incurred interest totaling $94.2 million, $90.2 million and $88.7 million in 2005, 2004 and 2003, respectively, of which $5.7 million, $5.1 million, and $13.5 million respectively, was capitalized. Interest paid was $90.0 million, $85.7 million and $85.7 million in 2005, 2004 and 2003, respectively.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14</w:t>
      </w:r>
      <w:r>
        <w:rPr>
          <w:rFonts w:ascii="Arial" w:cs="Arial" w:eastAsia="Arial" w:hAnsi="Arial"/>
          <w:sz w:val="17"/>
          <w:szCs w:val="17"/>
          <w:color w:val="auto"/>
        </w:rPr>
        <w:t>. SUBSEQUENT EVENTS</w:t>
      </w:r>
    </w:p>
    <w:p>
      <w:pPr>
        <w:spacing w:after="0" w:line="103"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On January 20, 2006, we acquired 4900 Hampden Lane, a fully leased 35,000 square feet retail building for $12.0 million in cash. This property is located in Bethesda, Maryland adjacent to our Bethesda Row property.</w:t>
      </w:r>
    </w:p>
    <w:p>
      <w:pPr>
        <w:spacing w:after="0" w:line="111" w:lineRule="exact"/>
        <w:rPr>
          <w:sz w:val="20"/>
          <w:szCs w:val="20"/>
          <w:color w:val="auto"/>
        </w:rPr>
      </w:pPr>
    </w:p>
    <w:p>
      <w:pPr>
        <w:ind w:right="720" w:firstLine="457"/>
        <w:spacing w:after="0" w:line="291" w:lineRule="auto"/>
        <w:rPr>
          <w:sz w:val="20"/>
          <w:szCs w:val="20"/>
          <w:color w:val="auto"/>
        </w:rPr>
      </w:pPr>
      <w:r>
        <w:rPr>
          <w:rFonts w:ascii="Arial" w:cs="Arial" w:eastAsia="Arial" w:hAnsi="Arial"/>
          <w:sz w:val="17"/>
          <w:szCs w:val="17"/>
          <w:color w:val="auto"/>
        </w:rPr>
        <w:t>On January 27, 2006, we acquired Gold’s Gym Plaza, a fully leased 60,000 square feet retail building for $10.0 million. This property is located in Alexandria, Virginia adjacent to our Mount Vernon and South Valley properties.</w:t>
      </w:r>
    </w:p>
    <w:p>
      <w:pPr>
        <w:spacing w:after="0" w:line="111"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On February 17, 2006, the Trustees declared a quarterly dividend of $0.555 per common share payable on April 17, 2006 and a special dividend of $0.20 per common share payable on March 30, 2006, both to shareholders of record on March 14, 2006. The special dividend is a result of the sales of condominiums of Santana Row. Also on February 17, 2006, the Trustees declared a quarterly cash dividend of $0.53125 per share on our Series B Cumulative Redeemable Preferred Shares, payable on April 28, 2006 to shareholders of record on April 17, 2006.</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320"/>
          </w:cols>
          <w:pgMar w:left="240" w:top="277" w:right="339" w:bottom="1440" w:gutter="0" w:footer="0" w:header="0"/>
        </w:sectPr>
      </w:pPr>
    </w:p>
    <w:bookmarkStart w:id="87" w:name="page88"/>
    <w:bookmarkEnd w:id="87"/>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 xml:space="preserve">NOTE 15. </w:t>
      </w:r>
      <w:r>
        <w:rPr>
          <w:rFonts w:ascii="Arial" w:cs="Arial" w:eastAsia="Arial" w:hAnsi="Arial"/>
          <w:sz w:val="17"/>
          <w:szCs w:val="17"/>
          <w:color w:val="auto"/>
        </w:rPr>
        <w:t>SEGMENT INFORMATION</w:t>
      </w:r>
    </w:p>
    <w:p>
      <w:pPr>
        <w:spacing w:after="0" w:line="10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We operate our portfolio of properties in two geographic operating regions: East and West, which constitute our segments under Statement of Financial Accounting Standard No. 131, “Disclosures about Segments of an Enterprise and Related Information.” Based on changes in our property management structure in 2004, we determined that our portfolio should be divided into two operating regions (East and West), rather than three (Northeast, Mid-Atlantic and West) as previously reported.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our operations by geographic region is presented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3"/>
                <w:szCs w:val="13"/>
                <w:b w:val="1"/>
                <w:bCs w:val="1"/>
                <w:color w:val="auto"/>
                <w:w w:val="93"/>
              </w:rPr>
              <w:t>Year Ended December 31, 2005</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5"/>
              <w:spacing w:after="0" w:line="140" w:lineRule="exact"/>
              <w:rPr>
                <w:sz w:val="20"/>
                <w:szCs w:val="20"/>
                <w:color w:val="auto"/>
              </w:rPr>
            </w:pPr>
            <w:r>
              <w:rPr>
                <w:rFonts w:ascii="Arial" w:cs="Arial" w:eastAsia="Arial" w:hAnsi="Arial"/>
                <w:sz w:val="13"/>
                <w:szCs w:val="13"/>
                <w:b w:val="1"/>
                <w:bCs w:val="1"/>
                <w:color w:val="auto"/>
              </w:rPr>
              <w:t>East</w:t>
            </w:r>
          </w:p>
        </w:tc>
        <w:tc>
          <w:tcPr>
            <w:tcW w:w="40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7"/>
              <w:spacing w:after="0" w:line="140" w:lineRule="exact"/>
              <w:rPr>
                <w:sz w:val="20"/>
                <w:szCs w:val="20"/>
                <w:color w:val="auto"/>
              </w:rPr>
            </w:pPr>
            <w:r>
              <w:rPr>
                <w:rFonts w:ascii="Arial" w:cs="Arial" w:eastAsia="Arial" w:hAnsi="Arial"/>
                <w:sz w:val="13"/>
                <w:szCs w:val="13"/>
                <w:b w:val="1"/>
                <w:bCs w:val="1"/>
                <w:color w:val="auto"/>
                <w:w w:val="89"/>
              </w:rPr>
              <w:t>West</w:t>
            </w:r>
          </w:p>
        </w:tc>
        <w:tc>
          <w:tcPr>
            <w:tcW w:w="2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0" w:lineRule="exact"/>
              <w:rPr>
                <w:sz w:val="20"/>
                <w:szCs w:val="20"/>
                <w:color w:val="auto"/>
              </w:rPr>
            </w:pPr>
            <w:r>
              <w:rPr>
                <w:rFonts w:ascii="Arial" w:cs="Arial" w:eastAsia="Arial" w:hAnsi="Arial"/>
                <w:sz w:val="13"/>
                <w:szCs w:val="13"/>
                <w:b w:val="1"/>
                <w:bCs w:val="1"/>
                <w:color w:val="auto"/>
              </w:rPr>
              <w:t>Other</w:t>
            </w:r>
          </w:p>
        </w:tc>
        <w:tc>
          <w:tcPr>
            <w:tcW w:w="2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40"/>
              <w:spacing w:after="0" w:line="140"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5"/>
          </w:tcPr>
          <w:p>
            <w:pPr>
              <w:jc w:val="right"/>
              <w:ind w:right="415"/>
              <w:spacing w:after="0" w:line="140" w:lineRule="exact"/>
              <w:rPr>
                <w:sz w:val="20"/>
                <w:szCs w:val="20"/>
                <w:color w:val="auto"/>
              </w:rPr>
            </w:pPr>
            <w:r>
              <w:rPr>
                <w:rFonts w:ascii="Arial" w:cs="Arial" w:eastAsia="Arial" w:hAnsi="Arial"/>
                <w:sz w:val="13"/>
                <w:szCs w:val="13"/>
                <w:b w:val="1"/>
                <w:bCs w:val="1"/>
                <w:color w:val="auto"/>
                <w:w w:val="88"/>
              </w:rPr>
              <w:t>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311,918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83,485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395,403</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Other property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4,169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5,388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9,557</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2,552</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5,370</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Rental expenses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(58,698)</w:t>
            </w:r>
          </w:p>
        </w:tc>
        <w:tc>
          <w:tcPr>
            <w:tcW w:w="320" w:type="dxa"/>
            <w:vAlign w:val="bottom"/>
          </w:tcPr>
          <w:p>
            <w:pPr>
              <w:spacing w:after="0"/>
              <w:rPr>
                <w:sz w:val="18"/>
                <w:szCs w:val="18"/>
                <w:color w:val="auto"/>
              </w:rPr>
            </w:pPr>
          </w:p>
        </w:tc>
        <w:tc>
          <w:tcPr>
            <w:tcW w:w="940" w:type="dxa"/>
            <w:vAlign w:val="bottom"/>
            <w:gridSpan w:val="5"/>
          </w:tcPr>
          <w:p>
            <w:pPr>
              <w:jc w:val="right"/>
              <w:ind w:right="113"/>
              <w:spacing w:after="0"/>
              <w:rPr>
                <w:sz w:val="20"/>
                <w:szCs w:val="20"/>
                <w:color w:val="auto"/>
              </w:rPr>
            </w:pPr>
            <w:r>
              <w:rPr>
                <w:rFonts w:ascii="Arial" w:cs="Arial" w:eastAsia="Arial" w:hAnsi="Arial"/>
                <w:sz w:val="17"/>
                <w:szCs w:val="17"/>
                <w:color w:val="auto"/>
              </w:rPr>
              <w:t>(26,388)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(85,086)</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(32,802)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13"/>
              <w:spacing w:after="0"/>
              <w:rPr>
                <w:sz w:val="20"/>
                <w:szCs w:val="20"/>
                <w:color w:val="auto"/>
              </w:rPr>
            </w:pPr>
            <w:r>
              <w:rPr>
                <w:rFonts w:ascii="Arial" w:cs="Arial" w:eastAsia="Arial" w:hAnsi="Arial"/>
                <w:sz w:val="17"/>
                <w:szCs w:val="17"/>
                <w:color w:val="auto"/>
              </w:rPr>
              <w:t>(6,762)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(39,564)</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Property operating income</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227,405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58,275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285,680</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7"/>
              </w:rPr>
              <w:t>(19,909)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(19,909)</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(62,925)</w:t>
            </w:r>
          </w:p>
        </w:tc>
        <w:tc>
          <w:tcPr>
            <w:tcW w:w="320" w:type="dxa"/>
            <w:vAlign w:val="bottom"/>
          </w:tcPr>
          <w:p>
            <w:pPr>
              <w:spacing w:after="0"/>
              <w:rPr>
                <w:sz w:val="18"/>
                <w:szCs w:val="18"/>
                <w:color w:val="auto"/>
              </w:rPr>
            </w:pPr>
          </w:p>
        </w:tc>
        <w:tc>
          <w:tcPr>
            <w:tcW w:w="940" w:type="dxa"/>
            <w:vAlign w:val="bottom"/>
            <w:gridSpan w:val="5"/>
          </w:tcPr>
          <w:p>
            <w:pPr>
              <w:jc w:val="right"/>
              <w:ind w:right="113"/>
              <w:spacing w:after="0"/>
              <w:rPr>
                <w:sz w:val="20"/>
                <w:szCs w:val="20"/>
                <w:color w:val="auto"/>
              </w:rPr>
            </w:pPr>
            <w:r>
              <w:rPr>
                <w:rFonts w:ascii="Arial" w:cs="Arial" w:eastAsia="Arial" w:hAnsi="Arial"/>
                <w:sz w:val="17"/>
                <w:szCs w:val="17"/>
                <w:color w:val="auto"/>
              </w:rPr>
              <w:t>(25,063)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7"/>
                <w:szCs w:val="17"/>
                <w:color w:val="auto"/>
              </w:rPr>
              <w:t>(1,469)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(89,457)</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2,215</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7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7"/>
                <w:szCs w:val="17"/>
                <w:color w:val="auto"/>
                <w:w w:val="97"/>
              </w:rPr>
              <w:t>(88,566)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(88,566)</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4"/>
              </w:rPr>
              <w:t>493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Income before minority interests and discontinued operations</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vMerge w:val="continue"/>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166,601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96"/>
              </w:rPr>
              <w:t>33,306</w:t>
            </w:r>
          </w:p>
        </w:tc>
        <w:tc>
          <w:tcPr>
            <w:tcW w:w="200" w:type="dxa"/>
            <w:vAlign w:val="bottom"/>
          </w:tcPr>
          <w:p>
            <w:pPr>
              <w:spacing w:after="0"/>
              <w:rPr>
                <w:sz w:val="19"/>
                <w:szCs w:val="19"/>
                <w:color w:val="auto"/>
              </w:rPr>
            </w:pPr>
          </w:p>
        </w:tc>
        <w:tc>
          <w:tcPr>
            <w:tcW w:w="1140" w:type="dxa"/>
            <w:vAlign w:val="bottom"/>
            <w:gridSpan w:val="5"/>
          </w:tcPr>
          <w:p>
            <w:pPr>
              <w:jc w:val="right"/>
              <w:ind w:right="180"/>
              <w:spacing w:after="0"/>
              <w:rPr>
                <w:sz w:val="20"/>
                <w:szCs w:val="20"/>
                <w:color w:val="auto"/>
              </w:rPr>
            </w:pPr>
            <w:r>
              <w:rPr>
                <w:rFonts w:ascii="Arial" w:cs="Arial" w:eastAsia="Arial" w:hAnsi="Arial"/>
                <w:sz w:val="17"/>
                <w:szCs w:val="17"/>
                <w:color w:val="auto"/>
              </w:rPr>
              <w:t>$ (109,451)</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90,456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$ 1,368,925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9"/>
              </w:rPr>
              <w:t>$ 908,621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73,306</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2,350,852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3"/>
                <w:szCs w:val="13"/>
                <w:b w:val="1"/>
                <w:bCs w:val="1"/>
                <w:color w:val="auto"/>
                <w:w w:val="91"/>
              </w:rPr>
              <w:t>Year Ended December 31, 2004</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60"/>
              <w:spacing w:after="0" w:line="140" w:lineRule="exact"/>
              <w:rPr>
                <w:sz w:val="20"/>
                <w:szCs w:val="20"/>
                <w:color w:val="auto"/>
              </w:rPr>
            </w:pPr>
            <w:r>
              <w:rPr>
                <w:rFonts w:ascii="Arial" w:cs="Arial" w:eastAsia="Arial" w:hAnsi="Arial"/>
                <w:sz w:val="13"/>
                <w:szCs w:val="13"/>
                <w:b w:val="1"/>
                <w:bCs w:val="1"/>
                <w:color w:val="auto"/>
              </w:rPr>
              <w:t>East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33"/>
              <w:spacing w:after="0" w:line="140" w:lineRule="exact"/>
              <w:rPr>
                <w:sz w:val="20"/>
                <w:szCs w:val="20"/>
                <w:color w:val="auto"/>
              </w:rPr>
            </w:pPr>
            <w:r>
              <w:rPr>
                <w:rFonts w:ascii="Arial" w:cs="Arial" w:eastAsia="Arial" w:hAnsi="Arial"/>
                <w:sz w:val="13"/>
                <w:szCs w:val="13"/>
                <w:b w:val="1"/>
                <w:bCs w:val="1"/>
                <w:color w:val="auto"/>
              </w:rPr>
              <w:t>West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60"/>
              <w:spacing w:after="0" w:line="140"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60"/>
              <w:spacing w:after="0" w:line="140"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1120" w:type="dxa"/>
            <w:vAlign w:val="bottom"/>
            <w:gridSpan w:val="5"/>
          </w:tcPr>
          <w:p>
            <w:pPr>
              <w:ind w:left="20"/>
              <w:spacing w:after="0" w:line="140" w:lineRule="exact"/>
              <w:rPr>
                <w:sz w:val="20"/>
                <w:szCs w:val="20"/>
                <w:color w:val="auto"/>
              </w:rPr>
            </w:pPr>
            <w:r>
              <w:rPr>
                <w:rFonts w:ascii="Arial" w:cs="Arial" w:eastAsia="Arial" w:hAnsi="Arial"/>
                <w:sz w:val="13"/>
                <w:szCs w:val="13"/>
                <w:b w:val="1"/>
                <w:bCs w:val="1"/>
                <w:color w:val="auto"/>
              </w:rPr>
              <w:t>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295,061</w:t>
            </w:r>
          </w:p>
        </w:tc>
        <w:tc>
          <w:tcPr>
            <w:tcW w:w="3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$ 75,008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370,069</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Other property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3,887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6,516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10,403</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4,915</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Rental expenses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(60,722)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3"/>
              <w:spacing w:after="0"/>
              <w:rPr>
                <w:sz w:val="20"/>
                <w:szCs w:val="20"/>
                <w:color w:val="auto"/>
              </w:rPr>
            </w:pPr>
            <w:r>
              <w:rPr>
                <w:rFonts w:ascii="Arial" w:cs="Arial" w:eastAsia="Arial" w:hAnsi="Arial"/>
                <w:sz w:val="17"/>
                <w:szCs w:val="17"/>
                <w:color w:val="auto"/>
                <w:w w:val="94"/>
              </w:rPr>
              <w:t>(29,487)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(90,209)</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(31,817)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rPr>
              <w:t>(5,732)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(37,549)</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Property operating income</w:t>
            </w: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209,248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48,381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257,629</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(18,164)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(18,164)</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(63,081)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3"/>
              <w:spacing w:after="0"/>
              <w:rPr>
                <w:sz w:val="20"/>
                <w:szCs w:val="20"/>
                <w:color w:val="auto"/>
              </w:rPr>
            </w:pPr>
            <w:r>
              <w:rPr>
                <w:rFonts w:ascii="Arial" w:cs="Arial" w:eastAsia="Arial" w:hAnsi="Arial"/>
                <w:sz w:val="17"/>
                <w:szCs w:val="17"/>
                <w:color w:val="auto"/>
                <w:w w:val="94"/>
              </w:rPr>
              <w:t>(22,581)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(1,426)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(87,088)</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1,504</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3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(85,058)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(85,058)</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205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Income before minority interests and discontinued operations</w:t>
            </w:r>
          </w:p>
        </w:tc>
        <w:tc>
          <w:tcPr>
            <w:tcW w:w="2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vMerge w:val="continue"/>
          </w:tcPr>
          <w:p>
            <w:pPr>
              <w:spacing w:after="0"/>
              <w:rPr>
                <w:sz w:val="19"/>
                <w:szCs w:val="19"/>
                <w:color w:val="auto"/>
              </w:rPr>
            </w:pPr>
          </w:p>
        </w:tc>
        <w:tc>
          <w:tcPr>
            <w:tcW w:w="24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147,564</w:t>
            </w:r>
          </w:p>
        </w:tc>
        <w:tc>
          <w:tcPr>
            <w:tcW w:w="3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25,907</w:t>
            </w:r>
          </w:p>
        </w:tc>
        <w:tc>
          <w:tcPr>
            <w:tcW w:w="200" w:type="dxa"/>
            <w:vAlign w:val="bottom"/>
          </w:tcPr>
          <w:p>
            <w:pPr>
              <w:spacing w:after="0"/>
              <w:rPr>
                <w:sz w:val="19"/>
                <w:szCs w:val="19"/>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$ 104,443)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69,028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060" w:type="dxa"/>
            <w:vAlign w:val="bottom"/>
            <w:gridSpan w:val="5"/>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1,264,135</w:t>
            </w:r>
          </w:p>
        </w:tc>
        <w:tc>
          <w:tcPr>
            <w:tcW w:w="32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133"/>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911,136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91,625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2,266,896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900" w:type="dxa"/>
            <w:vAlign w:val="bottom"/>
          </w:tcPr>
          <w:p>
            <w:pPr>
              <w:spacing w:after="0"/>
              <w:rPr>
                <w:sz w:val="24"/>
                <w:szCs w:val="24"/>
                <w:color w:val="auto"/>
              </w:rPr>
            </w:pPr>
          </w:p>
        </w:tc>
        <w:tc>
          <w:tcPr>
            <w:tcW w:w="2400" w:type="dxa"/>
            <w:vAlign w:val="bottom"/>
            <w:gridSpan w:val="3"/>
          </w:tcPr>
          <w:p>
            <w:pPr>
              <w:jc w:val="right"/>
              <w:ind w:right="1420"/>
              <w:spacing w:after="0"/>
              <w:rPr>
                <w:sz w:val="20"/>
                <w:szCs w:val="20"/>
                <w:color w:val="auto"/>
              </w:rPr>
            </w:pPr>
            <w:r>
              <w:rPr>
                <w:rFonts w:ascii="Arial" w:cs="Arial" w:eastAsia="Arial" w:hAnsi="Arial"/>
                <w:sz w:val="17"/>
                <w:szCs w:val="17"/>
                <w:color w:val="auto"/>
              </w:rPr>
              <w:t>F-29</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w w:val="93"/>
              </w:rPr>
              <w:t>Year Ended December 31, 2003</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0" w:lineRule="exact"/>
              <w:rPr>
                <w:sz w:val="20"/>
                <w:szCs w:val="20"/>
                <w:color w:val="auto"/>
              </w:rPr>
            </w:pPr>
            <w:r>
              <w:rPr>
                <w:rFonts w:ascii="Arial" w:cs="Arial" w:eastAsia="Arial" w:hAnsi="Arial"/>
                <w:sz w:val="13"/>
                <w:szCs w:val="13"/>
                <w:b w:val="1"/>
                <w:bCs w:val="1"/>
                <w:color w:val="auto"/>
              </w:rPr>
              <w:t>East</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3"/>
                <w:szCs w:val="13"/>
                <w:b w:val="1"/>
                <w:bCs w:val="1"/>
                <w:color w:val="auto"/>
              </w:rPr>
              <w:t>West</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5"/>
              <w:spacing w:after="0" w:line="140" w:lineRule="exact"/>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0"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0" w:lineRule="exact"/>
              <w:rPr>
                <w:sz w:val="20"/>
                <w:szCs w:val="20"/>
                <w:color w:val="auto"/>
              </w:rPr>
            </w:pPr>
            <w:r>
              <w:rPr>
                <w:rFonts w:ascii="Arial" w:cs="Arial" w:eastAsia="Arial" w:hAnsi="Arial"/>
                <w:sz w:val="13"/>
                <w:szCs w:val="13"/>
                <w:b w:val="1"/>
                <w:bCs w:val="1"/>
                <w:color w:val="auto"/>
              </w:rPr>
              <w:t>(In</w:t>
            </w:r>
          </w:p>
        </w:tc>
        <w:tc>
          <w:tcPr>
            <w:tcW w:w="1220" w:type="dxa"/>
            <w:vAlign w:val="bottom"/>
            <w:gridSpan w:val="3"/>
          </w:tcPr>
          <w:p>
            <w:pPr>
              <w:jc w:val="right"/>
              <w:ind w:right="455"/>
              <w:spacing w:after="0" w:line="140" w:lineRule="exact"/>
              <w:rPr>
                <w:sz w:val="20"/>
                <w:szCs w:val="20"/>
                <w:color w:val="auto"/>
              </w:rPr>
            </w:pPr>
            <w:r>
              <w:rPr>
                <w:rFonts w:ascii="Arial" w:cs="Arial" w:eastAsia="Arial" w:hAnsi="Arial"/>
                <w:sz w:val="13"/>
                <w:szCs w:val="13"/>
                <w:b w:val="1"/>
                <w:bCs w:val="1"/>
                <w:color w:val="auto"/>
                <w:w w:val="94"/>
              </w:rPr>
              <w:t>thousands)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59,797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Other property income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3"/>
              <w:spacing w:after="0"/>
              <w:rPr>
                <w:sz w:val="20"/>
                <w:szCs w:val="20"/>
                <w:color w:val="auto"/>
              </w:rPr>
            </w:pPr>
            <w:r>
              <w:rPr>
                <w:rFonts w:ascii="Arial" w:cs="Arial" w:eastAsia="Arial" w:hAnsi="Arial"/>
                <w:sz w:val="17"/>
                <w:szCs w:val="17"/>
                <w:color w:val="auto"/>
              </w:rPr>
              <w:t>1,441</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1,334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Rental expenses</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(57,315)</w:t>
            </w:r>
          </w:p>
        </w:tc>
        <w:tc>
          <w:tcPr>
            <w:tcW w:w="100" w:type="dxa"/>
            <w:vAlign w:val="bottom"/>
          </w:tcPr>
          <w:p>
            <w:pPr>
              <w:spacing w:after="0"/>
              <w:rPr>
                <w:sz w:val="18"/>
                <w:szCs w:val="18"/>
                <w:color w:val="auto"/>
              </w:rPr>
            </w:pPr>
          </w:p>
        </w:tc>
        <w:tc>
          <w:tcPr>
            <w:tcW w:w="1080" w:type="dxa"/>
            <w:vAlign w:val="bottom"/>
            <w:gridSpan w:val="2"/>
          </w:tcPr>
          <w:p>
            <w:pPr>
              <w:jc w:val="right"/>
              <w:ind w:right="393"/>
              <w:spacing w:after="0"/>
              <w:rPr>
                <w:sz w:val="20"/>
                <w:szCs w:val="20"/>
                <w:color w:val="auto"/>
              </w:rPr>
            </w:pPr>
            <w:r>
              <w:rPr>
                <w:rFonts w:ascii="Arial" w:cs="Arial" w:eastAsia="Arial" w:hAnsi="Arial"/>
                <w:sz w:val="17"/>
                <w:szCs w:val="17"/>
                <w:color w:val="auto"/>
                <w:w w:val="94"/>
              </w:rPr>
              <w:t>(23,467)</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(80,782)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(29,445)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(4,213)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(33,658)</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7"/>
                <w:szCs w:val="17"/>
                <w:color w:val="auto"/>
              </w:rPr>
              <w:t>Property operating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196,430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3"/>
              <w:spacing w:after="0"/>
              <w:rPr>
                <w:sz w:val="20"/>
                <w:szCs w:val="20"/>
                <w:color w:val="auto"/>
              </w:rPr>
            </w:pPr>
            <w:r>
              <w:rPr>
                <w:rFonts w:ascii="Arial" w:cs="Arial" w:eastAsia="Arial" w:hAnsi="Arial"/>
                <w:sz w:val="17"/>
                <w:szCs w:val="17"/>
                <w:color w:val="auto"/>
              </w:rPr>
              <w:t>34,892</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231,322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4"/>
              </w:rPr>
              <w:t>(11,820)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(56,609)</w:t>
            </w:r>
          </w:p>
        </w:tc>
        <w:tc>
          <w:tcPr>
            <w:tcW w:w="100" w:type="dxa"/>
            <w:vAlign w:val="bottom"/>
          </w:tcPr>
          <w:p>
            <w:pPr>
              <w:spacing w:after="0"/>
              <w:rPr>
                <w:sz w:val="18"/>
                <w:szCs w:val="18"/>
                <w:color w:val="auto"/>
              </w:rPr>
            </w:pPr>
          </w:p>
        </w:tc>
        <w:tc>
          <w:tcPr>
            <w:tcW w:w="1080" w:type="dxa"/>
            <w:vAlign w:val="bottom"/>
            <w:gridSpan w:val="2"/>
          </w:tcPr>
          <w:p>
            <w:pPr>
              <w:jc w:val="right"/>
              <w:ind w:right="393"/>
              <w:spacing w:after="0"/>
              <w:rPr>
                <w:sz w:val="20"/>
                <w:szCs w:val="20"/>
                <w:color w:val="auto"/>
              </w:rPr>
            </w:pPr>
            <w:r>
              <w:rPr>
                <w:rFonts w:ascii="Arial" w:cs="Arial" w:eastAsia="Arial" w:hAnsi="Arial"/>
                <w:sz w:val="17"/>
                <w:szCs w:val="17"/>
                <w:color w:val="auto"/>
                <w:w w:val="94"/>
              </w:rPr>
              <w:t>(15,139)</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(921)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(72,669)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349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(75,232)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(75,232)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Income before minority interests and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20,102</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$ 87,973)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7"/>
                <w:szCs w:val="17"/>
                <w:color w:val="auto"/>
              </w:rPr>
              <w:t>Total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8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1,309,803</w:t>
            </w:r>
          </w:p>
        </w:tc>
        <w:tc>
          <w:tcPr>
            <w:tcW w:w="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453"/>
              <w:spacing w:after="0"/>
              <w:rPr>
                <w:sz w:val="20"/>
                <w:szCs w:val="20"/>
                <w:color w:val="auto"/>
              </w:rPr>
            </w:pPr>
            <w:r>
              <w:rPr>
                <w:rFonts w:ascii="Arial" w:cs="Arial" w:eastAsia="Arial" w:hAnsi="Arial"/>
                <w:sz w:val="17"/>
                <w:szCs w:val="17"/>
                <w:color w:val="auto"/>
                <w:w w:val="87"/>
              </w:rPr>
              <w:t>751,717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79,665</w:t>
            </w:r>
          </w:p>
        </w:tc>
        <w:tc>
          <w:tcPr>
            <w:tcW w:w="2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2,141,185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There are no transactions between geographic areas.</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273" w:right="239" w:bottom="1440" w:gutter="0" w:footer="0" w:header="0"/>
        </w:sectPr>
      </w:pPr>
    </w:p>
    <w:bookmarkStart w:id="89" w:name="page90"/>
    <w:bookmarkEnd w:id="89"/>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NOTE 16</w:t>
      </w:r>
      <w:r>
        <w:rPr>
          <w:rFonts w:ascii="Arial" w:cs="Arial" w:eastAsia="Arial" w:hAnsi="Arial"/>
          <w:sz w:val="17"/>
          <w:szCs w:val="17"/>
          <w:color w:val="auto"/>
        </w:rPr>
        <w:t>. SELECTED QUARTERLY FINANCIAL DATA (UNAUDITED)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Summarized quarterly financial data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First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0"/>
              <w:spacing w:after="0"/>
              <w:rPr>
                <w:sz w:val="20"/>
                <w:szCs w:val="20"/>
                <w:color w:val="auto"/>
              </w:rPr>
            </w:pPr>
            <w:r>
              <w:rPr>
                <w:rFonts w:ascii="Arial" w:cs="Arial" w:eastAsia="Arial" w:hAnsi="Arial"/>
                <w:sz w:val="13"/>
                <w:szCs w:val="13"/>
                <w:b w:val="1"/>
                <w:bCs w:val="1"/>
                <w:color w:val="auto"/>
                <w:w w:val="85"/>
              </w:rPr>
              <w:t>Second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Third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19"/>
              <w:spacing w:after="0"/>
              <w:rPr>
                <w:sz w:val="20"/>
                <w:szCs w:val="20"/>
                <w:color w:val="auto"/>
              </w:rPr>
            </w:pPr>
            <w:r>
              <w:rPr>
                <w:rFonts w:ascii="Arial" w:cs="Arial" w:eastAsia="Arial" w:hAnsi="Arial"/>
                <w:sz w:val="13"/>
                <w:szCs w:val="13"/>
                <w:b w:val="1"/>
                <w:bCs w:val="1"/>
                <w:color w:val="auto"/>
                <w:w w:val="97"/>
              </w:rPr>
              <w:t>Fourth</w:t>
            </w:r>
          </w:p>
        </w:tc>
        <w:tc>
          <w:tcPr>
            <w:tcW w:w="0" w:type="dxa"/>
            <w:vAlign w:val="bottom"/>
          </w:tcPr>
          <w:p>
            <w:pPr>
              <w:spacing w:after="0"/>
              <w:rPr>
                <w:sz w:val="1"/>
                <w:szCs w:val="1"/>
                <w:color w:val="auto"/>
              </w:rPr>
            </w:pPr>
          </w:p>
        </w:tc>
      </w:tr>
      <w:tr>
        <w:trPr>
          <w:trHeight w:val="159"/>
        </w:trPr>
        <w:tc>
          <w:tcPr>
            <w:tcW w:w="786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7"/>
              </w:rPr>
              <w:t>Quarter</w:t>
            </w:r>
          </w:p>
        </w:tc>
        <w:tc>
          <w:tcPr>
            <w:tcW w:w="2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(In</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3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Quarter</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Arial" w:cs="Arial" w:eastAsia="Arial" w:hAnsi="Arial"/>
                <w:sz w:val="13"/>
                <w:szCs w:val="13"/>
                <w:b w:val="1"/>
                <w:bCs w:val="1"/>
                <w:color w:val="auto"/>
                <w:w w:val="97"/>
              </w:rPr>
              <w:t>Quarter</w:t>
            </w:r>
          </w:p>
        </w:tc>
        <w:tc>
          <w:tcPr>
            <w:tcW w:w="0" w:type="dxa"/>
            <w:vAlign w:val="bottom"/>
          </w:tcPr>
          <w:p>
            <w:pPr>
              <w:spacing w:after="0"/>
              <w:rPr>
                <w:sz w:val="1"/>
                <w:szCs w:val="1"/>
                <w:color w:val="auto"/>
              </w:rPr>
            </w:pPr>
          </w:p>
        </w:tc>
      </w:tr>
      <w:tr>
        <w:trPr>
          <w:trHeight w:val="140"/>
        </w:trPr>
        <w:tc>
          <w:tcPr>
            <w:tcW w:w="7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62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b w:val="1"/>
                <w:bCs w:val="1"/>
                <w:color w:val="auto"/>
                <w:w w:val="86"/>
              </w:rPr>
              <w:t>thousands,</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w w:val="73"/>
              </w:rPr>
              <w:t>except</w:t>
            </w:r>
          </w:p>
        </w:tc>
        <w:tc>
          <w:tcPr>
            <w:tcW w:w="620" w:type="dxa"/>
            <w:vAlign w:val="bottom"/>
            <w:tcBorders>
              <w:top w:val="single" w:sz="8" w:color="auto"/>
            </w:tcBorders>
            <w:gridSpan w:val="2"/>
          </w:tcPr>
          <w:p>
            <w:pPr>
              <w:ind w:left="100"/>
              <w:spacing w:after="0" w:line="140" w:lineRule="exact"/>
              <w:rPr>
                <w:sz w:val="20"/>
                <w:szCs w:val="20"/>
                <w:color w:val="auto"/>
              </w:rPr>
            </w:pPr>
            <w:r>
              <w:rPr>
                <w:rFonts w:ascii="Arial" w:cs="Arial" w:eastAsia="Arial" w:hAnsi="Arial"/>
                <w:sz w:val="13"/>
                <w:szCs w:val="13"/>
                <w:b w:val="1"/>
                <w:bCs w:val="1"/>
                <w:color w:val="auto"/>
                <w:w w:val="85"/>
              </w:rPr>
              <w:t>per share</w:t>
            </w:r>
          </w:p>
        </w:tc>
        <w:tc>
          <w:tcPr>
            <w:tcW w:w="32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83"/>
              </w:rPr>
              <w:t>data)</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2005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7"/>
                <w:szCs w:val="17"/>
                <w:color w:val="auto"/>
              </w:rPr>
              <w:t>Rental income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98,306</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$ 96,175</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97,233</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103,689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23,997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$ 24,807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30,680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35,128</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7"/>
                <w:szCs w:val="17"/>
                <w:color w:val="auto"/>
              </w:rPr>
              <w:t>Net income available for common shareholders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21,128</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$ 21,938</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27,812</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32,259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220"/>
        </w:trPr>
        <w:tc>
          <w:tcPr>
            <w:tcW w:w="7860" w:type="dxa"/>
            <w:vAlign w:val="bottom"/>
          </w:tcPr>
          <w:p>
            <w:pPr>
              <w:spacing w:after="0"/>
              <w:rPr>
                <w:sz w:val="20"/>
                <w:szCs w:val="20"/>
                <w:color w:val="auto"/>
              </w:rPr>
            </w:pPr>
            <w:r>
              <w:rPr>
                <w:rFonts w:ascii="Arial" w:cs="Arial" w:eastAsia="Arial" w:hAnsi="Arial"/>
                <w:sz w:val="17"/>
                <w:szCs w:val="17"/>
                <w:color w:val="auto"/>
              </w:rPr>
              <w:t>Earnings per common share — diluted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0.40</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0.41</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0.52</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339"/>
        </w:trPr>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First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40"/>
              <w:spacing w:after="0"/>
              <w:rPr>
                <w:sz w:val="20"/>
                <w:szCs w:val="20"/>
                <w:color w:val="auto"/>
              </w:rPr>
            </w:pPr>
            <w:r>
              <w:rPr>
                <w:rFonts w:ascii="Arial" w:cs="Arial" w:eastAsia="Arial" w:hAnsi="Arial"/>
                <w:sz w:val="13"/>
                <w:szCs w:val="13"/>
                <w:b w:val="1"/>
                <w:bCs w:val="1"/>
                <w:color w:val="auto"/>
                <w:w w:val="85"/>
              </w:rPr>
              <w:t>Second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Third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ind w:right="19"/>
              <w:spacing w:after="0"/>
              <w:rPr>
                <w:sz w:val="20"/>
                <w:szCs w:val="20"/>
                <w:color w:val="auto"/>
              </w:rPr>
            </w:pPr>
            <w:r>
              <w:rPr>
                <w:rFonts w:ascii="Arial" w:cs="Arial" w:eastAsia="Arial" w:hAnsi="Arial"/>
                <w:sz w:val="13"/>
                <w:szCs w:val="13"/>
                <w:b w:val="1"/>
                <w:bCs w:val="1"/>
                <w:color w:val="auto"/>
                <w:w w:val="97"/>
              </w:rPr>
              <w:t>Fourth</w:t>
            </w:r>
          </w:p>
        </w:tc>
        <w:tc>
          <w:tcPr>
            <w:tcW w:w="0" w:type="dxa"/>
            <w:vAlign w:val="bottom"/>
          </w:tcPr>
          <w:p>
            <w:pPr>
              <w:spacing w:after="0"/>
              <w:rPr>
                <w:sz w:val="1"/>
                <w:szCs w:val="1"/>
                <w:color w:val="auto"/>
              </w:rPr>
            </w:pPr>
          </w:p>
        </w:tc>
      </w:tr>
      <w:tr>
        <w:trPr>
          <w:trHeight w:val="159"/>
        </w:trPr>
        <w:tc>
          <w:tcPr>
            <w:tcW w:w="786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7"/>
              </w:rPr>
              <w:t>Quarter</w:t>
            </w:r>
          </w:p>
        </w:tc>
        <w:tc>
          <w:tcPr>
            <w:tcW w:w="26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3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Quarter</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Arial" w:cs="Arial" w:eastAsia="Arial" w:hAnsi="Arial"/>
                <w:sz w:val="13"/>
                <w:szCs w:val="13"/>
                <w:b w:val="1"/>
                <w:bCs w:val="1"/>
                <w:color w:val="auto"/>
                <w:w w:val="97"/>
              </w:rPr>
              <w:t>Quarter</w:t>
            </w:r>
          </w:p>
        </w:tc>
        <w:tc>
          <w:tcPr>
            <w:tcW w:w="0" w:type="dxa"/>
            <w:vAlign w:val="bottom"/>
          </w:tcPr>
          <w:p>
            <w:pPr>
              <w:spacing w:after="0"/>
              <w:rPr>
                <w:sz w:val="1"/>
                <w:szCs w:val="1"/>
                <w:color w:val="auto"/>
              </w:rPr>
            </w:pPr>
          </w:p>
        </w:tc>
      </w:tr>
      <w:tr>
        <w:trPr>
          <w:trHeight w:val="140"/>
        </w:trPr>
        <w:tc>
          <w:tcPr>
            <w:tcW w:w="7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ind w:left="60"/>
              <w:spacing w:after="0" w:line="140" w:lineRule="exact"/>
              <w:rPr>
                <w:sz w:val="20"/>
                <w:szCs w:val="20"/>
                <w:color w:val="auto"/>
              </w:rPr>
            </w:pPr>
            <w:r>
              <w:rPr>
                <w:rFonts w:ascii="Arial" w:cs="Arial" w:eastAsia="Arial" w:hAnsi="Arial"/>
                <w:sz w:val="13"/>
                <w:szCs w:val="13"/>
                <w:b w:val="1"/>
                <w:bCs w:val="1"/>
                <w:color w:val="auto"/>
              </w:rPr>
              <w:t>(In</w:t>
            </w:r>
          </w:p>
        </w:tc>
        <w:tc>
          <w:tcPr>
            <w:tcW w:w="62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b w:val="1"/>
                <w:bCs w:val="1"/>
                <w:color w:val="auto"/>
                <w:w w:val="86"/>
              </w:rPr>
              <w:t>thousands,</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w w:val="73"/>
              </w:rPr>
              <w:t>except</w:t>
            </w:r>
          </w:p>
        </w:tc>
        <w:tc>
          <w:tcPr>
            <w:tcW w:w="620" w:type="dxa"/>
            <w:vAlign w:val="bottom"/>
            <w:tcBorders>
              <w:top w:val="single" w:sz="8" w:color="auto"/>
            </w:tcBorders>
            <w:gridSpan w:val="2"/>
          </w:tcPr>
          <w:p>
            <w:pPr>
              <w:ind w:left="100"/>
              <w:spacing w:after="0" w:line="140" w:lineRule="exact"/>
              <w:rPr>
                <w:sz w:val="20"/>
                <w:szCs w:val="20"/>
                <w:color w:val="auto"/>
              </w:rPr>
            </w:pPr>
            <w:r>
              <w:rPr>
                <w:rFonts w:ascii="Arial" w:cs="Arial" w:eastAsia="Arial" w:hAnsi="Arial"/>
                <w:sz w:val="13"/>
                <w:szCs w:val="13"/>
                <w:b w:val="1"/>
                <w:bCs w:val="1"/>
                <w:color w:val="auto"/>
                <w:w w:val="85"/>
              </w:rPr>
              <w:t>per share</w:t>
            </w:r>
          </w:p>
        </w:tc>
        <w:tc>
          <w:tcPr>
            <w:tcW w:w="32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83"/>
              </w:rPr>
              <w:t>data)</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2004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7"/>
                <w:szCs w:val="17"/>
                <w:color w:val="auto"/>
              </w:rPr>
              <w:t>Rental income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89,388</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$ 93,243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93,459</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93,979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17,246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$ 26,332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18,660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21,918</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7"/>
                <w:szCs w:val="17"/>
                <w:color w:val="auto"/>
              </w:rPr>
              <w:t>Net income available for common shareholders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14,377</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$ 23,463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15,792</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19,049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20"/>
        </w:trPr>
        <w:tc>
          <w:tcPr>
            <w:tcW w:w="7860" w:type="dxa"/>
            <w:vAlign w:val="bottom"/>
          </w:tcPr>
          <w:p>
            <w:pPr>
              <w:spacing w:after="0"/>
              <w:rPr>
                <w:sz w:val="20"/>
                <w:szCs w:val="20"/>
                <w:color w:val="auto"/>
              </w:rPr>
            </w:pPr>
            <w:r>
              <w:rPr>
                <w:rFonts w:ascii="Arial" w:cs="Arial" w:eastAsia="Arial" w:hAnsi="Arial"/>
                <w:sz w:val="17"/>
                <w:szCs w:val="17"/>
                <w:color w:val="auto"/>
              </w:rPr>
              <w:t>Earnings per common share — diluted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0.28</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0.45</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0.30</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435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90" w:lineRule="exact"/>
        <w:rPr>
          <w:sz w:val="20"/>
          <w:szCs w:val="20"/>
          <w:color w:val="auto"/>
        </w:rPr>
      </w:pPr>
    </w:p>
    <w:p>
      <w:pPr>
        <w:ind w:left="460" w:right="40" w:hanging="454"/>
        <w:spacing w:after="0" w:line="291"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 required by SFAS No. 144, rental income has been reduced to reflect the results of discontinued operations. Rental income from these discontinued assets, by quarter, is summarized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First</w:t>
            </w:r>
          </w:p>
        </w:tc>
        <w:tc>
          <w:tcPr>
            <w:tcW w:w="4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5"/>
              </w:rPr>
              <w:t>Second</w:t>
            </w:r>
          </w:p>
        </w:tc>
        <w:tc>
          <w:tcPr>
            <w:tcW w:w="4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Third</w:t>
            </w:r>
          </w:p>
        </w:tc>
        <w:tc>
          <w:tcPr>
            <w:tcW w:w="4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Fourth</w:t>
            </w:r>
          </w:p>
        </w:tc>
      </w:tr>
      <w:tr>
        <w:trPr>
          <w:trHeight w:val="159"/>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4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4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4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r>
      <w:tr>
        <w:trPr>
          <w:trHeight w:val="140"/>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ind w:left="320"/>
              <w:spacing w:after="0" w:line="140"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thousands)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2005 rental income from discontinued operations</w:t>
            </w:r>
          </w:p>
        </w:tc>
        <w:tc>
          <w:tcPr>
            <w:tcW w:w="3400" w:type="dxa"/>
            <w:vAlign w:val="bottom"/>
            <w:gridSpan w:val="2"/>
            <w:shd w:val="clear" w:color="auto" w:fill="CCEEFF"/>
          </w:tcPr>
          <w:p>
            <w:pPr>
              <w:jc w:val="center"/>
              <w:ind w:left="2774"/>
              <w:spacing w:after="0"/>
              <w:rPr>
                <w:sz w:val="20"/>
                <w:szCs w:val="20"/>
                <w:color w:val="auto"/>
              </w:rPr>
            </w:pPr>
            <w:r>
              <w:rPr>
                <w:rFonts w:ascii="Arial" w:cs="Arial" w:eastAsia="Arial" w:hAnsi="Arial"/>
                <w:sz w:val="17"/>
                <w:szCs w:val="17"/>
                <w:color w:val="auto"/>
                <w:w w:val="95"/>
              </w:rPr>
              <w:t>$ 1,791</w:t>
            </w:r>
          </w:p>
        </w:tc>
        <w:tc>
          <w:tcPr>
            <w:tcW w:w="940" w:type="dxa"/>
            <w:vAlign w:val="bottom"/>
            <w:gridSpan w:val="2"/>
            <w:shd w:val="clear" w:color="auto" w:fill="CCEEFF"/>
          </w:tcPr>
          <w:p>
            <w:pPr>
              <w:jc w:val="center"/>
              <w:ind w:left="314"/>
              <w:spacing w:after="0"/>
              <w:rPr>
                <w:sz w:val="20"/>
                <w:szCs w:val="20"/>
                <w:color w:val="auto"/>
              </w:rPr>
            </w:pPr>
            <w:r>
              <w:rPr>
                <w:rFonts w:ascii="Arial" w:cs="Arial" w:eastAsia="Arial" w:hAnsi="Arial"/>
                <w:sz w:val="17"/>
                <w:szCs w:val="17"/>
                <w:color w:val="auto"/>
                <w:w w:val="95"/>
              </w:rPr>
              <w:t>$ 2,003</w:t>
            </w:r>
          </w:p>
        </w:tc>
        <w:tc>
          <w:tcPr>
            <w:tcW w:w="940" w:type="dxa"/>
            <w:vAlign w:val="bottom"/>
            <w:gridSpan w:val="2"/>
            <w:shd w:val="clear" w:color="auto" w:fill="CCEEFF"/>
          </w:tcPr>
          <w:p>
            <w:pPr>
              <w:jc w:val="center"/>
              <w:ind w:left="340"/>
              <w:spacing w:after="0"/>
              <w:rPr>
                <w:sz w:val="20"/>
                <w:szCs w:val="20"/>
                <w:color w:val="auto"/>
              </w:rPr>
            </w:pPr>
            <w:r>
              <w:rPr>
                <w:rFonts w:ascii="Arial" w:cs="Arial" w:eastAsia="Arial" w:hAnsi="Arial"/>
                <w:sz w:val="17"/>
                <w:szCs w:val="17"/>
                <w:color w:val="auto"/>
                <w:w w:val="91"/>
              </w:rPr>
              <w:t>$ 1,115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r>
      <w:tr>
        <w:trPr>
          <w:trHeight w:val="22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2004 rental income from discontinued operations</w:t>
            </w:r>
          </w:p>
        </w:tc>
        <w:tc>
          <w:tcPr>
            <w:tcW w:w="3400" w:type="dxa"/>
            <w:vAlign w:val="bottom"/>
            <w:gridSpan w:val="2"/>
          </w:tcPr>
          <w:p>
            <w:pPr>
              <w:jc w:val="center"/>
              <w:ind w:left="2774"/>
              <w:spacing w:after="0"/>
              <w:rPr>
                <w:sz w:val="20"/>
                <w:szCs w:val="20"/>
                <w:color w:val="auto"/>
              </w:rPr>
            </w:pPr>
            <w:r>
              <w:rPr>
                <w:rFonts w:ascii="Arial" w:cs="Arial" w:eastAsia="Arial" w:hAnsi="Arial"/>
                <w:sz w:val="17"/>
                <w:szCs w:val="17"/>
                <w:color w:val="auto"/>
                <w:w w:val="95"/>
              </w:rPr>
              <w:t>$ 3,176</w:t>
            </w:r>
          </w:p>
        </w:tc>
        <w:tc>
          <w:tcPr>
            <w:tcW w:w="940" w:type="dxa"/>
            <w:vAlign w:val="bottom"/>
            <w:gridSpan w:val="2"/>
          </w:tcPr>
          <w:p>
            <w:pPr>
              <w:jc w:val="center"/>
              <w:ind w:left="314"/>
              <w:spacing w:after="0"/>
              <w:rPr>
                <w:sz w:val="20"/>
                <w:szCs w:val="20"/>
                <w:color w:val="auto"/>
              </w:rPr>
            </w:pPr>
            <w:r>
              <w:rPr>
                <w:rFonts w:ascii="Arial" w:cs="Arial" w:eastAsia="Arial" w:hAnsi="Arial"/>
                <w:sz w:val="17"/>
                <w:szCs w:val="17"/>
                <w:color w:val="auto"/>
                <w:w w:val="95"/>
              </w:rPr>
              <w:t>$ 3,249</w:t>
            </w:r>
          </w:p>
        </w:tc>
        <w:tc>
          <w:tcPr>
            <w:tcW w:w="940" w:type="dxa"/>
            <w:vAlign w:val="bottom"/>
            <w:gridSpan w:val="2"/>
          </w:tcPr>
          <w:p>
            <w:pPr>
              <w:jc w:val="center"/>
              <w:ind w:left="340"/>
              <w:spacing w:after="0"/>
              <w:rPr>
                <w:sz w:val="20"/>
                <w:szCs w:val="20"/>
                <w:color w:val="auto"/>
              </w:rPr>
            </w:pPr>
            <w:r>
              <w:rPr>
                <w:rFonts w:ascii="Arial" w:cs="Arial" w:eastAsia="Arial" w:hAnsi="Arial"/>
                <w:sz w:val="17"/>
                <w:szCs w:val="17"/>
                <w:color w:val="auto"/>
                <w:w w:val="91"/>
              </w:rPr>
              <w:t>$ 2,311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2,615</w:t>
            </w:r>
          </w:p>
        </w:tc>
      </w:tr>
      <w:tr>
        <w:trPr>
          <w:trHeight w:val="35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400" w:type="dxa"/>
            <w:vAlign w:val="bottom"/>
            <w:gridSpan w:val="2"/>
          </w:tcPr>
          <w:p>
            <w:pPr>
              <w:ind w:left="840"/>
              <w:spacing w:after="0"/>
              <w:rPr>
                <w:sz w:val="20"/>
                <w:szCs w:val="20"/>
                <w:color w:val="auto"/>
              </w:rPr>
            </w:pPr>
            <w:r>
              <w:rPr>
                <w:rFonts w:ascii="Arial" w:cs="Arial" w:eastAsia="Arial" w:hAnsi="Arial"/>
                <w:sz w:val="17"/>
                <w:szCs w:val="17"/>
                <w:color w:val="auto"/>
              </w:rPr>
              <w:t>F-31</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90" w:name="page91"/>
    <w:bookmarkEnd w:id="90"/>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DEPRECIATION</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2005</w:t>
      </w:r>
    </w:p>
    <w:p>
      <w:pPr>
        <w:sectPr>
          <w:pgSz w:w="11900" w:h="16838" w:orient="portrait"/>
          <w:cols w:equalWidth="0" w:num="1">
            <w:col w:w="11520"/>
          </w:cols>
          <w:pgMar w:left="240" w:top="271" w:right="13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8445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500" w:type="dxa"/>
            <w:vAlign w:val="bottom"/>
            <w:gridSpan w:val="5"/>
          </w:tcPr>
          <w:p>
            <w:pPr>
              <w:ind w:left="40"/>
              <w:spacing w:after="0"/>
              <w:rPr>
                <w:sz w:val="20"/>
                <w:szCs w:val="20"/>
                <w:color w:val="auto"/>
              </w:rPr>
            </w:pPr>
            <w:r>
              <w:rPr>
                <w:rFonts w:ascii="Arial" w:cs="Arial" w:eastAsia="Arial" w:hAnsi="Arial"/>
                <w:sz w:val="13"/>
                <w:szCs w:val="13"/>
                <w:b w:val="1"/>
                <w:bCs w:val="1"/>
                <w:color w:val="auto"/>
              </w:rPr>
              <w:t>COLUMN B COLUMN C</w:t>
            </w:r>
          </w:p>
        </w:tc>
        <w:tc>
          <w:tcPr>
            <w:tcW w:w="1620" w:type="dxa"/>
            <w:vAlign w:val="bottom"/>
            <w:gridSpan w:val="3"/>
          </w:tcPr>
          <w:p>
            <w:pPr>
              <w:ind w:left="40"/>
              <w:spacing w:after="0"/>
              <w:rPr>
                <w:sz w:val="20"/>
                <w:szCs w:val="20"/>
                <w:color w:val="auto"/>
              </w:rPr>
            </w:pPr>
            <w:r>
              <w:rPr>
                <w:rFonts w:ascii="Arial" w:cs="Arial" w:eastAsia="Arial" w:hAnsi="Arial"/>
                <w:sz w:val="13"/>
                <w:szCs w:val="13"/>
                <w:b w:val="1"/>
                <w:bCs w:val="1"/>
                <w:color w:val="auto"/>
              </w:rPr>
              <w:t>COLUMN D  COLUMN E</w:t>
            </w:r>
          </w:p>
        </w:tc>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COLUMN F</w:t>
            </w:r>
          </w:p>
        </w:tc>
        <w:tc>
          <w:tcPr>
            <w:tcW w:w="4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Arial" w:cs="Arial" w:eastAsia="Arial" w:hAnsi="Arial"/>
                <w:sz w:val="13"/>
                <w:szCs w:val="13"/>
                <w:b w:val="1"/>
                <w:bCs w:val="1"/>
                <w:color w:val="auto"/>
              </w:rPr>
              <w:t>COLUMN G COLUMN H</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7"/>
        </w:trPr>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3"/>
              </w:rPr>
              <w:t>Life on which</w:t>
            </w: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3"/>
          </w:tcPr>
          <w:p>
            <w:pPr>
              <w:ind w:left="160"/>
              <w:spacing w:after="0" w:line="146" w:lineRule="exact"/>
              <w:rPr>
                <w:sz w:val="20"/>
                <w:szCs w:val="20"/>
                <w:color w:val="auto"/>
              </w:rPr>
            </w:pPr>
            <w:r>
              <w:rPr>
                <w:rFonts w:ascii="Arial" w:cs="Arial" w:eastAsia="Arial" w:hAnsi="Arial"/>
                <w:sz w:val="13"/>
                <w:szCs w:val="13"/>
                <w:b w:val="1"/>
                <w:bCs w:val="1"/>
                <w:color w:val="auto"/>
              </w:rPr>
              <w:t>Initial cost to company</w:t>
            </w: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Cost</w:t>
            </w:r>
          </w:p>
        </w:tc>
        <w:tc>
          <w:tcPr>
            <w:tcW w:w="40" w:type="dxa"/>
            <w:vAlign w:val="bottom"/>
          </w:tcPr>
          <w:p>
            <w:pPr>
              <w:spacing w:after="0"/>
              <w:rPr>
                <w:sz w:val="12"/>
                <w:szCs w:val="12"/>
                <w:color w:val="auto"/>
              </w:rPr>
            </w:pPr>
          </w:p>
        </w:tc>
        <w:tc>
          <w:tcPr>
            <w:tcW w:w="2800" w:type="dxa"/>
            <w:vAlign w:val="bottom"/>
            <w:gridSpan w:val="4"/>
          </w:tcPr>
          <w:p>
            <w:pPr>
              <w:jc w:val="center"/>
              <w:ind w:right="40"/>
              <w:spacing w:after="0" w:line="146" w:lineRule="exact"/>
              <w:rPr>
                <w:sz w:val="20"/>
                <w:szCs w:val="20"/>
                <w:color w:val="auto"/>
              </w:rPr>
            </w:pPr>
            <w:r>
              <w:rPr>
                <w:rFonts w:ascii="Arial" w:cs="Arial" w:eastAsia="Arial" w:hAnsi="Arial"/>
                <w:sz w:val="13"/>
                <w:szCs w:val="13"/>
                <w:b w:val="1"/>
                <w:bCs w:val="1"/>
                <w:color w:val="auto"/>
                <w:w w:val="91"/>
              </w:rPr>
              <w:t>Gross amount at which carried at close of period</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96"/>
              </w:rPr>
              <w:t>Capitalized</w:t>
            </w: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00"/>
        </w:trPr>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gridSpan w:val="2"/>
          </w:tcPr>
          <w:p>
            <w:pPr>
              <w:ind w:left="100"/>
              <w:spacing w:after="0" w:line="146" w:lineRule="exact"/>
              <w:rPr>
                <w:sz w:val="20"/>
                <w:szCs w:val="20"/>
                <w:color w:val="auto"/>
              </w:rPr>
            </w:pPr>
            <w:r>
              <w:rPr>
                <w:rFonts w:ascii="Arial" w:cs="Arial" w:eastAsia="Arial" w:hAnsi="Arial"/>
                <w:sz w:val="13"/>
                <w:szCs w:val="13"/>
                <w:b w:val="1"/>
                <w:bCs w:val="1"/>
                <w:color w:val="auto"/>
              </w:rPr>
              <w:t>Building and</w:t>
            </w: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Subsequent to</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Building and</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Depreciation and</w:t>
            </w:r>
          </w:p>
        </w:tc>
        <w:tc>
          <w:tcPr>
            <w:tcW w:w="40" w:type="dxa"/>
            <w:vAlign w:val="bottom"/>
          </w:tcPr>
          <w:p>
            <w:pPr>
              <w:spacing w:after="0"/>
              <w:rPr>
                <w:sz w:val="12"/>
                <w:szCs w:val="12"/>
                <w:color w:val="auto"/>
              </w:rPr>
            </w:pPr>
          </w:p>
        </w:tc>
        <w:tc>
          <w:tcPr>
            <w:tcW w:w="760" w:type="dxa"/>
            <w:vAlign w:val="bottom"/>
          </w:tcPr>
          <w:p>
            <w:pPr>
              <w:ind w:left="160"/>
              <w:spacing w:after="0" w:line="146" w:lineRule="exact"/>
              <w:rPr>
                <w:sz w:val="20"/>
                <w:szCs w:val="20"/>
                <w:color w:val="auto"/>
              </w:rPr>
            </w:pPr>
            <w:r>
              <w:rPr>
                <w:rFonts w:ascii="Arial" w:cs="Arial" w:eastAsia="Arial" w:hAnsi="Arial"/>
                <w:sz w:val="13"/>
                <w:szCs w:val="13"/>
                <w:b w:val="1"/>
                <w:bCs w:val="1"/>
                <w:color w:val="auto"/>
              </w:rPr>
              <w:t>Date of</w:t>
            </w:r>
          </w:p>
        </w:tc>
        <w:tc>
          <w:tcPr>
            <w:tcW w:w="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Date</w:t>
            </w:r>
          </w:p>
        </w:tc>
        <w:tc>
          <w:tcPr>
            <w:tcW w:w="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statements is</w:t>
            </w:r>
          </w:p>
        </w:tc>
        <w:tc>
          <w:tcPr>
            <w:tcW w:w="0" w:type="dxa"/>
            <w:vAlign w:val="bottom"/>
          </w:tcPr>
          <w:p>
            <w:pPr>
              <w:spacing w:after="0"/>
              <w:rPr>
                <w:sz w:val="1"/>
                <w:szCs w:val="1"/>
                <w:color w:val="auto"/>
              </w:rPr>
            </w:pPr>
          </w:p>
        </w:tc>
      </w:tr>
      <w:tr>
        <w:trPr>
          <w:trHeight w:val="159"/>
        </w:trPr>
        <w:tc>
          <w:tcPr>
            <w:tcW w:w="2500" w:type="dxa"/>
            <w:vAlign w:val="bottom"/>
            <w:gridSpan w:val="5"/>
          </w:tcPr>
          <w:p>
            <w:pPr>
              <w:spacing w:after="0"/>
              <w:rPr>
                <w:sz w:val="20"/>
                <w:szCs w:val="20"/>
                <w:color w:val="auto"/>
              </w:rPr>
            </w:pPr>
            <w:r>
              <w:rPr>
                <w:rFonts w:ascii="Arial" w:cs="Arial" w:eastAsia="Arial" w:hAnsi="Arial"/>
                <w:sz w:val="13"/>
                <w:szCs w:val="13"/>
                <w:b w:val="1"/>
                <w:bCs w:val="1"/>
                <w:color w:val="auto"/>
                <w:w w:val="92"/>
              </w:rPr>
              <w:t>EncumbranceLandImprovements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40" w:type="dxa"/>
            <w:vAlign w:val="bottom"/>
          </w:tcPr>
          <w:p>
            <w:pPr>
              <w:spacing w:after="0"/>
              <w:rPr>
                <w:sz w:val="13"/>
                <w:szCs w:val="13"/>
                <w:color w:val="auto"/>
              </w:rPr>
            </w:pPr>
          </w:p>
        </w:tc>
        <w:tc>
          <w:tcPr>
            <w:tcW w:w="760" w:type="dxa"/>
            <w:vAlign w:val="bottom"/>
          </w:tcPr>
          <w:p>
            <w:pPr>
              <w:ind w:left="220"/>
              <w:spacing w:after="0"/>
              <w:rPr>
                <w:sz w:val="20"/>
                <w:szCs w:val="20"/>
                <w:color w:val="auto"/>
              </w:rPr>
            </w:pPr>
            <w:r>
              <w:rPr>
                <w:rFonts w:ascii="Arial" w:cs="Arial" w:eastAsia="Arial" w:hAnsi="Arial"/>
                <w:sz w:val="13"/>
                <w:szCs w:val="13"/>
                <w:b w:val="1"/>
                <w:bCs w:val="1"/>
                <w:color w:val="auto"/>
              </w:rPr>
              <w:t>Land</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2"/>
              </w:rPr>
              <w:t>Improvements</w:t>
            </w: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w w:val="91"/>
              </w:rPr>
              <w:t>Construction</w:t>
            </w: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920" w:space="720"/>
            <w:col w:w="9880"/>
          </w:cols>
          <w:pgMar w:left="240" w:top="271" w:right="1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13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ALLWOOD (New</w:t>
            </w: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NJ  $</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3,061,490</w:t>
            </w: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  $</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3,920,000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73,258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  $</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3,993,258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3,993,258</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2,216,590</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12/12/88</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ANDORRA</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(Pennsylvania)</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PA</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2,432,000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12,346,000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8,138,527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2,432,107</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20,484,527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22,916,633</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9,719,206</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1953</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01/12/88</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ASSEMBLY SQUARE</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(Massachusetts)</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34,413,379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34,195,679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34,773,216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34,413,379</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68,968,895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103,382,274</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759,333</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2005</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03/01/05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BALA CYNWYD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(Pennsylvania)</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PA</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3,565,000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14,466,000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8,019,039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3,565,500</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22,484,539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26,050,039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7,973,517</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1955</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09/22/93</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BARRACKS ROAD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43,192,871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4,363,000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16,459,000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20,429,582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4,362,713</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36,888,582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41,251,295</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24,607,421</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12/31/85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BETHESDA ROW</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(Maryland)</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12,576,000</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9,114,000</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20,821,000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54,597,061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7,415,873</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75,405,061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82,820,934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17,675,364</w:t>
            </w: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1945-2000</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12/31/93</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35 - 50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BLUESTAR (New</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NJ</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23,366,468</w:t>
            </w: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29,922,000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6,727,914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36,649,914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36,649,914</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19,532,739</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1959</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12/12/88</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BRICK PLAZA</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(New Jersey)</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NJ</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32,098,531</w:t>
            </w:r>
          </w:p>
        </w:tc>
        <w:tc>
          <w:tcPr>
            <w:tcW w:w="94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24,715,000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30,695,691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3,788,189</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51,622,691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55,410,880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24,900,919</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12/28/89</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46"/>
        </w:trPr>
        <w:tc>
          <w:tcPr>
            <w:tcW w:w="1780" w:type="dxa"/>
            <w:vAlign w:val="bottom"/>
            <w:gridSpan w:val="3"/>
            <w:shd w:val="clear" w:color="auto" w:fill="CCEEFF"/>
          </w:tcPr>
          <w:p>
            <w:pPr>
              <w:spacing w:after="0" w:line="146" w:lineRule="exact"/>
              <w:rPr>
                <w:sz w:val="20"/>
                <w:szCs w:val="20"/>
                <w:color w:val="auto"/>
              </w:rPr>
            </w:pPr>
            <w:r>
              <w:rPr>
                <w:rFonts w:ascii="Arial" w:cs="Arial" w:eastAsia="Arial" w:hAnsi="Arial"/>
                <w:sz w:val="13"/>
                <w:szCs w:val="13"/>
                <w:color w:val="auto"/>
              </w:rPr>
              <w:t>BRISTOL (Connecticut) CT</w:t>
            </w:r>
          </w:p>
        </w:tc>
        <w:tc>
          <w:tcPr>
            <w:tcW w:w="7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3,856,000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15,959,000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3,701,233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3,856,302</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19,660,233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23,516,535</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6,281,740</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9"/>
              </w:rPr>
              <w:t>1959</w:t>
            </w:r>
          </w:p>
        </w:tc>
        <w:tc>
          <w:tcPr>
            <w:tcW w:w="78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2"/>
              </w:rPr>
              <w:t>9/22/95</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BRUNSWICK</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(New Jersey)</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NJ</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9,727,097</w:t>
            </w:r>
          </w:p>
        </w:tc>
        <w:tc>
          <w:tcPr>
            <w:tcW w:w="94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12,456,000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9,954,819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4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22,410,819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22,410,819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10,419,826</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1957</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12/12/88</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CALIFORNIA RETAIL</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BUILDINGS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38"/>
        </w:trPr>
        <w:tc>
          <w:tcPr>
            <w:tcW w:w="1340" w:type="dxa"/>
            <w:vAlign w:val="bottom"/>
          </w:tcPr>
          <w:p>
            <w:pPr>
              <w:ind w:left="440"/>
              <w:spacing w:after="0" w:line="138" w:lineRule="exact"/>
              <w:rPr>
                <w:sz w:val="20"/>
                <w:szCs w:val="20"/>
                <w:color w:val="auto"/>
              </w:rPr>
            </w:pPr>
            <w:r>
              <w:rPr>
                <w:rFonts w:ascii="Arial" w:cs="Arial" w:eastAsia="Arial" w:hAnsi="Arial"/>
                <w:sz w:val="13"/>
                <w:szCs w:val="13"/>
                <w:color w:val="auto"/>
              </w:rPr>
              <w:t>SANTA</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6"/>
        </w:trPr>
        <w:tc>
          <w:tcPr>
            <w:tcW w:w="1340" w:type="dxa"/>
            <w:vAlign w:val="bottom"/>
          </w:tcPr>
          <w:p>
            <w:pPr>
              <w:ind w:left="640"/>
              <w:spacing w:after="0" w:line="146" w:lineRule="exact"/>
              <w:rPr>
                <w:sz w:val="20"/>
                <w:szCs w:val="20"/>
                <w:color w:val="auto"/>
              </w:rPr>
            </w:pPr>
            <w:r>
              <w:rPr>
                <w:rFonts w:ascii="Arial" w:cs="Arial" w:eastAsia="Arial" w:hAnsi="Arial"/>
                <w:sz w:val="13"/>
                <w:szCs w:val="13"/>
                <w:color w:val="auto"/>
              </w:rPr>
              <w:t>MONICA</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1340" w:type="dxa"/>
            <w:vAlign w:val="bottom"/>
          </w:tcPr>
          <w:p>
            <w:pPr>
              <w:ind w:left="640"/>
              <w:spacing w:after="0"/>
              <w:rPr>
                <w:sz w:val="20"/>
                <w:szCs w:val="20"/>
                <w:color w:val="auto"/>
              </w:rPr>
            </w:pPr>
            <w:r>
              <w:rPr>
                <w:rFonts w:ascii="Arial" w:cs="Arial" w:eastAsia="Arial" w:hAnsi="Arial"/>
                <w:sz w:val="13"/>
                <w:szCs w:val="13"/>
                <w:color w:val="auto"/>
              </w:rPr>
              <w:t>(9)</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22,645,000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12,709,000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38,599,881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22,644,436</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51,308,881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73,953,317</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12,509,867</w:t>
            </w: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1888-2000</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3"/>
              </w:rPr>
              <w:t>1996-2000</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46"/>
        </w:trPr>
        <w:tc>
          <w:tcPr>
            <w:tcW w:w="1340" w:type="dxa"/>
            <w:vAlign w:val="bottom"/>
            <w:shd w:val="clear" w:color="auto" w:fill="CCEEFF"/>
          </w:tcPr>
          <w:p>
            <w:pPr>
              <w:ind w:left="440"/>
              <w:spacing w:after="0" w:line="146" w:lineRule="exact"/>
              <w:rPr>
                <w:sz w:val="20"/>
                <w:szCs w:val="20"/>
                <w:color w:val="auto"/>
              </w:rPr>
            </w:pPr>
            <w:r>
              <w:rPr>
                <w:rFonts w:ascii="Arial" w:cs="Arial" w:eastAsia="Arial" w:hAnsi="Arial"/>
                <w:sz w:val="13"/>
                <w:szCs w:val="13"/>
                <w:color w:val="auto"/>
                <w:w w:val="95"/>
              </w:rPr>
              <w:t>SAN DIEGO (4)</w:t>
            </w:r>
          </w:p>
        </w:tc>
        <w:tc>
          <w:tcPr>
            <w:tcW w:w="4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CA</w:t>
            </w:r>
          </w:p>
        </w:tc>
        <w:tc>
          <w:tcPr>
            <w:tcW w:w="7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3,844,000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1,352,000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7,522,725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3,843,617</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8,874,725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12,718,342</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1,935,500</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3"/>
              </w:rPr>
              <w:t>1888-1995</w:t>
            </w:r>
          </w:p>
        </w:tc>
        <w:tc>
          <w:tcPr>
            <w:tcW w:w="78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3"/>
              </w:rPr>
              <w:t>1996-1997</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ind w:left="440"/>
              <w:spacing w:after="0" w:line="138" w:lineRule="exact"/>
              <w:rPr>
                <w:sz w:val="20"/>
                <w:szCs w:val="20"/>
                <w:color w:val="auto"/>
              </w:rPr>
            </w:pPr>
            <w:r>
              <w:rPr>
                <w:rFonts w:ascii="Arial" w:cs="Arial" w:eastAsia="Arial" w:hAnsi="Arial"/>
                <w:sz w:val="13"/>
                <w:szCs w:val="13"/>
                <w:color w:val="auto"/>
              </w:rPr>
              <w:t>150 POST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6"/>
        </w:trPr>
        <w:tc>
          <w:tcPr>
            <w:tcW w:w="1340" w:type="dxa"/>
            <w:vAlign w:val="bottom"/>
          </w:tcPr>
          <w:p>
            <w:pPr>
              <w:ind w:left="640"/>
              <w:spacing w:after="0" w:line="146" w:lineRule="exact"/>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6"/>
        </w:trPr>
        <w:tc>
          <w:tcPr>
            <w:tcW w:w="1340" w:type="dxa"/>
            <w:vAlign w:val="bottom"/>
          </w:tcPr>
          <w:p>
            <w:pPr>
              <w:ind w:left="640"/>
              <w:spacing w:after="0" w:line="146" w:lineRule="exact"/>
              <w:rPr>
                <w:sz w:val="20"/>
                <w:szCs w:val="20"/>
                <w:color w:val="auto"/>
              </w:rPr>
            </w:pPr>
            <w:r>
              <w:rPr>
                <w:rFonts w:ascii="Arial" w:cs="Arial" w:eastAsia="Arial" w:hAnsi="Arial"/>
                <w:sz w:val="13"/>
                <w:szCs w:val="13"/>
                <w:color w:val="auto"/>
              </w:rPr>
              <w:t>(San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1340" w:type="dxa"/>
            <w:vAlign w:val="bottom"/>
          </w:tcPr>
          <w:p>
            <w:pPr>
              <w:ind w:left="640"/>
              <w:spacing w:after="0"/>
              <w:rPr>
                <w:sz w:val="20"/>
                <w:szCs w:val="20"/>
                <w:color w:val="auto"/>
              </w:rPr>
            </w:pPr>
            <w:r>
              <w:rPr>
                <w:rFonts w:ascii="Arial" w:cs="Arial" w:eastAsia="Arial" w:hAnsi="Arial"/>
                <w:sz w:val="13"/>
                <w:szCs w:val="13"/>
                <w:color w:val="auto"/>
              </w:rPr>
              <w:t>Francisco)</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11,685,000</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9,181,000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15,280,700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11,685,000</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24,461,700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36,146,700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5,775,082</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1908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10/23/97</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46"/>
        </w:trPr>
        <w:tc>
          <w:tcPr>
            <w:tcW w:w="1340" w:type="dxa"/>
            <w:vAlign w:val="bottom"/>
            <w:shd w:val="clear" w:color="auto" w:fill="CCEEFF"/>
          </w:tcPr>
          <w:p>
            <w:pPr>
              <w:ind w:left="440"/>
              <w:spacing w:after="0" w:line="146" w:lineRule="exact"/>
              <w:rPr>
                <w:sz w:val="20"/>
                <w:szCs w:val="20"/>
                <w:color w:val="auto"/>
              </w:rPr>
            </w:pPr>
            <w:r>
              <w:rPr>
                <w:rFonts w:ascii="Arial" w:cs="Arial" w:eastAsia="Arial" w:hAnsi="Arial"/>
                <w:sz w:val="13"/>
                <w:szCs w:val="13"/>
                <w:color w:val="auto"/>
              </w:rPr>
              <w:t>OTHER (5)</w:t>
            </w:r>
          </w:p>
        </w:tc>
        <w:tc>
          <w:tcPr>
            <w:tcW w:w="4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CA</w:t>
            </w:r>
          </w:p>
        </w:tc>
        <w:tc>
          <w:tcPr>
            <w:tcW w:w="7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19,496,000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25,752,000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10,456,308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w w:val="98"/>
              </w:rPr>
              <w:t>14,678,024</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36,208,308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50,886,332</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6,214,339</w:t>
            </w: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9"/>
              </w:rPr>
              <w:t>var</w:t>
            </w:r>
          </w:p>
        </w:tc>
        <w:tc>
          <w:tcPr>
            <w:tcW w:w="78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3"/>
              </w:rPr>
              <w:t>1996-1999</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35 years</w:t>
            </w:r>
          </w:p>
        </w:tc>
      </w:tr>
      <w:tr>
        <w:trPr>
          <w:trHeight w:val="146"/>
        </w:trPr>
        <w:tc>
          <w:tcPr>
            <w:tcW w:w="1340" w:type="dxa"/>
            <w:vAlign w:val="bottom"/>
          </w:tcPr>
          <w:p>
            <w:pPr>
              <w:spacing w:after="0" w:line="146" w:lineRule="exact"/>
              <w:rPr>
                <w:sz w:val="20"/>
                <w:szCs w:val="20"/>
                <w:color w:val="auto"/>
              </w:rPr>
            </w:pPr>
            <w:r>
              <w:rPr>
                <w:rFonts w:ascii="Arial" w:cs="Arial" w:eastAsia="Arial" w:hAnsi="Arial"/>
                <w:sz w:val="13"/>
                <w:szCs w:val="13"/>
                <w:color w:val="auto"/>
                <w:w w:val="97"/>
              </w:rPr>
              <w:t>CLIFTON (New Jersey)</w:t>
            </w:r>
          </w:p>
        </w:tc>
        <w:tc>
          <w:tcPr>
            <w:tcW w:w="44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NJ</w:t>
            </w: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2,847,119</w:t>
            </w:r>
          </w:p>
        </w:tc>
        <w:tc>
          <w:tcPr>
            <w:tcW w:w="940" w:type="dxa"/>
            <w:vAlign w:val="bottom"/>
            <w:gridSpan w:val="3"/>
          </w:tcPr>
          <w:p>
            <w:pPr>
              <w:ind w:left="54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3,646,000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1,405,753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460"/>
              <w:spacing w:after="0" w:line="14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5,051,753</w:t>
            </w:r>
          </w:p>
        </w:tc>
        <w:tc>
          <w:tcPr>
            <w:tcW w:w="10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5,051,753</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2,747,874</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9"/>
              </w:rPr>
              <w:t>1959</w:t>
            </w:r>
          </w:p>
        </w:tc>
        <w:tc>
          <w:tcPr>
            <w:tcW w:w="78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4"/>
              </w:rPr>
              <w:t>12/12/88</w:t>
            </w:r>
          </w:p>
        </w:tc>
        <w:tc>
          <w:tcPr>
            <w:tcW w:w="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CONGRESSIONAL</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PLAZA (Maryland)</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2,793,000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7,424,000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60,419,096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1,019,875</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67,843,096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68,862,971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28,117,016</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1965</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04/01/65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CONNECTICUT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6"/>
        </w:trPr>
        <w:tc>
          <w:tcPr>
            <w:tcW w:w="1340" w:type="dxa"/>
            <w:vAlign w:val="bottom"/>
          </w:tcPr>
          <w:p>
            <w:pPr>
              <w:ind w:left="220"/>
              <w:spacing w:after="0" w:line="146" w:lineRule="exact"/>
              <w:rPr>
                <w:sz w:val="20"/>
                <w:szCs w:val="20"/>
                <w:color w:val="auto"/>
              </w:rPr>
            </w:pPr>
            <w:r>
              <w:rPr>
                <w:rFonts w:ascii="Arial" w:cs="Arial" w:eastAsia="Arial" w:hAnsi="Arial"/>
                <w:sz w:val="13"/>
                <w:szCs w:val="13"/>
                <w:color w:val="auto"/>
              </w:rPr>
              <w:t>RETAIL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BUILDINGS (2)</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CT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8,064,000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6,866,000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1,062,974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8,063,958</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7,928,974</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15,992,932</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2,327,119</w:t>
            </w: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1900-1991</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3"/>
              </w:rPr>
              <w:t>1994-1996</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COURTHOUSE</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6"/>
        </w:trPr>
        <w:tc>
          <w:tcPr>
            <w:tcW w:w="1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1,869,000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978,011</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1,750,000</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2,847,011</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4,597,011</w:t>
            </w: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863,756</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1975</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12/17/97</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CROSSROADS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(Illinois)</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IL</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4,635,000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11,611,000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6,160,785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4,634,570</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17,771,785</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22,406,355</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7,391,233</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1959</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07/19/93</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CROW CANYON</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6"/>
        </w:trPr>
        <w:tc>
          <w:tcPr>
            <w:tcW w:w="134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COMMONS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(California)</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22,257,975</w:t>
            </w: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50,584,910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50,584,910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50,584,910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Late 1970’s</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12/29/05</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DEDHAM PLAZA</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1340" w:type="dxa"/>
            <w:vAlign w:val="bottom"/>
          </w:tcPr>
          <w:p>
            <w:pPr>
              <w:ind w:left="220"/>
              <w:spacing w:after="0"/>
              <w:rPr>
                <w:sz w:val="20"/>
                <w:szCs w:val="20"/>
                <w:color w:val="auto"/>
              </w:rPr>
            </w:pPr>
            <w:r>
              <w:rPr>
                <w:rFonts w:ascii="Arial" w:cs="Arial" w:eastAsia="Arial" w:hAnsi="Arial"/>
                <w:sz w:val="13"/>
                <w:szCs w:val="13"/>
                <w:color w:val="auto"/>
              </w:rPr>
              <w:t>(Massachusetts)</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MA</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12,369,000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12,918,000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4,606,827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12,368,893</w:t>
            </w:r>
          </w:p>
        </w:tc>
        <w:tc>
          <w:tcPr>
            <w:tcW w:w="3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17,524,827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29,893,720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6,903,646</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1959</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12/31/93</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EASTGATE (North</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5"/>
        </w:trPr>
        <w:tc>
          <w:tcPr>
            <w:tcW w:w="1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Carolina)</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NC</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5,775,000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9,708,680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1,607,610</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15,483,680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17,091,290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8,308,100</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1963</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12/18/86</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ELLISBURG CIRCLE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9"/>
        </w:trPr>
        <w:tc>
          <w:tcPr>
            <w:tcW w:w="1340" w:type="dxa"/>
            <w:vAlign w:val="bottom"/>
          </w:tcPr>
          <w:p>
            <w:pPr>
              <w:ind w:left="220"/>
              <w:spacing w:after="0"/>
              <w:rPr>
                <w:sz w:val="20"/>
                <w:szCs w:val="20"/>
                <w:color w:val="auto"/>
              </w:rPr>
            </w:pPr>
            <w:r>
              <w:rPr>
                <w:rFonts w:ascii="Arial" w:cs="Arial" w:eastAsia="Arial" w:hAnsi="Arial"/>
                <w:sz w:val="13"/>
                <w:szCs w:val="13"/>
                <w:color w:val="auto"/>
              </w:rPr>
              <w:t>(New Jersey)</w:t>
            </w: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NJ</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4,028,000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11,309,000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13,806,545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4,012,782</w:t>
            </w:r>
          </w:p>
        </w:tc>
        <w:tc>
          <w:tcPr>
            <w:tcW w:w="3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25,115,545</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29,128,326</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12,813,101</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1959</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10/16/92</w:t>
            </w:r>
          </w:p>
        </w:tc>
        <w:tc>
          <w:tcPr>
            <w:tcW w:w="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r>
    </w:tbl>
    <w:p>
      <w:pPr>
        <w:spacing w:after="0" w:line="1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520"/>
          </w:cols>
          <w:pgMar w:left="240" w:top="271" w:right="139" w:bottom="1440" w:gutter="0" w:footer="0" w:header="0"/>
          <w:type w:val="continuous"/>
        </w:sectPr>
      </w:pPr>
    </w:p>
    <w:bookmarkStart w:id="91" w:name="page92"/>
    <w:bookmarkEnd w:id="91"/>
    <w:p>
      <w:pPr>
        <w:jc w:val="center"/>
        <w:ind w:right="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SCHEDULE III</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DEPRECIATION—CONTINUED</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December 31, 2005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COLUMN A</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COLUMN B COLUMN C</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COLUMN 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COLUMN F</w:t>
            </w:r>
          </w:p>
        </w:tc>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COLUMN G COLUMN H</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3"/>
              </w:rPr>
              <w:t>Life on which</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4"/>
          </w:tcPr>
          <w:p>
            <w:pPr>
              <w:jc w:val="right"/>
              <w:ind w:right="200"/>
              <w:spacing w:after="0" w:line="146" w:lineRule="exact"/>
              <w:rPr>
                <w:sz w:val="20"/>
                <w:szCs w:val="20"/>
                <w:color w:val="auto"/>
              </w:rPr>
            </w:pPr>
            <w:r>
              <w:rPr>
                <w:rFonts w:ascii="Arial" w:cs="Arial" w:eastAsia="Arial" w:hAnsi="Arial"/>
                <w:sz w:val="13"/>
                <w:szCs w:val="13"/>
                <w:b w:val="1"/>
                <w:bCs w:val="1"/>
                <w:color w:val="auto"/>
              </w:rPr>
              <w:t>Initial cost to company</w:t>
            </w:r>
          </w:p>
        </w:tc>
        <w:tc>
          <w:tcPr>
            <w:tcW w:w="90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89"/>
              </w:rPr>
              <w:t>Cost</w:t>
            </w:r>
          </w:p>
        </w:tc>
        <w:tc>
          <w:tcPr>
            <w:tcW w:w="2820" w:type="dxa"/>
            <w:vAlign w:val="bottom"/>
            <w:gridSpan w:val="6"/>
          </w:tcPr>
          <w:p>
            <w:pPr>
              <w:ind w:left="20"/>
              <w:spacing w:after="0" w:line="146" w:lineRule="exact"/>
              <w:rPr>
                <w:sz w:val="20"/>
                <w:szCs w:val="20"/>
                <w:color w:val="auto"/>
              </w:rPr>
            </w:pPr>
            <w:r>
              <w:rPr>
                <w:rFonts w:ascii="Arial" w:cs="Arial" w:eastAsia="Arial" w:hAnsi="Arial"/>
                <w:sz w:val="13"/>
                <w:szCs w:val="13"/>
                <w:b w:val="1"/>
                <w:bCs w:val="1"/>
                <w:color w:val="auto"/>
                <w:w w:val="92"/>
              </w:rPr>
              <w:t>Gross amount at which carried at close of period</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gridSpan w:val="2"/>
            <w:vMerge w:val="restart"/>
          </w:tcPr>
          <w:p>
            <w:pPr>
              <w:jc w:val="center"/>
              <w:ind w:right="80"/>
              <w:spacing w:after="0" w:line="146" w:lineRule="exact"/>
              <w:rPr>
                <w:sz w:val="20"/>
                <w:szCs w:val="20"/>
                <w:color w:val="auto"/>
              </w:rPr>
            </w:pPr>
            <w:r>
              <w:rPr>
                <w:rFonts w:ascii="Arial" w:cs="Arial" w:eastAsia="Arial" w:hAnsi="Arial"/>
                <w:sz w:val="13"/>
                <w:szCs w:val="13"/>
                <w:b w:val="1"/>
                <w:bCs w:val="1"/>
                <w:color w:val="auto"/>
                <w:w w:val="96"/>
              </w:rPr>
              <w:t>Capitalized</w:t>
            </w: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gridSpan w:val="2"/>
            <w:vMerge w:val="restart"/>
          </w:tcPr>
          <w:p>
            <w:pPr>
              <w:jc w:val="center"/>
              <w:ind w:right="40"/>
              <w:spacing w:after="0" w:line="146" w:lineRule="exact"/>
              <w:rPr>
                <w:sz w:val="20"/>
                <w:szCs w:val="20"/>
                <w:color w:val="auto"/>
              </w:rPr>
            </w:pPr>
            <w:r>
              <w:rPr>
                <w:rFonts w:ascii="Arial" w:cs="Arial" w:eastAsia="Arial" w:hAnsi="Arial"/>
                <w:sz w:val="13"/>
                <w:szCs w:val="13"/>
                <w:b w:val="1"/>
                <w:bCs w:val="1"/>
                <w:color w:val="auto"/>
                <w:w w:val="93"/>
              </w:rPr>
              <w:t>Accumulated</w:t>
            </w: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6" w:lineRule="exact"/>
              <w:rPr>
                <w:sz w:val="20"/>
                <w:szCs w:val="20"/>
                <w:color w:val="auto"/>
              </w:rPr>
            </w:pPr>
            <w:r>
              <w:rPr>
                <w:rFonts w:ascii="Arial" w:cs="Arial" w:eastAsia="Arial" w:hAnsi="Arial"/>
                <w:sz w:val="13"/>
                <w:szCs w:val="13"/>
                <w:b w:val="1"/>
                <w:bCs w:val="1"/>
                <w:color w:val="auto"/>
                <w:w w:val="99"/>
              </w:rPr>
              <w:t>Building and</w:t>
            </w:r>
          </w:p>
        </w:tc>
        <w:tc>
          <w:tcPr>
            <w:tcW w:w="90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0"/>
              </w:rPr>
              <w:t>Subsequent to</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jc w:val="right"/>
              <w:ind w:right="173"/>
              <w:spacing w:after="0" w:line="146" w:lineRule="exact"/>
              <w:rPr>
                <w:sz w:val="20"/>
                <w:szCs w:val="20"/>
                <w:color w:val="auto"/>
              </w:rPr>
            </w:pPr>
            <w:r>
              <w:rPr>
                <w:rFonts w:ascii="Arial" w:cs="Arial" w:eastAsia="Arial" w:hAnsi="Arial"/>
                <w:sz w:val="13"/>
                <w:szCs w:val="13"/>
                <w:b w:val="1"/>
                <w:bCs w:val="1"/>
                <w:color w:val="auto"/>
              </w:rPr>
              <w:t>Building and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auto"/>
                <w:w w:val="90"/>
              </w:rPr>
              <w:t>Depreciation and</w:t>
            </w:r>
          </w:p>
        </w:tc>
        <w:tc>
          <w:tcPr>
            <w:tcW w:w="76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Date of</w:t>
            </w:r>
          </w:p>
        </w:tc>
        <w:tc>
          <w:tcPr>
            <w:tcW w:w="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Date</w:t>
            </w:r>
          </w:p>
        </w:tc>
        <w:tc>
          <w:tcPr>
            <w:tcW w:w="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statements is</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Descriptions</w:t>
            </w:r>
          </w:p>
        </w:tc>
        <w:tc>
          <w:tcPr>
            <w:tcW w:w="2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3"/>
              </w:rPr>
              <w:t>Encumbrance</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Land</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2"/>
              </w:rPr>
              <w:t>Improvements</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Acquisition</w:t>
            </w:r>
          </w:p>
        </w:tc>
        <w:tc>
          <w:tcPr>
            <w:tcW w:w="800" w:type="dxa"/>
            <w:vAlign w:val="bottom"/>
          </w:tcPr>
          <w:p>
            <w:pPr>
              <w:jc w:val="right"/>
              <w:ind w:right="173"/>
              <w:spacing w:after="0"/>
              <w:rPr>
                <w:sz w:val="20"/>
                <w:szCs w:val="20"/>
                <w:color w:val="auto"/>
              </w:rPr>
            </w:pPr>
            <w:r>
              <w:rPr>
                <w:rFonts w:ascii="Arial" w:cs="Arial" w:eastAsia="Arial" w:hAnsi="Arial"/>
                <w:sz w:val="13"/>
                <w:szCs w:val="13"/>
                <w:b w:val="1"/>
                <w:bCs w:val="1"/>
                <w:color w:val="auto"/>
              </w:rPr>
              <w:t>Land</w:t>
            </w:r>
          </w:p>
        </w:tc>
        <w:tc>
          <w:tcPr>
            <w:tcW w:w="40" w:type="dxa"/>
            <w:vAlign w:val="bottom"/>
          </w:tcPr>
          <w:p>
            <w:pPr>
              <w:spacing w:after="0"/>
              <w:rPr>
                <w:sz w:val="14"/>
                <w:szCs w:val="14"/>
                <w:color w:val="auto"/>
              </w:rPr>
            </w:pPr>
          </w:p>
        </w:tc>
        <w:tc>
          <w:tcPr>
            <w:tcW w:w="1220" w:type="dxa"/>
            <w:vAlign w:val="bottom"/>
          </w:tcPr>
          <w:p>
            <w:pPr>
              <w:jc w:val="right"/>
              <w:ind w:right="133"/>
              <w:spacing w:after="0"/>
              <w:rPr>
                <w:sz w:val="20"/>
                <w:szCs w:val="20"/>
                <w:color w:val="auto"/>
              </w:rPr>
            </w:pPr>
            <w:r>
              <w:rPr>
                <w:rFonts w:ascii="Arial" w:cs="Arial" w:eastAsia="Arial" w:hAnsi="Arial"/>
                <w:sz w:val="13"/>
                <w:szCs w:val="13"/>
                <w:b w:val="1"/>
                <w:bCs w:val="1"/>
                <w:color w:val="auto"/>
              </w:rPr>
              <w:t>Improvements</w:t>
            </w:r>
          </w:p>
        </w:tc>
        <w:tc>
          <w:tcPr>
            <w:tcW w:w="4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Amortization</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w w:val="88"/>
              </w:rPr>
              <w:t>Construction</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ESCONDIDO</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PROMENADE</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11,505,000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12,147,000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2,234,990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11,504,980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14,381,990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25,886,970</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3,703,492</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12/31/96</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FALLS PLAZA</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88"/>
              </w:rPr>
              <w:t xml:space="preserve">22 </w:t>
            </w:r>
            <w:r>
              <w:rPr>
                <w:rFonts w:ascii="Arial" w:cs="Arial" w:eastAsia="Arial" w:hAnsi="Arial"/>
                <w:sz w:val="22"/>
                <w:szCs w:val="22"/>
                <w:color w:val="auto"/>
                <w:w w:val="88"/>
                <w:vertAlign w:val="superscript"/>
              </w:rPr>
              <w:t>3</w:t>
            </w:r>
            <w:r>
              <w:rPr>
                <w:rFonts w:ascii="Arial" w:cs="Arial" w:eastAsia="Arial" w:hAnsi="Arial"/>
                <w:sz w:val="13"/>
                <w:szCs w:val="13"/>
                <w:color w:val="auto"/>
                <w:w w:val="88"/>
              </w:rPr>
              <w:t>/4 years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(Virginia)</w:t>
            </w:r>
          </w:p>
        </w:tc>
        <w:tc>
          <w:tcPr>
            <w:tcW w:w="280" w:type="dxa"/>
            <w:vAlign w:val="bottom"/>
          </w:tcPr>
          <w:p>
            <w:pPr>
              <w:ind w:left="40"/>
              <w:spacing w:after="0"/>
              <w:rPr>
                <w:sz w:val="20"/>
                <w:szCs w:val="20"/>
                <w:color w:val="auto"/>
              </w:rPr>
            </w:pPr>
            <w:r>
              <w:rPr>
                <w:rFonts w:ascii="Arial" w:cs="Arial" w:eastAsia="Arial" w:hAnsi="Arial"/>
                <w:sz w:val="13"/>
                <w:szCs w:val="13"/>
                <w:color w:val="auto"/>
              </w:rPr>
              <w:t>VA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1,260,000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735,000</w:t>
            </w:r>
          </w:p>
        </w:tc>
        <w:tc>
          <w:tcPr>
            <w:tcW w:w="820" w:type="dxa"/>
            <w:vAlign w:val="bottom"/>
          </w:tcPr>
          <w:p>
            <w:pPr>
              <w:jc w:val="right"/>
              <w:spacing w:after="0"/>
              <w:rPr>
                <w:sz w:val="20"/>
                <w:szCs w:val="20"/>
                <w:color w:val="auto"/>
              </w:rPr>
            </w:pPr>
            <w:r>
              <w:rPr>
                <w:rFonts w:ascii="Arial" w:cs="Arial" w:eastAsia="Arial" w:hAnsi="Arial"/>
                <w:sz w:val="13"/>
                <w:szCs w:val="13"/>
                <w:color w:val="auto"/>
              </w:rPr>
              <w:t>6,169,787</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1,260,216</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6,904,787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8,165,003</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2,716,152</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1962</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09/30/67</w:t>
            </w: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8"/>
              </w:rPr>
              <w:t>FALLS PLAZA—East</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535,000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2,313,576</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559,252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2,827,324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3,386,576</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2,873,768</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1960</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10/05/72</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FEASTERVILLE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(Pennsylvania)</w:t>
            </w:r>
          </w:p>
        </w:tc>
        <w:tc>
          <w:tcPr>
            <w:tcW w:w="280" w:type="dxa"/>
            <w:vAlign w:val="bottom"/>
          </w:tcPr>
          <w:p>
            <w:pPr>
              <w:ind w:left="40"/>
              <w:spacing w:after="0"/>
              <w:rPr>
                <w:sz w:val="20"/>
                <w:szCs w:val="20"/>
                <w:color w:val="auto"/>
              </w:rPr>
            </w:pPr>
            <w:r>
              <w:rPr>
                <w:rFonts w:ascii="Arial" w:cs="Arial" w:eastAsia="Arial" w:hAnsi="Arial"/>
                <w:sz w:val="13"/>
                <w:szCs w:val="13"/>
                <w:color w:val="auto"/>
              </w:rPr>
              <w:t>PA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1,431,000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1,600,000</w:t>
            </w:r>
          </w:p>
        </w:tc>
        <w:tc>
          <w:tcPr>
            <w:tcW w:w="820" w:type="dxa"/>
            <w:vAlign w:val="bottom"/>
          </w:tcPr>
          <w:p>
            <w:pPr>
              <w:jc w:val="right"/>
              <w:spacing w:after="0"/>
              <w:rPr>
                <w:sz w:val="20"/>
                <w:szCs w:val="20"/>
                <w:color w:val="auto"/>
              </w:rPr>
            </w:pPr>
            <w:r>
              <w:rPr>
                <w:rFonts w:ascii="Arial" w:cs="Arial" w:eastAsia="Arial" w:hAnsi="Arial"/>
                <w:sz w:val="13"/>
                <w:szCs w:val="13"/>
                <w:color w:val="auto"/>
              </w:rPr>
              <w:t>8,677,588</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1,402,196</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10,277,588</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11,679,784</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6,165,822</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07/23/80</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20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FEDERAL PLAZA</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34,675,530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10,216,000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17,895,000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34,139,788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10,216,206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52,034,788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62,250,995</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23,157,988</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1970</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06/29/89</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FINLEY SQUARE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(Illinois)</w:t>
            </w:r>
          </w:p>
        </w:tc>
        <w:tc>
          <w:tcPr>
            <w:tcW w:w="280" w:type="dxa"/>
            <w:vAlign w:val="bottom"/>
          </w:tcPr>
          <w:p>
            <w:pPr>
              <w:ind w:left="40"/>
              <w:spacing w:after="0"/>
              <w:rPr>
                <w:sz w:val="20"/>
                <w:szCs w:val="20"/>
                <w:color w:val="auto"/>
              </w:rPr>
            </w:pPr>
            <w:r>
              <w:rPr>
                <w:rFonts w:ascii="Arial" w:cs="Arial" w:eastAsia="Arial" w:hAnsi="Arial"/>
                <w:sz w:val="13"/>
                <w:szCs w:val="13"/>
                <w:color w:val="auto"/>
              </w:rPr>
              <w:t>IL</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9,252,000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9,544,000</w:t>
            </w:r>
          </w:p>
        </w:tc>
        <w:tc>
          <w:tcPr>
            <w:tcW w:w="820" w:type="dxa"/>
            <w:vAlign w:val="bottom"/>
          </w:tcPr>
          <w:p>
            <w:pPr>
              <w:jc w:val="right"/>
              <w:spacing w:after="0"/>
              <w:rPr>
                <w:sz w:val="20"/>
                <w:szCs w:val="20"/>
                <w:color w:val="auto"/>
              </w:rPr>
            </w:pPr>
            <w:r>
              <w:rPr>
                <w:rFonts w:ascii="Arial" w:cs="Arial" w:eastAsia="Arial" w:hAnsi="Arial"/>
                <w:sz w:val="13"/>
                <w:szCs w:val="13"/>
                <w:color w:val="auto"/>
              </w:rPr>
              <w:t>10,216,503</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9,251,776</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19,760,503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29,012,279</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7,796,559</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1974</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04/27/95</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FLOURTOWN</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3,943,000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4,007,061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1,345,075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7,950,061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9,295,135</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4,989,556</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1957</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04/25/80</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FRESH MEADOWS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(New York)</w:t>
            </w:r>
          </w:p>
        </w:tc>
        <w:tc>
          <w:tcPr>
            <w:tcW w:w="280" w:type="dxa"/>
            <w:vAlign w:val="bottom"/>
          </w:tcPr>
          <w:p>
            <w:pPr>
              <w:ind w:left="40"/>
              <w:spacing w:after="0"/>
              <w:rPr>
                <w:sz w:val="20"/>
                <w:szCs w:val="20"/>
                <w:color w:val="auto"/>
              </w:rPr>
            </w:pPr>
            <w:r>
              <w:rPr>
                <w:rFonts w:ascii="Arial" w:cs="Arial" w:eastAsia="Arial" w:hAnsi="Arial"/>
                <w:sz w:val="13"/>
                <w:szCs w:val="13"/>
                <w:color w:val="auto"/>
              </w:rPr>
              <w:t>NY</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24,625,000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25,255,000</w:t>
            </w:r>
          </w:p>
        </w:tc>
        <w:tc>
          <w:tcPr>
            <w:tcW w:w="820" w:type="dxa"/>
            <w:vAlign w:val="bottom"/>
          </w:tcPr>
          <w:p>
            <w:pPr>
              <w:jc w:val="right"/>
              <w:spacing w:after="0"/>
              <w:rPr>
                <w:sz w:val="20"/>
                <w:szCs w:val="20"/>
                <w:color w:val="auto"/>
              </w:rPr>
            </w:pPr>
            <w:r>
              <w:rPr>
                <w:rFonts w:ascii="Arial" w:cs="Arial" w:eastAsia="Arial" w:hAnsi="Arial"/>
                <w:sz w:val="13"/>
                <w:szCs w:val="13"/>
                <w:color w:val="auto"/>
              </w:rPr>
              <w:t>16,156,521</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24,626,889</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41,411,521</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66,038,411</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11,503,052</w:t>
            </w: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1946-1949</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12/05/97</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FRIENDSHIP CTR</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(District of</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Columbia)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DC</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12,696,000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20,803,000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(190,317)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12,696,367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20,612,683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33,309,050</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2,566,948</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09/21/01</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GAITHERSBURG</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ind w:left="200"/>
              <w:spacing w:after="0" w:line="146" w:lineRule="exact"/>
              <w:rPr>
                <w:sz w:val="20"/>
                <w:szCs w:val="20"/>
                <w:color w:val="auto"/>
              </w:rPr>
            </w:pPr>
            <w:r>
              <w:rPr>
                <w:rFonts w:ascii="Arial" w:cs="Arial" w:eastAsia="Arial" w:hAnsi="Arial"/>
                <w:sz w:val="13"/>
                <w:szCs w:val="13"/>
                <w:color w:val="auto"/>
              </w:rPr>
              <w:t>SQUARE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(Maryland)</w:t>
            </w:r>
          </w:p>
        </w:tc>
        <w:tc>
          <w:tcPr>
            <w:tcW w:w="280" w:type="dxa"/>
            <w:vAlign w:val="bottom"/>
          </w:tcPr>
          <w:p>
            <w:pPr>
              <w:ind w:left="40"/>
              <w:spacing w:after="0"/>
              <w:rPr>
                <w:sz w:val="20"/>
                <w:szCs w:val="20"/>
                <w:color w:val="auto"/>
              </w:rPr>
            </w:pPr>
            <w:r>
              <w:rPr>
                <w:rFonts w:ascii="Arial" w:cs="Arial" w:eastAsia="Arial" w:hAnsi="Arial"/>
                <w:sz w:val="13"/>
                <w:szCs w:val="13"/>
                <w:color w:val="auto"/>
              </w:rPr>
              <w:t>MD</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7,701,000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5,271,000</w:t>
            </w:r>
          </w:p>
        </w:tc>
        <w:tc>
          <w:tcPr>
            <w:tcW w:w="820" w:type="dxa"/>
            <w:vAlign w:val="bottom"/>
          </w:tcPr>
          <w:p>
            <w:pPr>
              <w:jc w:val="right"/>
              <w:spacing w:after="0"/>
              <w:rPr>
                <w:sz w:val="20"/>
                <w:szCs w:val="20"/>
                <w:color w:val="auto"/>
              </w:rPr>
            </w:pPr>
            <w:r>
              <w:rPr>
                <w:rFonts w:ascii="Arial" w:cs="Arial" w:eastAsia="Arial" w:hAnsi="Arial"/>
                <w:sz w:val="13"/>
                <w:szCs w:val="13"/>
                <w:color w:val="auto"/>
              </w:rPr>
              <w:t>10,829,791</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6,012,077</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17,789,714</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23,801,791</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9,044,510</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1966</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04/22/93</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GARDEN MARKET</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(Illinois)</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IL</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2,677,000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4,829,000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3,632,974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2,677,200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8,461,974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11,139,174</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2,905,919</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07/28/94</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GOVERNOR PLAZA</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(Maryland)</w:t>
            </w:r>
          </w:p>
        </w:tc>
        <w:tc>
          <w:tcPr>
            <w:tcW w:w="280" w:type="dxa"/>
            <w:vAlign w:val="bottom"/>
          </w:tcPr>
          <w:p>
            <w:pPr>
              <w:ind w:left="40"/>
              <w:spacing w:after="0"/>
              <w:rPr>
                <w:sz w:val="20"/>
                <w:szCs w:val="20"/>
                <w:color w:val="auto"/>
              </w:rPr>
            </w:pPr>
            <w:r>
              <w:rPr>
                <w:rFonts w:ascii="Arial" w:cs="Arial" w:eastAsia="Arial" w:hAnsi="Arial"/>
                <w:sz w:val="13"/>
                <w:szCs w:val="13"/>
                <w:color w:val="auto"/>
              </w:rPr>
              <w:t>MD</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2,068,000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4,905,000</w:t>
            </w:r>
          </w:p>
        </w:tc>
        <w:tc>
          <w:tcPr>
            <w:tcW w:w="820" w:type="dxa"/>
            <w:vAlign w:val="bottom"/>
          </w:tcPr>
          <w:p>
            <w:pPr>
              <w:jc w:val="right"/>
              <w:spacing w:after="0"/>
              <w:rPr>
                <w:sz w:val="20"/>
                <w:szCs w:val="20"/>
                <w:color w:val="auto"/>
              </w:rPr>
            </w:pPr>
            <w:r>
              <w:rPr>
                <w:rFonts w:ascii="Arial" w:cs="Arial" w:eastAsia="Arial" w:hAnsi="Arial"/>
                <w:sz w:val="13"/>
                <w:szCs w:val="13"/>
                <w:color w:val="auto"/>
              </w:rPr>
              <w:t>11,997,343</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2,068,227</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16,902,343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18,970,570</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10,557,976</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1963</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10/01/85</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GRATIOT PLAZA</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 xml:space="preserve">25 </w:t>
            </w:r>
            <w:r>
              <w:rPr>
                <w:rFonts w:ascii="Arial" w:cs="Arial" w:eastAsia="Arial" w:hAnsi="Arial"/>
                <w:sz w:val="22"/>
                <w:szCs w:val="22"/>
                <w:color w:val="auto"/>
                <w:w w:val="88"/>
                <w:vertAlign w:val="superscript"/>
              </w:rPr>
              <w:t>3</w:t>
            </w:r>
            <w:r>
              <w:rPr>
                <w:rFonts w:ascii="Arial" w:cs="Arial" w:eastAsia="Arial" w:hAnsi="Arial"/>
                <w:sz w:val="13"/>
                <w:szCs w:val="13"/>
                <w:color w:val="auto"/>
                <w:w w:val="88"/>
              </w:rPr>
              <w:t>/4 years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(Michigan)</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1,601,000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15,912,994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525,316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17,513,994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18,039,310</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7,399,250</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1964</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03/29/73</w:t>
            </w:r>
          </w:p>
        </w:tc>
        <w:tc>
          <w:tcPr>
            <w:tcW w:w="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GREENLAWN (New</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York)</w:t>
            </w:r>
          </w:p>
        </w:tc>
        <w:tc>
          <w:tcPr>
            <w:tcW w:w="280" w:type="dxa"/>
            <w:vAlign w:val="bottom"/>
          </w:tcPr>
          <w:p>
            <w:pPr>
              <w:ind w:left="40"/>
              <w:spacing w:after="0"/>
              <w:rPr>
                <w:sz w:val="20"/>
                <w:szCs w:val="20"/>
                <w:color w:val="auto"/>
              </w:rPr>
            </w:pPr>
            <w:r>
              <w:rPr>
                <w:rFonts w:ascii="Arial" w:cs="Arial" w:eastAsia="Arial" w:hAnsi="Arial"/>
                <w:sz w:val="13"/>
                <w:szCs w:val="13"/>
                <w:color w:val="auto"/>
              </w:rPr>
              <w:t>NY</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2,294,000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3,864,000</w:t>
            </w:r>
          </w:p>
        </w:tc>
        <w:tc>
          <w:tcPr>
            <w:tcW w:w="820" w:type="dxa"/>
            <w:vAlign w:val="bottom"/>
          </w:tcPr>
          <w:p>
            <w:pPr>
              <w:jc w:val="right"/>
              <w:spacing w:after="0"/>
              <w:rPr>
                <w:sz w:val="20"/>
                <w:szCs w:val="20"/>
                <w:color w:val="auto"/>
              </w:rPr>
            </w:pPr>
            <w:r>
              <w:rPr>
                <w:rFonts w:ascii="Arial" w:cs="Arial" w:eastAsia="Arial" w:hAnsi="Arial"/>
                <w:sz w:val="13"/>
                <w:szCs w:val="13"/>
                <w:color w:val="auto"/>
              </w:rPr>
              <w:t>5,805,634</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2,294,400</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9,669,634</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11,964,034</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2,133,897</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1975</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01/05/00</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HAMILTON (New</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Jersey)</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NJ</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4,220,434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5,405,000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2,316,457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7,721,457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7,721,457</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4,708,254</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1961</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12/12/88</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HAUPPAUGE (New</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York)</w:t>
            </w:r>
          </w:p>
        </w:tc>
        <w:tc>
          <w:tcPr>
            <w:tcW w:w="280" w:type="dxa"/>
            <w:vAlign w:val="bottom"/>
          </w:tcPr>
          <w:p>
            <w:pPr>
              <w:ind w:left="40"/>
              <w:spacing w:after="0"/>
              <w:rPr>
                <w:sz w:val="20"/>
                <w:szCs w:val="20"/>
                <w:color w:val="auto"/>
              </w:rPr>
            </w:pPr>
            <w:r>
              <w:rPr>
                <w:rFonts w:ascii="Arial" w:cs="Arial" w:eastAsia="Arial" w:hAnsi="Arial"/>
                <w:sz w:val="13"/>
                <w:szCs w:val="13"/>
                <w:color w:val="auto"/>
              </w:rPr>
              <w:t>NY</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16,282,640</w:t>
            </w:r>
          </w:p>
        </w:tc>
        <w:tc>
          <w:tcPr>
            <w:tcW w:w="740" w:type="dxa"/>
            <w:vAlign w:val="bottom"/>
          </w:tcPr>
          <w:p>
            <w:pPr>
              <w:jc w:val="right"/>
              <w:spacing w:after="0"/>
              <w:rPr>
                <w:sz w:val="20"/>
                <w:szCs w:val="20"/>
                <w:color w:val="auto"/>
              </w:rPr>
            </w:pPr>
            <w:r>
              <w:rPr>
                <w:rFonts w:ascii="Arial" w:cs="Arial" w:eastAsia="Arial" w:hAnsi="Arial"/>
                <w:sz w:val="13"/>
                <w:szCs w:val="13"/>
                <w:color w:val="auto"/>
              </w:rPr>
              <w:t>8,791,000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15,262,000</w:t>
            </w:r>
          </w:p>
        </w:tc>
        <w:tc>
          <w:tcPr>
            <w:tcW w:w="820" w:type="dxa"/>
            <w:vAlign w:val="bottom"/>
          </w:tcPr>
          <w:p>
            <w:pPr>
              <w:jc w:val="right"/>
              <w:spacing w:after="0"/>
              <w:rPr>
                <w:sz w:val="20"/>
                <w:szCs w:val="20"/>
                <w:color w:val="auto"/>
              </w:rPr>
            </w:pPr>
            <w:r>
              <w:rPr>
                <w:rFonts w:ascii="Arial" w:cs="Arial" w:eastAsia="Arial" w:hAnsi="Arial"/>
                <w:sz w:val="13"/>
                <w:szCs w:val="13"/>
                <w:color w:val="auto"/>
              </w:rPr>
              <w:t>2,562,233</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8,791,315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17,824,233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26,615,548</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3,877,293</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1963</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08/06/98</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HUNTINGTON (New</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York)</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NY</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12,491,511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16,008,000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5,081,741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21,089,741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21,089,741</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12,676,029</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1962</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12/12/88</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IDYLWOOD PLAZA</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(Virginia)</w:t>
            </w:r>
          </w:p>
        </w:tc>
        <w:tc>
          <w:tcPr>
            <w:tcW w:w="280" w:type="dxa"/>
            <w:vAlign w:val="bottom"/>
          </w:tcPr>
          <w:p>
            <w:pPr>
              <w:ind w:left="40"/>
              <w:spacing w:after="0"/>
              <w:rPr>
                <w:sz w:val="20"/>
                <w:szCs w:val="20"/>
                <w:color w:val="auto"/>
              </w:rPr>
            </w:pPr>
            <w:r>
              <w:rPr>
                <w:rFonts w:ascii="Arial" w:cs="Arial" w:eastAsia="Arial" w:hAnsi="Arial"/>
                <w:sz w:val="13"/>
                <w:szCs w:val="13"/>
                <w:color w:val="auto"/>
              </w:rPr>
              <w:t>VA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4,308,000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10,026,000</w:t>
            </w:r>
          </w:p>
        </w:tc>
        <w:tc>
          <w:tcPr>
            <w:tcW w:w="820" w:type="dxa"/>
            <w:vAlign w:val="bottom"/>
          </w:tcPr>
          <w:p>
            <w:pPr>
              <w:jc w:val="right"/>
              <w:spacing w:after="0"/>
              <w:rPr>
                <w:sz w:val="20"/>
                <w:szCs w:val="20"/>
                <w:color w:val="auto"/>
              </w:rPr>
            </w:pPr>
            <w:r>
              <w:rPr>
                <w:rFonts w:ascii="Arial" w:cs="Arial" w:eastAsia="Arial" w:hAnsi="Arial"/>
                <w:sz w:val="13"/>
                <w:szCs w:val="13"/>
                <w:color w:val="auto"/>
              </w:rPr>
              <w:t>750,616</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4,307,775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10,776,616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15,084,391</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3,765,509</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1991</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04/15/94</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KINGS COURT</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10,714,000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718,639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11,432,639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11,432,639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3,261,660</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1960</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08/24/98</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26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LANCASTER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(Pennsylvania)</w:t>
            </w:r>
          </w:p>
        </w:tc>
        <w:tc>
          <w:tcPr>
            <w:tcW w:w="280" w:type="dxa"/>
            <w:vAlign w:val="bottom"/>
          </w:tcPr>
          <w:p>
            <w:pPr>
              <w:ind w:left="40"/>
              <w:spacing w:after="0"/>
              <w:rPr>
                <w:sz w:val="20"/>
                <w:szCs w:val="20"/>
                <w:color w:val="auto"/>
              </w:rPr>
            </w:pPr>
            <w:r>
              <w:rPr>
                <w:rFonts w:ascii="Arial" w:cs="Arial" w:eastAsia="Arial" w:hAnsi="Arial"/>
                <w:sz w:val="13"/>
                <w:szCs w:val="13"/>
                <w:color w:val="auto"/>
              </w:rPr>
              <w:t>PA</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4,906,977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2,103,000</w:t>
            </w:r>
          </w:p>
        </w:tc>
        <w:tc>
          <w:tcPr>
            <w:tcW w:w="820" w:type="dxa"/>
            <w:vAlign w:val="bottom"/>
          </w:tcPr>
          <w:p>
            <w:pPr>
              <w:jc w:val="right"/>
              <w:spacing w:after="0"/>
              <w:rPr>
                <w:sz w:val="20"/>
                <w:szCs w:val="20"/>
                <w:color w:val="auto"/>
              </w:rPr>
            </w:pPr>
            <w:r>
              <w:rPr>
                <w:rFonts w:ascii="Arial" w:cs="Arial" w:eastAsia="Arial" w:hAnsi="Arial"/>
                <w:sz w:val="13"/>
                <w:szCs w:val="13"/>
                <w:color w:val="auto"/>
              </w:rPr>
              <w:t>8,713,251</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10,816,251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10,816,251</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4,980,351</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04/24/80</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22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LANGHORNE</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SQUARE</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2,974,000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14,197,519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17,171,519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17,891,519</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8,013,285</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1966</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01/31/85</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spacing w:after="0" w:line="146" w:lineRule="exact"/>
              <w:rPr>
                <w:sz w:val="20"/>
                <w:szCs w:val="20"/>
                <w:color w:val="auto"/>
              </w:rPr>
            </w:pPr>
            <w:r>
              <w:rPr>
                <w:rFonts w:ascii="Arial" w:cs="Arial" w:eastAsia="Arial" w:hAnsi="Arial"/>
                <w:sz w:val="13"/>
                <w:szCs w:val="13"/>
                <w:color w:val="auto"/>
              </w:rPr>
              <w:t>LAUREL (Maryland)</w:t>
            </w:r>
          </w:p>
        </w:tc>
        <w:tc>
          <w:tcPr>
            <w:tcW w:w="280" w:type="dxa"/>
            <w:vAlign w:val="bottom"/>
          </w:tcPr>
          <w:p>
            <w:pPr>
              <w:ind w:left="40"/>
              <w:spacing w:after="0" w:line="146" w:lineRule="exact"/>
              <w:rPr>
                <w:sz w:val="20"/>
                <w:szCs w:val="20"/>
                <w:color w:val="auto"/>
              </w:rPr>
            </w:pPr>
            <w:r>
              <w:rPr>
                <w:rFonts w:ascii="Arial" w:cs="Arial" w:eastAsia="Arial" w:hAnsi="Arial"/>
                <w:sz w:val="13"/>
                <w:szCs w:val="13"/>
                <w:color w:val="auto"/>
              </w:rPr>
              <w:t>MD</w:t>
            </w:r>
          </w:p>
        </w:tc>
        <w:tc>
          <w:tcPr>
            <w:tcW w:w="20" w:type="dxa"/>
            <w:vAlign w:val="bottom"/>
          </w:tcPr>
          <w:p>
            <w:pPr>
              <w:spacing w:after="0"/>
              <w:rPr>
                <w:sz w:val="12"/>
                <w:szCs w:val="12"/>
                <w:color w:val="auto"/>
              </w:rPr>
            </w:pPr>
          </w:p>
        </w:tc>
        <w:tc>
          <w:tcPr>
            <w:tcW w:w="8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7,458,000</w:t>
            </w:r>
          </w:p>
        </w:tc>
        <w:tc>
          <w:tcPr>
            <w:tcW w:w="40" w:type="dxa"/>
            <w:vAlign w:val="bottom"/>
          </w:tcPr>
          <w:p>
            <w:pPr>
              <w:spacing w:after="0"/>
              <w:rPr>
                <w:sz w:val="12"/>
                <w:szCs w:val="12"/>
                <w:color w:val="auto"/>
              </w:rPr>
            </w:pPr>
          </w:p>
        </w:tc>
        <w:tc>
          <w:tcPr>
            <w:tcW w:w="8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22,525,000</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16,116,214</w:t>
            </w:r>
          </w:p>
        </w:tc>
        <w:tc>
          <w:tcPr>
            <w:tcW w:w="8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7,458,514</w:t>
            </w:r>
          </w:p>
        </w:tc>
        <w:tc>
          <w:tcPr>
            <w:tcW w:w="12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38,641,214</w:t>
            </w: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46,099,728</w:t>
            </w:r>
          </w:p>
        </w:tc>
        <w:tc>
          <w:tcPr>
            <w:tcW w:w="40" w:type="dxa"/>
            <w:vAlign w:val="bottom"/>
          </w:tcPr>
          <w:p>
            <w:pPr>
              <w:spacing w:after="0"/>
              <w:rPr>
                <w:sz w:val="12"/>
                <w:szCs w:val="12"/>
                <w:color w:val="auto"/>
              </w:rPr>
            </w:pPr>
          </w:p>
        </w:tc>
        <w:tc>
          <w:tcPr>
            <w:tcW w:w="12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22,474,232</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9"/>
              </w:rPr>
              <w:t>1956</w:t>
            </w:r>
          </w:p>
        </w:tc>
        <w:tc>
          <w:tcPr>
            <w:tcW w:w="78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4"/>
              </w:rPr>
              <w:t>08/15/86</w:t>
            </w:r>
          </w:p>
        </w:tc>
        <w:tc>
          <w:tcPr>
            <w:tcW w:w="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LAWRENCE PARK</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30,615,263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5,723,000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7,160,000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15,418,168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5,734,209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22,567,168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28,301,377</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16,842,011</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1972</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07/23/80</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22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LEESBURG PLAZA</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(Virginia)</w:t>
            </w:r>
          </w:p>
        </w:tc>
        <w:tc>
          <w:tcPr>
            <w:tcW w:w="280" w:type="dxa"/>
            <w:vAlign w:val="bottom"/>
          </w:tcPr>
          <w:p>
            <w:pPr>
              <w:ind w:left="40"/>
              <w:spacing w:after="0"/>
              <w:rPr>
                <w:sz w:val="20"/>
                <w:szCs w:val="20"/>
                <w:color w:val="auto"/>
              </w:rPr>
            </w:pPr>
            <w:r>
              <w:rPr>
                <w:rFonts w:ascii="Arial" w:cs="Arial" w:eastAsia="Arial" w:hAnsi="Arial"/>
                <w:sz w:val="13"/>
                <w:szCs w:val="13"/>
                <w:color w:val="auto"/>
              </w:rPr>
              <w:t>VA</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9,880,922</w:t>
            </w:r>
          </w:p>
        </w:tc>
        <w:tc>
          <w:tcPr>
            <w:tcW w:w="740" w:type="dxa"/>
            <w:vAlign w:val="bottom"/>
          </w:tcPr>
          <w:p>
            <w:pPr>
              <w:jc w:val="right"/>
              <w:spacing w:after="0"/>
              <w:rPr>
                <w:sz w:val="20"/>
                <w:szCs w:val="20"/>
                <w:color w:val="auto"/>
              </w:rPr>
            </w:pPr>
            <w:r>
              <w:rPr>
                <w:rFonts w:ascii="Arial" w:cs="Arial" w:eastAsia="Arial" w:hAnsi="Arial"/>
                <w:sz w:val="13"/>
                <w:szCs w:val="13"/>
                <w:color w:val="auto"/>
              </w:rPr>
              <w:t>8,184,000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10,722,000</w:t>
            </w:r>
          </w:p>
        </w:tc>
        <w:tc>
          <w:tcPr>
            <w:tcW w:w="820" w:type="dxa"/>
            <w:vAlign w:val="bottom"/>
          </w:tcPr>
          <w:p>
            <w:pPr>
              <w:jc w:val="right"/>
              <w:spacing w:after="0"/>
              <w:rPr>
                <w:sz w:val="20"/>
                <w:szCs w:val="20"/>
                <w:color w:val="auto"/>
              </w:rPr>
            </w:pPr>
            <w:r>
              <w:rPr>
                <w:rFonts w:ascii="Arial" w:cs="Arial" w:eastAsia="Arial" w:hAnsi="Arial"/>
                <w:sz w:val="13"/>
                <w:szCs w:val="13"/>
                <w:color w:val="auto"/>
              </w:rPr>
              <w:t>9,934,723</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8,184,400</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20,656,723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28,841,123</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2,344,381</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1967</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09/15/98</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LOEHMANN’S</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PLAZA (Virginia)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1,237,000</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15,096,000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9,750,570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1,248,257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24,835,313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26,083,570</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14,726,842</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1971</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07/21/83</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MERCER MALL</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3"/>
                <w:szCs w:val="13"/>
                <w:color w:val="auto"/>
              </w:rPr>
              <w:t>(New Jersey)</w:t>
            </w:r>
          </w:p>
        </w:tc>
        <w:tc>
          <w:tcPr>
            <w:tcW w:w="280" w:type="dxa"/>
            <w:vAlign w:val="bottom"/>
          </w:tcPr>
          <w:p>
            <w:pPr>
              <w:ind w:left="40"/>
              <w:spacing w:after="0"/>
              <w:rPr>
                <w:sz w:val="20"/>
                <w:szCs w:val="20"/>
                <w:color w:val="auto"/>
              </w:rPr>
            </w:pPr>
            <w:r>
              <w:rPr>
                <w:rFonts w:ascii="Arial" w:cs="Arial" w:eastAsia="Arial" w:hAnsi="Arial"/>
                <w:sz w:val="13"/>
                <w:szCs w:val="13"/>
                <w:color w:val="auto"/>
              </w:rPr>
              <w:t>NJ</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58,886,966</w:t>
            </w:r>
          </w:p>
        </w:tc>
        <w:tc>
          <w:tcPr>
            <w:tcW w:w="740" w:type="dxa"/>
            <w:vAlign w:val="bottom"/>
          </w:tcPr>
          <w:p>
            <w:pPr>
              <w:jc w:val="right"/>
              <w:spacing w:after="0"/>
              <w:rPr>
                <w:sz w:val="20"/>
                <w:szCs w:val="20"/>
                <w:color w:val="auto"/>
              </w:rPr>
            </w:pPr>
            <w:r>
              <w:rPr>
                <w:rFonts w:ascii="Arial" w:cs="Arial" w:eastAsia="Arial" w:hAnsi="Arial"/>
                <w:sz w:val="13"/>
                <w:szCs w:val="13"/>
                <w:color w:val="auto"/>
              </w:rPr>
              <w:t>4,488,340</w:t>
            </w:r>
          </w:p>
        </w:tc>
        <w:tc>
          <w:tcPr>
            <w:tcW w:w="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70,076,308</w:t>
            </w:r>
          </w:p>
        </w:tc>
        <w:tc>
          <w:tcPr>
            <w:tcW w:w="820" w:type="dxa"/>
            <w:vAlign w:val="bottom"/>
          </w:tcPr>
          <w:p>
            <w:pPr>
              <w:jc w:val="right"/>
              <w:spacing w:after="0"/>
              <w:rPr>
                <w:sz w:val="20"/>
                <w:szCs w:val="20"/>
                <w:color w:val="auto"/>
              </w:rPr>
            </w:pPr>
            <w:r>
              <w:rPr>
                <w:rFonts w:ascii="Arial" w:cs="Arial" w:eastAsia="Arial" w:hAnsi="Arial"/>
                <w:sz w:val="13"/>
                <w:szCs w:val="13"/>
                <w:color w:val="auto"/>
              </w:rPr>
              <w:t>20,049,043</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4,931,789</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89,681,902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94,613,691</w:t>
            </w:r>
          </w:p>
        </w:tc>
        <w:tc>
          <w:tcPr>
            <w:tcW w:w="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7,279,487</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1975</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10/14/03</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9"/>
              </w:rPr>
              <w:t>25 - 35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MID PIKE PLAZA</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10,041,409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10,335,000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7,429,347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17,764,347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17,764,347</w:t>
            </w:r>
          </w:p>
        </w:tc>
        <w:tc>
          <w:tcPr>
            <w:tcW w:w="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8,792,053</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1963</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05/18/82</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50 years</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500"/>
          </w:cols>
          <w:pgMar w:left="240" w:top="271" w:right="15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2005</w:t>
      </w:r>
    </w:p>
    <w:p>
      <w:pPr>
        <w:sectPr>
          <w:pgSz w:w="11900" w:h="16838" w:orient="portrait"/>
          <w:cols w:equalWidth="0" w:num="1">
            <w:col w:w="11420"/>
          </w:cols>
          <w:pgMar w:left="240" w:top="271"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689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500" w:type="dxa"/>
            <w:vAlign w:val="bottom"/>
            <w:gridSpan w:val="5"/>
          </w:tcPr>
          <w:p>
            <w:pPr>
              <w:ind w:left="40"/>
              <w:spacing w:after="0"/>
              <w:rPr>
                <w:sz w:val="20"/>
                <w:szCs w:val="20"/>
                <w:color w:val="auto"/>
              </w:rPr>
            </w:pPr>
            <w:r>
              <w:rPr>
                <w:rFonts w:ascii="Arial" w:cs="Arial" w:eastAsia="Arial" w:hAnsi="Arial"/>
                <w:sz w:val="13"/>
                <w:szCs w:val="13"/>
                <w:b w:val="1"/>
                <w:bCs w:val="1"/>
                <w:color w:val="auto"/>
              </w:rPr>
              <w:t>COLUMN B COLUMN C</w:t>
            </w:r>
          </w:p>
        </w:tc>
        <w:tc>
          <w:tcPr>
            <w:tcW w:w="1620" w:type="dxa"/>
            <w:vAlign w:val="bottom"/>
            <w:gridSpan w:val="3"/>
          </w:tcPr>
          <w:p>
            <w:pPr>
              <w:ind w:left="40"/>
              <w:spacing w:after="0"/>
              <w:rPr>
                <w:sz w:val="20"/>
                <w:szCs w:val="20"/>
                <w:color w:val="auto"/>
              </w:rPr>
            </w:pPr>
            <w:r>
              <w:rPr>
                <w:rFonts w:ascii="Arial" w:cs="Arial" w:eastAsia="Arial" w:hAnsi="Arial"/>
                <w:sz w:val="13"/>
                <w:szCs w:val="13"/>
                <w:b w:val="1"/>
                <w:bCs w:val="1"/>
                <w:color w:val="auto"/>
              </w:rPr>
              <w:t>COLUMN D  COLUMN E</w:t>
            </w:r>
          </w:p>
        </w:tc>
        <w:tc>
          <w:tcPr>
            <w:tcW w:w="1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COLUMN F</w:t>
            </w:r>
          </w:p>
        </w:tc>
        <w:tc>
          <w:tcPr>
            <w:tcW w:w="4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Arial" w:cs="Arial" w:eastAsia="Arial" w:hAnsi="Arial"/>
                <w:sz w:val="13"/>
                <w:szCs w:val="13"/>
                <w:b w:val="1"/>
                <w:bCs w:val="1"/>
                <w:color w:val="auto"/>
              </w:rPr>
              <w:t>COLUMN G COLUMN H</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7"/>
        </w:trPr>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3"/>
              </w:rPr>
              <w:t>Life on which</w:t>
            </w: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3"/>
          </w:tcPr>
          <w:p>
            <w:pPr>
              <w:ind w:left="160"/>
              <w:spacing w:after="0" w:line="146" w:lineRule="exact"/>
              <w:rPr>
                <w:sz w:val="20"/>
                <w:szCs w:val="20"/>
                <w:color w:val="auto"/>
              </w:rPr>
            </w:pPr>
            <w:r>
              <w:rPr>
                <w:rFonts w:ascii="Arial" w:cs="Arial" w:eastAsia="Arial" w:hAnsi="Arial"/>
                <w:sz w:val="13"/>
                <w:szCs w:val="13"/>
                <w:b w:val="1"/>
                <w:bCs w:val="1"/>
                <w:color w:val="auto"/>
              </w:rPr>
              <w:t>Initial cost to company</w:t>
            </w: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Cost</w:t>
            </w:r>
          </w:p>
        </w:tc>
        <w:tc>
          <w:tcPr>
            <w:tcW w:w="40" w:type="dxa"/>
            <w:vAlign w:val="bottom"/>
          </w:tcPr>
          <w:p>
            <w:pPr>
              <w:spacing w:after="0"/>
              <w:rPr>
                <w:sz w:val="12"/>
                <w:szCs w:val="12"/>
                <w:color w:val="auto"/>
              </w:rPr>
            </w:pPr>
          </w:p>
        </w:tc>
        <w:tc>
          <w:tcPr>
            <w:tcW w:w="2800" w:type="dxa"/>
            <w:vAlign w:val="bottom"/>
            <w:gridSpan w:val="4"/>
          </w:tcPr>
          <w:p>
            <w:pPr>
              <w:jc w:val="center"/>
              <w:ind w:right="40"/>
              <w:spacing w:after="0" w:line="146" w:lineRule="exact"/>
              <w:rPr>
                <w:sz w:val="20"/>
                <w:szCs w:val="20"/>
                <w:color w:val="auto"/>
              </w:rPr>
            </w:pPr>
            <w:r>
              <w:rPr>
                <w:rFonts w:ascii="Arial" w:cs="Arial" w:eastAsia="Arial" w:hAnsi="Arial"/>
                <w:sz w:val="13"/>
                <w:szCs w:val="13"/>
                <w:b w:val="1"/>
                <w:bCs w:val="1"/>
                <w:color w:val="auto"/>
                <w:w w:val="91"/>
              </w:rPr>
              <w:t>Gross amount at which carried at close of period</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96"/>
              </w:rPr>
              <w:t>Capitalized</w:t>
            </w: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00"/>
        </w:trPr>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gridSpan w:val="2"/>
          </w:tcPr>
          <w:p>
            <w:pPr>
              <w:ind w:left="100"/>
              <w:spacing w:after="0" w:line="146" w:lineRule="exact"/>
              <w:rPr>
                <w:sz w:val="20"/>
                <w:szCs w:val="20"/>
                <w:color w:val="auto"/>
              </w:rPr>
            </w:pPr>
            <w:r>
              <w:rPr>
                <w:rFonts w:ascii="Arial" w:cs="Arial" w:eastAsia="Arial" w:hAnsi="Arial"/>
                <w:sz w:val="13"/>
                <w:szCs w:val="13"/>
                <w:b w:val="1"/>
                <w:bCs w:val="1"/>
                <w:color w:val="auto"/>
              </w:rPr>
              <w:t>Building and</w:t>
            </w: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Subsequent to</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Building and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Depreciation and</w:t>
            </w:r>
          </w:p>
        </w:tc>
        <w:tc>
          <w:tcPr>
            <w:tcW w:w="40" w:type="dxa"/>
            <w:vAlign w:val="bottom"/>
          </w:tcPr>
          <w:p>
            <w:pPr>
              <w:spacing w:after="0"/>
              <w:rPr>
                <w:sz w:val="12"/>
                <w:szCs w:val="12"/>
                <w:color w:val="auto"/>
              </w:rPr>
            </w:pPr>
          </w:p>
        </w:tc>
        <w:tc>
          <w:tcPr>
            <w:tcW w:w="760" w:type="dxa"/>
            <w:vAlign w:val="bottom"/>
          </w:tcPr>
          <w:p>
            <w:pPr>
              <w:ind w:left="160"/>
              <w:spacing w:after="0" w:line="146" w:lineRule="exact"/>
              <w:rPr>
                <w:sz w:val="20"/>
                <w:szCs w:val="20"/>
                <w:color w:val="auto"/>
              </w:rPr>
            </w:pPr>
            <w:r>
              <w:rPr>
                <w:rFonts w:ascii="Arial" w:cs="Arial" w:eastAsia="Arial" w:hAnsi="Arial"/>
                <w:sz w:val="13"/>
                <w:szCs w:val="13"/>
                <w:b w:val="1"/>
                <w:bCs w:val="1"/>
                <w:color w:val="auto"/>
              </w:rPr>
              <w:t>Date of</w:t>
            </w:r>
          </w:p>
        </w:tc>
        <w:tc>
          <w:tcPr>
            <w:tcW w:w="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Date</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statements is</w:t>
            </w:r>
          </w:p>
        </w:tc>
        <w:tc>
          <w:tcPr>
            <w:tcW w:w="0" w:type="dxa"/>
            <w:vAlign w:val="bottom"/>
          </w:tcPr>
          <w:p>
            <w:pPr>
              <w:spacing w:after="0"/>
              <w:rPr>
                <w:sz w:val="1"/>
                <w:szCs w:val="1"/>
                <w:color w:val="auto"/>
              </w:rPr>
            </w:pPr>
          </w:p>
        </w:tc>
      </w:tr>
      <w:tr>
        <w:trPr>
          <w:trHeight w:val="159"/>
        </w:trPr>
        <w:tc>
          <w:tcPr>
            <w:tcW w:w="2500" w:type="dxa"/>
            <w:vAlign w:val="bottom"/>
            <w:gridSpan w:val="5"/>
          </w:tcPr>
          <w:p>
            <w:pPr>
              <w:spacing w:after="0"/>
              <w:rPr>
                <w:sz w:val="20"/>
                <w:szCs w:val="20"/>
                <w:color w:val="auto"/>
              </w:rPr>
            </w:pPr>
            <w:r>
              <w:rPr>
                <w:rFonts w:ascii="Arial" w:cs="Arial" w:eastAsia="Arial" w:hAnsi="Arial"/>
                <w:sz w:val="13"/>
                <w:szCs w:val="13"/>
                <w:b w:val="1"/>
                <w:bCs w:val="1"/>
                <w:color w:val="auto"/>
                <w:w w:val="92"/>
              </w:rPr>
              <w:t>EncumbranceLandImprovements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40" w:type="dxa"/>
            <w:vAlign w:val="bottom"/>
          </w:tcPr>
          <w:p>
            <w:pPr>
              <w:spacing w:after="0"/>
              <w:rPr>
                <w:sz w:val="13"/>
                <w:szCs w:val="13"/>
                <w:color w:val="auto"/>
              </w:rPr>
            </w:pPr>
          </w:p>
        </w:tc>
        <w:tc>
          <w:tcPr>
            <w:tcW w:w="760" w:type="dxa"/>
            <w:vAlign w:val="bottom"/>
          </w:tcPr>
          <w:p>
            <w:pPr>
              <w:ind w:left="240"/>
              <w:spacing w:after="0"/>
              <w:rPr>
                <w:sz w:val="20"/>
                <w:szCs w:val="20"/>
                <w:color w:val="auto"/>
              </w:rPr>
            </w:pPr>
            <w:r>
              <w:rPr>
                <w:rFonts w:ascii="Arial" w:cs="Arial" w:eastAsia="Arial" w:hAnsi="Arial"/>
                <w:sz w:val="13"/>
                <w:szCs w:val="13"/>
                <w:b w:val="1"/>
                <w:bCs w:val="1"/>
                <w:color w:val="auto"/>
              </w:rPr>
              <w:t>Land</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4"/>
              </w:rPr>
              <w:t>Improvements</w:t>
            </w: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w w:val="91"/>
              </w:rPr>
              <w:t>Construction</w:t>
            </w: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00" w:space="720"/>
            <w:col w:w="9900"/>
          </w:cols>
          <w:pgMar w:left="240" w:top="271" w:right="2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122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MOUNT VERNON</w:t>
            </w:r>
          </w:p>
        </w:tc>
        <w:tc>
          <w:tcPr>
            <w:tcW w:w="3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PLAZA (Virginia) VA</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12,556,028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19,400,734</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21,676,033</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41,076,767</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41,076,767</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1,659,036</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2003</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3/31/03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NEW YORK RETAIL</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BUILDINGS (3)</w:t>
            </w:r>
          </w:p>
        </w:tc>
        <w:tc>
          <w:tcPr>
            <w:tcW w:w="300" w:type="dxa"/>
            <w:vAlign w:val="bottom"/>
          </w:tcPr>
          <w:p>
            <w:pPr>
              <w:ind w:left="40"/>
              <w:spacing w:after="0"/>
              <w:rPr>
                <w:sz w:val="20"/>
                <w:szCs w:val="20"/>
                <w:color w:val="auto"/>
              </w:rPr>
            </w:pPr>
            <w:r>
              <w:rPr>
                <w:rFonts w:ascii="Arial" w:cs="Arial" w:eastAsia="Arial" w:hAnsi="Arial"/>
                <w:sz w:val="13"/>
                <w:szCs w:val="13"/>
                <w:color w:val="auto"/>
              </w:rPr>
              <w:t>NY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5,891,000</w:t>
            </w:r>
          </w:p>
        </w:tc>
        <w:tc>
          <w:tcPr>
            <w:tcW w:w="840" w:type="dxa"/>
            <w:vAlign w:val="bottom"/>
          </w:tcPr>
          <w:p>
            <w:pPr>
              <w:jc w:val="right"/>
              <w:spacing w:after="0"/>
              <w:rPr>
                <w:sz w:val="20"/>
                <w:szCs w:val="20"/>
                <w:color w:val="auto"/>
              </w:rPr>
            </w:pPr>
            <w:r>
              <w:rPr>
                <w:rFonts w:ascii="Arial" w:cs="Arial" w:eastAsia="Arial" w:hAnsi="Arial"/>
                <w:sz w:val="13"/>
                <w:szCs w:val="13"/>
                <w:color w:val="auto"/>
              </w:rPr>
              <w:t>6,051,000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12,093,985</w:t>
            </w:r>
          </w:p>
        </w:tc>
        <w:tc>
          <w:tcPr>
            <w:tcW w:w="760" w:type="dxa"/>
            <w:vAlign w:val="bottom"/>
          </w:tcPr>
          <w:p>
            <w:pPr>
              <w:jc w:val="right"/>
              <w:spacing w:after="0"/>
              <w:rPr>
                <w:sz w:val="20"/>
                <w:szCs w:val="20"/>
                <w:color w:val="auto"/>
              </w:rPr>
            </w:pPr>
            <w:r>
              <w:rPr>
                <w:rFonts w:ascii="Arial" w:cs="Arial" w:eastAsia="Arial" w:hAnsi="Arial"/>
                <w:sz w:val="13"/>
                <w:szCs w:val="13"/>
                <w:color w:val="auto"/>
              </w:rPr>
              <w:t>6,196,618</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17,839,368</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24,035,985</w:t>
            </w:r>
          </w:p>
        </w:tc>
        <w:tc>
          <w:tcPr>
            <w:tcW w:w="1260" w:type="dxa"/>
            <w:vAlign w:val="bottom"/>
          </w:tcPr>
          <w:p>
            <w:pPr>
              <w:jc w:val="right"/>
              <w:spacing w:after="0"/>
              <w:rPr>
                <w:sz w:val="20"/>
                <w:szCs w:val="20"/>
                <w:color w:val="auto"/>
              </w:rPr>
            </w:pPr>
            <w:r>
              <w:rPr>
                <w:rFonts w:ascii="Arial" w:cs="Arial" w:eastAsia="Arial" w:hAnsi="Arial"/>
                <w:sz w:val="13"/>
                <w:szCs w:val="13"/>
                <w:color w:val="auto"/>
              </w:rPr>
              <w:t>3,835,740</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1937 - 1987</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12/16/97</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NORTHEAST</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(Pennsylvania)</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1,152,000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10,596,000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10,362,894</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1,152,825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20,958,069</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22,110,894</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13,034,036</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1959</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08/30/83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NORTH LAKE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tcPr>
          <w:p>
            <w:pPr>
              <w:ind w:left="220"/>
              <w:spacing w:after="0" w:line="146" w:lineRule="exact"/>
              <w:rPr>
                <w:sz w:val="20"/>
                <w:szCs w:val="20"/>
                <w:color w:val="auto"/>
              </w:rPr>
            </w:pPr>
            <w:r>
              <w:rPr>
                <w:rFonts w:ascii="Arial" w:cs="Arial" w:eastAsia="Arial" w:hAnsi="Arial"/>
                <w:sz w:val="13"/>
                <w:szCs w:val="13"/>
                <w:color w:val="auto"/>
              </w:rPr>
              <w:t>COMMONS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(Illinois)</w:t>
            </w:r>
          </w:p>
        </w:tc>
        <w:tc>
          <w:tcPr>
            <w:tcW w:w="300" w:type="dxa"/>
            <w:vAlign w:val="bottom"/>
          </w:tcPr>
          <w:p>
            <w:pPr>
              <w:ind w:left="40"/>
              <w:spacing w:after="0"/>
              <w:rPr>
                <w:sz w:val="20"/>
                <w:szCs w:val="20"/>
                <w:color w:val="auto"/>
              </w:rPr>
            </w:pPr>
            <w:r>
              <w:rPr>
                <w:rFonts w:ascii="Arial" w:cs="Arial" w:eastAsia="Arial" w:hAnsi="Arial"/>
                <w:sz w:val="13"/>
                <w:szCs w:val="13"/>
                <w:color w:val="auto"/>
              </w:rPr>
              <w:t>IL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2,782,000</w:t>
            </w:r>
          </w:p>
        </w:tc>
        <w:tc>
          <w:tcPr>
            <w:tcW w:w="840" w:type="dxa"/>
            <w:vAlign w:val="bottom"/>
          </w:tcPr>
          <w:p>
            <w:pPr>
              <w:jc w:val="right"/>
              <w:spacing w:after="0"/>
              <w:rPr>
                <w:sz w:val="20"/>
                <w:szCs w:val="20"/>
                <w:color w:val="auto"/>
              </w:rPr>
            </w:pPr>
            <w:r>
              <w:rPr>
                <w:rFonts w:ascii="Arial" w:cs="Arial" w:eastAsia="Arial" w:hAnsi="Arial"/>
                <w:sz w:val="13"/>
                <w:szCs w:val="13"/>
                <w:color w:val="auto"/>
              </w:rPr>
              <w:t>8,604,000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1,692,024</w:t>
            </w:r>
          </w:p>
        </w:tc>
        <w:tc>
          <w:tcPr>
            <w:tcW w:w="760" w:type="dxa"/>
            <w:vAlign w:val="bottom"/>
          </w:tcPr>
          <w:p>
            <w:pPr>
              <w:jc w:val="right"/>
              <w:spacing w:after="0"/>
              <w:rPr>
                <w:sz w:val="20"/>
                <w:szCs w:val="20"/>
                <w:color w:val="auto"/>
              </w:rPr>
            </w:pPr>
            <w:r>
              <w:rPr>
                <w:rFonts w:ascii="Arial" w:cs="Arial" w:eastAsia="Arial" w:hAnsi="Arial"/>
                <w:sz w:val="13"/>
                <w:szCs w:val="13"/>
                <w:color w:val="auto"/>
              </w:rPr>
              <w:t>2,628,447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10,449,577</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13,078,024</w:t>
            </w:r>
          </w:p>
        </w:tc>
        <w:tc>
          <w:tcPr>
            <w:tcW w:w="1260" w:type="dxa"/>
            <w:vAlign w:val="bottom"/>
          </w:tcPr>
          <w:p>
            <w:pPr>
              <w:jc w:val="right"/>
              <w:spacing w:after="0"/>
              <w:rPr>
                <w:sz w:val="20"/>
                <w:szCs w:val="20"/>
                <w:color w:val="auto"/>
              </w:rPr>
            </w:pPr>
            <w:r>
              <w:rPr>
                <w:rFonts w:ascii="Arial" w:cs="Arial" w:eastAsia="Arial" w:hAnsi="Arial"/>
                <w:sz w:val="13"/>
                <w:szCs w:val="13"/>
                <w:color w:val="auto"/>
              </w:rPr>
              <w:t>3,563,855</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1989</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04/27/94</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OLD KEENE MILL</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 xml:space="preserve">33 </w:t>
            </w:r>
            <w:r>
              <w:rPr>
                <w:rFonts w:ascii="Arial" w:cs="Arial" w:eastAsia="Arial" w:hAnsi="Arial"/>
                <w:sz w:val="22"/>
                <w:szCs w:val="22"/>
                <w:color w:val="auto"/>
                <w:w w:val="88"/>
                <w:vertAlign w:val="superscript"/>
              </w:rPr>
              <w:t>1</w:t>
            </w:r>
            <w:r>
              <w:rPr>
                <w:rFonts w:ascii="Arial" w:cs="Arial" w:eastAsia="Arial" w:hAnsi="Arial"/>
                <w:sz w:val="13"/>
                <w:szCs w:val="13"/>
                <w:color w:val="auto"/>
                <w:w w:val="88"/>
              </w:rPr>
              <w:t>/3 years</w:t>
            </w: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638,000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3,641,090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638,234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4,638,855</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5,277,090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3,981,782</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06/15/76</w:t>
            </w:r>
          </w:p>
        </w:tc>
        <w:tc>
          <w:tcPr>
            <w:tcW w:w="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OLD TOWN</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tcPr>
          <w:p>
            <w:pPr>
              <w:ind w:left="220"/>
              <w:spacing w:after="0" w:line="146" w:lineRule="exact"/>
              <w:rPr>
                <w:sz w:val="20"/>
                <w:szCs w:val="20"/>
                <w:color w:val="auto"/>
              </w:rPr>
            </w:pPr>
            <w:r>
              <w:rPr>
                <w:rFonts w:ascii="Arial" w:cs="Arial" w:eastAsia="Arial" w:hAnsi="Arial"/>
                <w:sz w:val="13"/>
                <w:szCs w:val="13"/>
                <w:color w:val="auto"/>
              </w:rPr>
              <w:t>CENTER</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(California)</w:t>
            </w:r>
          </w:p>
        </w:tc>
        <w:tc>
          <w:tcPr>
            <w:tcW w:w="300" w:type="dxa"/>
            <w:vAlign w:val="bottom"/>
          </w:tcPr>
          <w:p>
            <w:pPr>
              <w:ind w:left="40"/>
              <w:spacing w:after="0"/>
              <w:rPr>
                <w:sz w:val="20"/>
                <w:szCs w:val="20"/>
                <w:color w:val="auto"/>
              </w:rPr>
            </w:pPr>
            <w:r>
              <w:rPr>
                <w:rFonts w:ascii="Arial" w:cs="Arial" w:eastAsia="Arial" w:hAnsi="Arial"/>
                <w:sz w:val="13"/>
                <w:szCs w:val="13"/>
                <w:color w:val="auto"/>
              </w:rPr>
              <w:t>CA</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3,420,000</w:t>
            </w:r>
          </w:p>
        </w:tc>
        <w:tc>
          <w:tcPr>
            <w:tcW w:w="840" w:type="dxa"/>
            <w:vAlign w:val="bottom"/>
          </w:tcPr>
          <w:p>
            <w:pPr>
              <w:jc w:val="right"/>
              <w:spacing w:after="0"/>
              <w:rPr>
                <w:sz w:val="20"/>
                <w:szCs w:val="20"/>
                <w:color w:val="auto"/>
              </w:rPr>
            </w:pPr>
            <w:r>
              <w:rPr>
                <w:rFonts w:ascii="Arial" w:cs="Arial" w:eastAsia="Arial" w:hAnsi="Arial"/>
                <w:sz w:val="13"/>
                <w:szCs w:val="13"/>
                <w:color w:val="auto"/>
              </w:rPr>
              <w:t>2,765,000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27,186,462</w:t>
            </w:r>
          </w:p>
        </w:tc>
        <w:tc>
          <w:tcPr>
            <w:tcW w:w="760" w:type="dxa"/>
            <w:vAlign w:val="bottom"/>
          </w:tcPr>
          <w:p>
            <w:pPr>
              <w:jc w:val="right"/>
              <w:spacing w:after="0"/>
              <w:rPr>
                <w:sz w:val="20"/>
                <w:szCs w:val="20"/>
                <w:color w:val="auto"/>
              </w:rPr>
            </w:pPr>
            <w:r>
              <w:rPr>
                <w:rFonts w:ascii="Arial" w:cs="Arial" w:eastAsia="Arial" w:hAnsi="Arial"/>
                <w:sz w:val="13"/>
                <w:szCs w:val="13"/>
                <w:color w:val="auto"/>
              </w:rPr>
              <w:t>3,420,000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29,951,462</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33,371,462</w:t>
            </w:r>
          </w:p>
        </w:tc>
        <w:tc>
          <w:tcPr>
            <w:tcW w:w="1260" w:type="dxa"/>
            <w:vAlign w:val="bottom"/>
          </w:tcPr>
          <w:p>
            <w:pPr>
              <w:jc w:val="right"/>
              <w:spacing w:after="0"/>
              <w:rPr>
                <w:sz w:val="20"/>
                <w:szCs w:val="20"/>
                <w:color w:val="auto"/>
              </w:rPr>
            </w:pPr>
            <w:r>
              <w:rPr>
                <w:rFonts w:ascii="Arial" w:cs="Arial" w:eastAsia="Arial" w:hAnsi="Arial"/>
                <w:sz w:val="13"/>
                <w:szCs w:val="13"/>
                <w:color w:val="auto"/>
              </w:rPr>
              <w:t>8,250,026</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1997-1998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10/22/97</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8"/>
              </w:rPr>
              <w:t>PAN AM SHOPPING</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8,694,000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12,929,000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5,564,139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8,694,500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18,492,639</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27,187,139</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7,498,842</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1979</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02/05/93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PENTAGON ROW</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00" w:type="dxa"/>
            <w:vAlign w:val="bottom"/>
          </w:tcPr>
          <w:p>
            <w:pPr>
              <w:ind w:left="40"/>
              <w:spacing w:after="0"/>
              <w:rPr>
                <w:sz w:val="20"/>
                <w:szCs w:val="20"/>
                <w:color w:val="auto"/>
              </w:rPr>
            </w:pPr>
            <w:r>
              <w:rPr>
                <w:rFonts w:ascii="Arial" w:cs="Arial" w:eastAsia="Arial" w:hAnsi="Arial"/>
                <w:sz w:val="13"/>
                <w:szCs w:val="13"/>
                <w:color w:val="auto"/>
              </w:rPr>
              <w:t>VA</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2,955,000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84,426,525</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87,381,525</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87,381,525</w:t>
            </w:r>
          </w:p>
        </w:tc>
        <w:tc>
          <w:tcPr>
            <w:tcW w:w="1260" w:type="dxa"/>
            <w:vAlign w:val="bottom"/>
          </w:tcPr>
          <w:p>
            <w:pPr>
              <w:jc w:val="right"/>
              <w:spacing w:after="0"/>
              <w:rPr>
                <w:sz w:val="20"/>
                <w:szCs w:val="20"/>
                <w:color w:val="auto"/>
              </w:rPr>
            </w:pPr>
            <w:r>
              <w:rPr>
                <w:rFonts w:ascii="Arial" w:cs="Arial" w:eastAsia="Arial" w:hAnsi="Arial"/>
                <w:sz w:val="13"/>
                <w:szCs w:val="13"/>
                <w:color w:val="auto"/>
              </w:rPr>
              <w:t>13,154,746</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1999 - 2002</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89"/>
              </w:rPr>
              <w:t>1998</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PERRING PLAZA</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2,800,000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6,461,000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17,013,730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23,474,730</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26,274,730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13,144,331</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1963</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10/01/85</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220" w:type="dxa"/>
            <w:vAlign w:val="bottom"/>
          </w:tcPr>
          <w:p>
            <w:pPr>
              <w:spacing w:after="0" w:line="146" w:lineRule="exact"/>
              <w:rPr>
                <w:sz w:val="20"/>
                <w:szCs w:val="20"/>
                <w:color w:val="auto"/>
              </w:rPr>
            </w:pPr>
            <w:r>
              <w:rPr>
                <w:rFonts w:ascii="Arial" w:cs="Arial" w:eastAsia="Arial" w:hAnsi="Arial"/>
                <w:sz w:val="13"/>
                <w:szCs w:val="13"/>
                <w:color w:val="auto"/>
              </w:rPr>
              <w:t>PIKE 7 (Virginia)</w:t>
            </w:r>
          </w:p>
        </w:tc>
        <w:tc>
          <w:tcPr>
            <w:tcW w:w="300" w:type="dxa"/>
            <w:vAlign w:val="bottom"/>
          </w:tcPr>
          <w:p>
            <w:pPr>
              <w:ind w:left="40"/>
              <w:spacing w:after="0" w:line="146" w:lineRule="exact"/>
              <w:rPr>
                <w:sz w:val="20"/>
                <w:szCs w:val="20"/>
                <w:color w:val="auto"/>
              </w:rPr>
            </w:pPr>
            <w:r>
              <w:rPr>
                <w:rFonts w:ascii="Arial" w:cs="Arial" w:eastAsia="Arial" w:hAnsi="Arial"/>
                <w:sz w:val="13"/>
                <w:szCs w:val="13"/>
                <w:color w:val="auto"/>
              </w:rPr>
              <w:t>VA</w:t>
            </w:r>
          </w:p>
        </w:tc>
        <w:tc>
          <w:tcPr>
            <w:tcW w:w="8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9,709,000</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22,799,000</w:t>
            </w:r>
          </w:p>
        </w:tc>
        <w:tc>
          <w:tcPr>
            <w:tcW w:w="40" w:type="dxa"/>
            <w:vAlign w:val="bottom"/>
          </w:tcPr>
          <w:p>
            <w:pPr>
              <w:spacing w:after="0"/>
              <w:rPr>
                <w:sz w:val="12"/>
                <w:szCs w:val="12"/>
                <w:color w:val="auto"/>
              </w:rPr>
            </w:pPr>
          </w:p>
        </w:tc>
        <w:tc>
          <w:tcPr>
            <w:tcW w:w="8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1,181,202</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9,708,997</w:t>
            </w:r>
          </w:p>
        </w:tc>
        <w:tc>
          <w:tcPr>
            <w:tcW w:w="12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23,980,205</w:t>
            </w: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33,689,202</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6,632,746</w:t>
            </w:r>
          </w:p>
        </w:tc>
        <w:tc>
          <w:tcPr>
            <w:tcW w:w="4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9"/>
              </w:rPr>
              <w:t>1968</w:t>
            </w:r>
          </w:p>
        </w:tc>
        <w:tc>
          <w:tcPr>
            <w:tcW w:w="78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4"/>
              </w:rPr>
              <w:t>03/31/97</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QUEEN ANNE</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PLAZA</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(Massachusetts)</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3,319,000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8,457,000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3,207,450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3,319,148</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11,664,450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14,983,598</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4,955,324</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1967</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12/23/94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QUINCE ORCHARD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tcPr>
          <w:p>
            <w:pPr>
              <w:ind w:left="220"/>
              <w:spacing w:after="0" w:line="146" w:lineRule="exact"/>
              <w:rPr>
                <w:sz w:val="20"/>
                <w:szCs w:val="20"/>
                <w:color w:val="auto"/>
              </w:rPr>
            </w:pPr>
            <w:r>
              <w:rPr>
                <w:rFonts w:ascii="Arial" w:cs="Arial" w:eastAsia="Arial" w:hAnsi="Arial"/>
                <w:sz w:val="13"/>
                <w:szCs w:val="13"/>
                <w:color w:val="auto"/>
              </w:rPr>
              <w:t>PLAZA</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(Maryland)</w:t>
            </w:r>
          </w:p>
        </w:tc>
        <w:tc>
          <w:tcPr>
            <w:tcW w:w="300" w:type="dxa"/>
            <w:vAlign w:val="bottom"/>
          </w:tcPr>
          <w:p>
            <w:pPr>
              <w:ind w:left="40"/>
              <w:spacing w:after="0"/>
              <w:rPr>
                <w:sz w:val="20"/>
                <w:szCs w:val="20"/>
                <w:color w:val="auto"/>
              </w:rPr>
            </w:pPr>
            <w:r>
              <w:rPr>
                <w:rFonts w:ascii="Arial" w:cs="Arial" w:eastAsia="Arial" w:hAnsi="Arial"/>
                <w:sz w:val="13"/>
                <w:szCs w:val="13"/>
                <w:color w:val="auto"/>
              </w:rPr>
              <w:t>MD</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3,197,000</w:t>
            </w:r>
          </w:p>
        </w:tc>
        <w:tc>
          <w:tcPr>
            <w:tcW w:w="840" w:type="dxa"/>
            <w:vAlign w:val="bottom"/>
          </w:tcPr>
          <w:p>
            <w:pPr>
              <w:jc w:val="right"/>
              <w:spacing w:after="0"/>
              <w:rPr>
                <w:sz w:val="20"/>
                <w:szCs w:val="20"/>
                <w:color w:val="auto"/>
              </w:rPr>
            </w:pPr>
            <w:r>
              <w:rPr>
                <w:rFonts w:ascii="Arial" w:cs="Arial" w:eastAsia="Arial" w:hAnsi="Arial"/>
                <w:sz w:val="13"/>
                <w:szCs w:val="13"/>
                <w:color w:val="auto"/>
              </w:rPr>
              <w:t>7,949,000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8,729,652</w:t>
            </w:r>
          </w:p>
        </w:tc>
        <w:tc>
          <w:tcPr>
            <w:tcW w:w="760" w:type="dxa"/>
            <w:vAlign w:val="bottom"/>
          </w:tcPr>
          <w:p>
            <w:pPr>
              <w:jc w:val="right"/>
              <w:spacing w:after="0"/>
              <w:rPr>
                <w:sz w:val="20"/>
                <w:szCs w:val="20"/>
                <w:color w:val="auto"/>
              </w:rPr>
            </w:pPr>
            <w:r>
              <w:rPr>
                <w:rFonts w:ascii="Arial" w:cs="Arial" w:eastAsia="Arial" w:hAnsi="Arial"/>
                <w:sz w:val="13"/>
                <w:szCs w:val="13"/>
                <w:color w:val="auto"/>
              </w:rPr>
              <w:t>2,928,242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16,947,410</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19,875,652</w:t>
            </w:r>
          </w:p>
        </w:tc>
        <w:tc>
          <w:tcPr>
            <w:tcW w:w="1260" w:type="dxa"/>
            <w:vAlign w:val="bottom"/>
          </w:tcPr>
          <w:p>
            <w:pPr>
              <w:jc w:val="right"/>
              <w:spacing w:after="0"/>
              <w:rPr>
                <w:sz w:val="20"/>
                <w:szCs w:val="20"/>
                <w:color w:val="auto"/>
              </w:rPr>
            </w:pPr>
            <w:r>
              <w:rPr>
                <w:rFonts w:ascii="Arial" w:cs="Arial" w:eastAsia="Arial" w:hAnsi="Arial"/>
                <w:sz w:val="13"/>
                <w:szCs w:val="13"/>
                <w:color w:val="auto"/>
              </w:rPr>
              <w:t>8,232,997</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1975</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04/22/93</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ROCKVILLE TOWN</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SQUARE</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(Maryland)</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10,742,141</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10,742,141</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2005 - 2007</w:t>
            </w: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ROLLINGWOOD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20" w:type="dxa"/>
            <w:vAlign w:val="bottom"/>
            <w:gridSpan w:val="2"/>
          </w:tcPr>
          <w:p>
            <w:pPr>
              <w:ind w:left="220"/>
              <w:spacing w:after="0"/>
              <w:rPr>
                <w:sz w:val="20"/>
                <w:szCs w:val="20"/>
                <w:color w:val="auto"/>
              </w:rPr>
            </w:pPr>
            <w:r>
              <w:rPr>
                <w:rFonts w:ascii="Arial" w:cs="Arial" w:eastAsia="Arial" w:hAnsi="Arial"/>
                <w:sz w:val="13"/>
                <w:szCs w:val="13"/>
                <w:color w:val="auto"/>
              </w:rPr>
              <w:t>APTS. (Maryland) MD</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552,000</w:t>
            </w:r>
          </w:p>
        </w:tc>
        <w:tc>
          <w:tcPr>
            <w:tcW w:w="840" w:type="dxa"/>
            <w:vAlign w:val="bottom"/>
          </w:tcPr>
          <w:p>
            <w:pPr>
              <w:jc w:val="right"/>
              <w:spacing w:after="0"/>
              <w:rPr>
                <w:sz w:val="20"/>
                <w:szCs w:val="20"/>
                <w:color w:val="auto"/>
              </w:rPr>
            </w:pPr>
            <w:r>
              <w:rPr>
                <w:rFonts w:ascii="Arial" w:cs="Arial" w:eastAsia="Arial" w:hAnsi="Arial"/>
                <w:sz w:val="13"/>
                <w:szCs w:val="13"/>
                <w:color w:val="auto"/>
              </w:rPr>
              <w:t>2,246,000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4,008,652</w:t>
            </w:r>
          </w:p>
        </w:tc>
        <w:tc>
          <w:tcPr>
            <w:tcW w:w="760" w:type="dxa"/>
            <w:vAlign w:val="bottom"/>
          </w:tcPr>
          <w:p>
            <w:pPr>
              <w:jc w:val="right"/>
              <w:spacing w:after="0"/>
              <w:rPr>
                <w:sz w:val="20"/>
                <w:szCs w:val="20"/>
                <w:color w:val="auto"/>
              </w:rPr>
            </w:pPr>
            <w:r>
              <w:rPr>
                <w:rFonts w:ascii="Arial" w:cs="Arial" w:eastAsia="Arial" w:hAnsi="Arial"/>
                <w:sz w:val="13"/>
                <w:szCs w:val="13"/>
                <w:color w:val="auto"/>
              </w:rPr>
              <w:t>572,160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6,234,492</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6,806,652</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6,118,395</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1960</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01/15/71</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25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RUTGERS (New</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NJ</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11,267,890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14,429,000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554,202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14,983,202</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14,983,202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8,117,819</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1973</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12/12/88</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SAM’S PARK &amp;</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tcPr>
          <w:p>
            <w:pPr>
              <w:ind w:left="220"/>
              <w:spacing w:after="0" w:line="146" w:lineRule="exact"/>
              <w:rPr>
                <w:sz w:val="20"/>
                <w:szCs w:val="20"/>
                <w:color w:val="auto"/>
              </w:rPr>
            </w:pPr>
            <w:r>
              <w:rPr>
                <w:rFonts w:ascii="Arial" w:cs="Arial" w:eastAsia="Arial" w:hAnsi="Arial"/>
                <w:sz w:val="13"/>
                <w:szCs w:val="13"/>
                <w:color w:val="auto"/>
              </w:rPr>
              <w:t>SHOP</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tcPr>
          <w:p>
            <w:pPr>
              <w:ind w:left="220"/>
              <w:spacing w:after="0" w:line="146" w:lineRule="exact"/>
              <w:rPr>
                <w:sz w:val="20"/>
                <w:szCs w:val="20"/>
                <w:color w:val="auto"/>
              </w:rPr>
            </w:pPr>
            <w:r>
              <w:rPr>
                <w:rFonts w:ascii="Arial" w:cs="Arial" w:eastAsia="Arial" w:hAnsi="Arial"/>
                <w:sz w:val="13"/>
                <w:szCs w:val="13"/>
                <w:color w:val="auto"/>
              </w:rPr>
              <w:t>(District of</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Columbia)</w:t>
            </w:r>
          </w:p>
        </w:tc>
        <w:tc>
          <w:tcPr>
            <w:tcW w:w="300" w:type="dxa"/>
            <w:vAlign w:val="bottom"/>
          </w:tcPr>
          <w:p>
            <w:pPr>
              <w:ind w:left="40"/>
              <w:spacing w:after="0"/>
              <w:rPr>
                <w:sz w:val="20"/>
                <w:szCs w:val="20"/>
                <w:color w:val="auto"/>
              </w:rPr>
            </w:pPr>
            <w:r>
              <w:rPr>
                <w:rFonts w:ascii="Arial" w:cs="Arial" w:eastAsia="Arial" w:hAnsi="Arial"/>
                <w:sz w:val="13"/>
                <w:szCs w:val="13"/>
                <w:color w:val="auto"/>
              </w:rPr>
              <w:t>DC</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4,840,000</w:t>
            </w:r>
          </w:p>
        </w:tc>
        <w:tc>
          <w:tcPr>
            <w:tcW w:w="840" w:type="dxa"/>
            <w:vAlign w:val="bottom"/>
          </w:tcPr>
          <w:p>
            <w:pPr>
              <w:jc w:val="right"/>
              <w:spacing w:after="0"/>
              <w:rPr>
                <w:sz w:val="20"/>
                <w:szCs w:val="20"/>
                <w:color w:val="auto"/>
              </w:rPr>
            </w:pPr>
            <w:r>
              <w:rPr>
                <w:rFonts w:ascii="Arial" w:cs="Arial" w:eastAsia="Arial" w:hAnsi="Arial"/>
                <w:sz w:val="13"/>
                <w:szCs w:val="13"/>
                <w:color w:val="auto"/>
              </w:rPr>
              <w:t>6,319,000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1,011,314</w:t>
            </w:r>
          </w:p>
        </w:tc>
        <w:tc>
          <w:tcPr>
            <w:tcW w:w="760" w:type="dxa"/>
            <w:vAlign w:val="bottom"/>
          </w:tcPr>
          <w:p>
            <w:pPr>
              <w:jc w:val="right"/>
              <w:spacing w:after="0"/>
              <w:rPr>
                <w:sz w:val="20"/>
                <w:szCs w:val="20"/>
                <w:color w:val="auto"/>
              </w:rPr>
            </w:pPr>
            <w:r>
              <w:rPr>
                <w:rFonts w:ascii="Arial" w:cs="Arial" w:eastAsia="Arial" w:hAnsi="Arial"/>
                <w:sz w:val="13"/>
                <w:szCs w:val="13"/>
                <w:color w:val="auto"/>
              </w:rPr>
              <w:t>4,840,000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7,330,314</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12,170,314</w:t>
            </w:r>
          </w:p>
        </w:tc>
        <w:tc>
          <w:tcPr>
            <w:tcW w:w="1260" w:type="dxa"/>
            <w:vAlign w:val="bottom"/>
          </w:tcPr>
          <w:p>
            <w:pPr>
              <w:jc w:val="right"/>
              <w:spacing w:after="0"/>
              <w:rPr>
                <w:sz w:val="20"/>
                <w:szCs w:val="20"/>
                <w:color w:val="auto"/>
              </w:rPr>
            </w:pPr>
            <w:r>
              <w:rPr>
                <w:rFonts w:ascii="Arial" w:cs="Arial" w:eastAsia="Arial" w:hAnsi="Arial"/>
                <w:sz w:val="13"/>
                <w:szCs w:val="13"/>
                <w:color w:val="auto"/>
              </w:rPr>
              <w:t>2,365,504</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1930</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12/01/95</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SAUGUS</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(Massachusetts)</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4,383,000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8,291,000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858,810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4,383,000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9,149,810</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13,532,810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2,561,985</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1976</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10/01/96</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SHIRLINGTON</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00" w:type="dxa"/>
            <w:vAlign w:val="bottom"/>
          </w:tcPr>
          <w:p>
            <w:pPr>
              <w:ind w:left="40"/>
              <w:spacing w:after="0"/>
              <w:rPr>
                <w:sz w:val="20"/>
                <w:szCs w:val="20"/>
                <w:color w:val="auto"/>
              </w:rPr>
            </w:pPr>
            <w:r>
              <w:rPr>
                <w:rFonts w:ascii="Arial" w:cs="Arial" w:eastAsia="Arial" w:hAnsi="Arial"/>
                <w:sz w:val="13"/>
                <w:szCs w:val="13"/>
                <w:color w:val="auto"/>
              </w:rPr>
              <w:t>VA</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9,761,000</w:t>
            </w:r>
          </w:p>
        </w:tc>
        <w:tc>
          <w:tcPr>
            <w:tcW w:w="840" w:type="dxa"/>
            <w:vAlign w:val="bottom"/>
          </w:tcPr>
          <w:p>
            <w:pPr>
              <w:jc w:val="right"/>
              <w:spacing w:after="0"/>
              <w:rPr>
                <w:sz w:val="20"/>
                <w:szCs w:val="20"/>
                <w:color w:val="auto"/>
              </w:rPr>
            </w:pPr>
            <w:r>
              <w:rPr>
                <w:rFonts w:ascii="Arial" w:cs="Arial" w:eastAsia="Arial" w:hAnsi="Arial"/>
                <w:sz w:val="13"/>
                <w:szCs w:val="13"/>
                <w:color w:val="auto"/>
              </w:rPr>
              <w:t>14,808,000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9,267,550</w:t>
            </w:r>
          </w:p>
        </w:tc>
        <w:tc>
          <w:tcPr>
            <w:tcW w:w="760" w:type="dxa"/>
            <w:vAlign w:val="bottom"/>
          </w:tcPr>
          <w:p>
            <w:pPr>
              <w:jc w:val="right"/>
              <w:spacing w:after="0"/>
              <w:rPr>
                <w:sz w:val="20"/>
                <w:szCs w:val="20"/>
                <w:color w:val="auto"/>
              </w:rPr>
            </w:pPr>
            <w:r>
              <w:rPr>
                <w:rFonts w:ascii="Arial" w:cs="Arial" w:eastAsia="Arial" w:hAnsi="Arial"/>
                <w:sz w:val="13"/>
                <w:szCs w:val="13"/>
                <w:color w:val="auto"/>
              </w:rPr>
              <w:t>5,797,978</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28,038,571</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33,836,550</w:t>
            </w:r>
          </w:p>
        </w:tc>
        <w:tc>
          <w:tcPr>
            <w:tcW w:w="1260" w:type="dxa"/>
            <w:vAlign w:val="bottom"/>
          </w:tcPr>
          <w:p>
            <w:pPr>
              <w:jc w:val="right"/>
              <w:spacing w:after="0"/>
              <w:rPr>
                <w:sz w:val="20"/>
                <w:szCs w:val="20"/>
                <w:color w:val="auto"/>
              </w:rPr>
            </w:pPr>
            <w:r>
              <w:rPr>
                <w:rFonts w:ascii="Arial" w:cs="Arial" w:eastAsia="Arial" w:hAnsi="Arial"/>
                <w:sz w:val="13"/>
                <w:szCs w:val="13"/>
                <w:color w:val="auto"/>
              </w:rPr>
              <w:t>6,950,648</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1940</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12/21/95</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SOUTH VALLEY</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SHOPPING</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20"/>
              <w:spacing w:after="0" w:line="146" w:lineRule="exact"/>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(Virginia)</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9,043,035</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5,082,062</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7,405,360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9,043,035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12,487,422</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21,530,457</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465,309</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2003</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3/21/03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SANTANA ROW</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(California)-PIS</w:t>
            </w:r>
          </w:p>
        </w:tc>
        <w:tc>
          <w:tcPr>
            <w:tcW w:w="300" w:type="dxa"/>
            <w:vAlign w:val="bottom"/>
          </w:tcPr>
          <w:p>
            <w:pPr>
              <w:ind w:left="40"/>
              <w:spacing w:after="0"/>
              <w:rPr>
                <w:sz w:val="20"/>
                <w:szCs w:val="20"/>
                <w:color w:val="auto"/>
              </w:rPr>
            </w:pPr>
            <w:r>
              <w:rPr>
                <w:rFonts w:ascii="Arial" w:cs="Arial" w:eastAsia="Arial" w:hAnsi="Arial"/>
                <w:sz w:val="13"/>
                <w:szCs w:val="13"/>
                <w:color w:val="auto"/>
              </w:rPr>
              <w:t>CA</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41,969,000</w:t>
            </w:r>
          </w:p>
        </w:tc>
        <w:tc>
          <w:tcPr>
            <w:tcW w:w="840" w:type="dxa"/>
            <w:vAlign w:val="bottom"/>
          </w:tcPr>
          <w:p>
            <w:pPr>
              <w:jc w:val="right"/>
              <w:spacing w:after="0"/>
              <w:rPr>
                <w:sz w:val="20"/>
                <w:szCs w:val="20"/>
                <w:color w:val="auto"/>
              </w:rPr>
            </w:pPr>
            <w:r>
              <w:rPr>
                <w:rFonts w:ascii="Arial" w:cs="Arial" w:eastAsia="Arial" w:hAnsi="Arial"/>
                <w:sz w:val="13"/>
                <w:szCs w:val="13"/>
                <w:color w:val="auto"/>
              </w:rPr>
              <w:t>1,161,000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436,618,616</w:t>
            </w:r>
          </w:p>
        </w:tc>
        <w:tc>
          <w:tcPr>
            <w:tcW w:w="760" w:type="dxa"/>
            <w:vAlign w:val="bottom"/>
          </w:tcPr>
          <w:p>
            <w:pPr>
              <w:jc w:val="right"/>
              <w:spacing w:after="0"/>
              <w:rPr>
                <w:sz w:val="20"/>
                <w:szCs w:val="20"/>
                <w:color w:val="auto"/>
              </w:rPr>
            </w:pPr>
            <w:r>
              <w:rPr>
                <w:rFonts w:ascii="Arial" w:cs="Arial" w:eastAsia="Arial" w:hAnsi="Arial"/>
                <w:sz w:val="13"/>
                <w:szCs w:val="13"/>
                <w:color w:val="auto"/>
              </w:rPr>
              <w:t>48,565,937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431,182,679</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479,748,616</w:t>
            </w:r>
          </w:p>
        </w:tc>
        <w:tc>
          <w:tcPr>
            <w:tcW w:w="1260" w:type="dxa"/>
            <w:vAlign w:val="bottom"/>
          </w:tcPr>
          <w:p>
            <w:pPr>
              <w:jc w:val="right"/>
              <w:spacing w:after="0"/>
              <w:rPr>
                <w:sz w:val="20"/>
                <w:szCs w:val="20"/>
                <w:color w:val="auto"/>
              </w:rPr>
            </w:pPr>
            <w:r>
              <w:rPr>
                <w:rFonts w:ascii="Arial" w:cs="Arial" w:eastAsia="Arial" w:hAnsi="Arial"/>
                <w:sz w:val="13"/>
                <w:szCs w:val="13"/>
                <w:color w:val="auto"/>
              </w:rPr>
              <w:t>28,136,770</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1999 - 2002</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03/05/97</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40 - 50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TEXAS RETAIL</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BUILDINGS (9)</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TX</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145,028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14,680,000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46,299,117</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14,679,954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48,275,163</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62,955,117</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6,827,398</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var</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3"/>
              </w:rPr>
              <w:t>1998-1999</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220" w:type="dxa"/>
            <w:vAlign w:val="bottom"/>
          </w:tcPr>
          <w:p>
            <w:pPr>
              <w:spacing w:after="0" w:line="146" w:lineRule="exact"/>
              <w:rPr>
                <w:sz w:val="20"/>
                <w:szCs w:val="20"/>
                <w:color w:val="auto"/>
              </w:rPr>
            </w:pPr>
            <w:r>
              <w:rPr>
                <w:rFonts w:ascii="Arial" w:cs="Arial" w:eastAsia="Arial" w:hAnsi="Arial"/>
                <w:sz w:val="13"/>
                <w:szCs w:val="13"/>
                <w:color w:val="auto"/>
              </w:rPr>
              <w:t>TOWER (Virginia)</w:t>
            </w:r>
          </w:p>
        </w:tc>
        <w:tc>
          <w:tcPr>
            <w:tcW w:w="300" w:type="dxa"/>
            <w:vAlign w:val="bottom"/>
          </w:tcPr>
          <w:p>
            <w:pPr>
              <w:ind w:left="40"/>
              <w:spacing w:after="0" w:line="146" w:lineRule="exact"/>
              <w:rPr>
                <w:sz w:val="20"/>
                <w:szCs w:val="20"/>
                <w:color w:val="auto"/>
              </w:rPr>
            </w:pPr>
            <w:r>
              <w:rPr>
                <w:rFonts w:ascii="Arial" w:cs="Arial" w:eastAsia="Arial" w:hAnsi="Arial"/>
                <w:sz w:val="13"/>
                <w:szCs w:val="13"/>
                <w:color w:val="auto"/>
              </w:rPr>
              <w:t>VA</w:t>
            </w:r>
          </w:p>
        </w:tc>
        <w:tc>
          <w:tcPr>
            <w:tcW w:w="8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7,170,000</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10,518,000</w:t>
            </w:r>
          </w:p>
        </w:tc>
        <w:tc>
          <w:tcPr>
            <w:tcW w:w="40" w:type="dxa"/>
            <w:vAlign w:val="bottom"/>
          </w:tcPr>
          <w:p>
            <w:pPr>
              <w:spacing w:after="0"/>
              <w:rPr>
                <w:sz w:val="12"/>
                <w:szCs w:val="12"/>
                <w:color w:val="auto"/>
              </w:rPr>
            </w:pPr>
          </w:p>
        </w:tc>
        <w:tc>
          <w:tcPr>
            <w:tcW w:w="8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1,317,652</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7,128,653</w:t>
            </w:r>
          </w:p>
        </w:tc>
        <w:tc>
          <w:tcPr>
            <w:tcW w:w="1280" w:type="dxa"/>
            <w:vAlign w:val="bottom"/>
            <w:gridSpan w:val="3"/>
          </w:tcPr>
          <w:p>
            <w:pPr>
              <w:jc w:val="right"/>
              <w:ind w:right="40"/>
              <w:spacing w:after="0" w:line="146" w:lineRule="exact"/>
              <w:rPr>
                <w:sz w:val="20"/>
                <w:szCs w:val="20"/>
                <w:color w:val="auto"/>
              </w:rPr>
            </w:pPr>
            <w:r>
              <w:rPr>
                <w:rFonts w:ascii="Arial" w:cs="Arial" w:eastAsia="Arial" w:hAnsi="Arial"/>
                <w:sz w:val="13"/>
                <w:szCs w:val="13"/>
                <w:color w:val="auto"/>
              </w:rPr>
              <w:t>11,876,999</w:t>
            </w:r>
          </w:p>
        </w:tc>
        <w:tc>
          <w:tcPr>
            <w:tcW w:w="7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19,005,652</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2,832,736</w:t>
            </w:r>
          </w:p>
        </w:tc>
        <w:tc>
          <w:tcPr>
            <w:tcW w:w="4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3"/>
              </w:rPr>
              <w:t>1953-1960</w:t>
            </w:r>
          </w:p>
        </w:tc>
        <w:tc>
          <w:tcPr>
            <w:tcW w:w="780" w:type="dxa"/>
            <w:vAlign w:val="bottom"/>
            <w:gridSpan w:val="2"/>
          </w:tcPr>
          <w:p>
            <w:pPr>
              <w:jc w:val="center"/>
              <w:spacing w:after="0" w:line="146" w:lineRule="exact"/>
              <w:rPr>
                <w:sz w:val="20"/>
                <w:szCs w:val="20"/>
                <w:color w:val="auto"/>
              </w:rPr>
            </w:pPr>
            <w:r>
              <w:rPr>
                <w:rFonts w:ascii="Arial" w:cs="Arial" w:eastAsia="Arial" w:hAnsi="Arial"/>
                <w:sz w:val="13"/>
                <w:szCs w:val="13"/>
                <w:color w:val="auto"/>
                <w:w w:val="94"/>
              </w:rPr>
              <w:t>08/24/98</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TROY (New Jersey)</w:t>
            </w:r>
          </w:p>
        </w:tc>
        <w:tc>
          <w:tcPr>
            <w:tcW w:w="300" w:type="dxa"/>
            <w:vAlign w:val="bottom"/>
            <w:shd w:val="clear" w:color="auto" w:fill="CCEEFF"/>
          </w:tcPr>
          <w:p>
            <w:pPr>
              <w:ind w:left="40"/>
              <w:spacing w:after="0" w:line="146" w:lineRule="exact"/>
              <w:rPr>
                <w:sz w:val="20"/>
                <w:szCs w:val="20"/>
                <w:color w:val="auto"/>
              </w:rPr>
            </w:pPr>
            <w:r>
              <w:rPr>
                <w:rFonts w:ascii="Arial" w:cs="Arial" w:eastAsia="Arial" w:hAnsi="Arial"/>
                <w:sz w:val="13"/>
                <w:szCs w:val="13"/>
                <w:color w:val="auto"/>
              </w:rPr>
              <w:t>NJ</w:t>
            </w:r>
          </w:p>
        </w:tc>
        <w:tc>
          <w:tcPr>
            <w:tcW w:w="8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3,126,000</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5,193,000</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11,776,896</w:t>
            </w: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3,125,728</w:t>
            </w:r>
          </w:p>
        </w:tc>
        <w:tc>
          <w:tcPr>
            <w:tcW w:w="12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16,969,896</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20,095,625</w:t>
            </w:r>
          </w:p>
        </w:tc>
        <w:tc>
          <w:tcPr>
            <w:tcW w:w="1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12,703,715</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9"/>
              </w:rPr>
              <w:t>1966</w:t>
            </w:r>
          </w:p>
        </w:tc>
        <w:tc>
          <w:tcPr>
            <w:tcW w:w="780" w:type="dxa"/>
            <w:vAlign w:val="bottom"/>
            <w:gridSpan w:val="2"/>
            <w:shd w:val="clear" w:color="auto" w:fill="CCEEFF"/>
          </w:tcPr>
          <w:p>
            <w:pPr>
              <w:jc w:val="center"/>
              <w:spacing w:after="0" w:line="146" w:lineRule="exact"/>
              <w:rPr>
                <w:sz w:val="20"/>
                <w:szCs w:val="20"/>
                <w:color w:val="auto"/>
              </w:rPr>
            </w:pPr>
            <w:r>
              <w:rPr>
                <w:rFonts w:ascii="Arial" w:cs="Arial" w:eastAsia="Arial" w:hAnsi="Arial"/>
                <w:sz w:val="13"/>
                <w:szCs w:val="13"/>
                <w:color w:val="auto"/>
                <w:w w:val="94"/>
              </w:rPr>
              <w:t>07/23/80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88"/>
              </w:rPr>
              <w:t>22 years</w:t>
            </w:r>
          </w:p>
        </w:tc>
        <w:tc>
          <w:tcPr>
            <w:tcW w:w="0" w:type="dxa"/>
            <w:vAlign w:val="bottom"/>
          </w:tcPr>
          <w:p>
            <w:pPr>
              <w:spacing w:after="0"/>
              <w:rPr>
                <w:sz w:val="1"/>
                <w:szCs w:val="1"/>
                <w:color w:val="auto"/>
              </w:rPr>
            </w:pPr>
          </w:p>
        </w:tc>
      </w:tr>
      <w:tr>
        <w:trPr>
          <w:trHeight w:val="138"/>
        </w:trPr>
        <w:tc>
          <w:tcPr>
            <w:tcW w:w="1220" w:type="dxa"/>
            <w:vAlign w:val="bottom"/>
          </w:tcPr>
          <w:p>
            <w:pPr>
              <w:spacing w:after="0" w:line="138" w:lineRule="exact"/>
              <w:rPr>
                <w:sz w:val="20"/>
                <w:szCs w:val="20"/>
                <w:color w:val="auto"/>
              </w:rPr>
            </w:pPr>
            <w:r>
              <w:rPr>
                <w:rFonts w:ascii="Arial" w:cs="Arial" w:eastAsia="Arial" w:hAnsi="Arial"/>
                <w:sz w:val="13"/>
                <w:szCs w:val="13"/>
                <w:color w:val="auto"/>
              </w:rPr>
              <w:t>TYSONS STATION</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20"/>
              <w:spacing w:after="0"/>
              <w:rPr>
                <w:sz w:val="20"/>
                <w:szCs w:val="20"/>
                <w:color w:val="auto"/>
              </w:rPr>
            </w:pPr>
            <w:r>
              <w:rPr>
                <w:rFonts w:ascii="Arial" w:cs="Arial" w:eastAsia="Arial" w:hAnsi="Arial"/>
                <w:sz w:val="13"/>
                <w:szCs w:val="13"/>
                <w:color w:val="auto"/>
              </w:rPr>
              <w:t>(Virginia)</w:t>
            </w:r>
          </w:p>
        </w:tc>
        <w:tc>
          <w:tcPr>
            <w:tcW w:w="300" w:type="dxa"/>
            <w:vAlign w:val="bottom"/>
          </w:tcPr>
          <w:p>
            <w:pPr>
              <w:ind w:left="40"/>
              <w:spacing w:after="0"/>
              <w:rPr>
                <w:sz w:val="20"/>
                <w:szCs w:val="20"/>
                <w:color w:val="auto"/>
              </w:rPr>
            </w:pPr>
            <w:r>
              <w:rPr>
                <w:rFonts w:ascii="Arial" w:cs="Arial" w:eastAsia="Arial" w:hAnsi="Arial"/>
                <w:sz w:val="13"/>
                <w:szCs w:val="13"/>
                <w:color w:val="auto"/>
              </w:rPr>
              <w:t>VA</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6,504,704</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388,000</w:t>
            </w:r>
          </w:p>
        </w:tc>
        <w:tc>
          <w:tcPr>
            <w:tcW w:w="840" w:type="dxa"/>
            <w:vAlign w:val="bottom"/>
          </w:tcPr>
          <w:p>
            <w:pPr>
              <w:jc w:val="right"/>
              <w:spacing w:after="0"/>
              <w:rPr>
                <w:sz w:val="20"/>
                <w:szCs w:val="20"/>
                <w:color w:val="auto"/>
              </w:rPr>
            </w:pPr>
            <w:r>
              <w:rPr>
                <w:rFonts w:ascii="Arial" w:cs="Arial" w:eastAsia="Arial" w:hAnsi="Arial"/>
                <w:sz w:val="13"/>
                <w:szCs w:val="13"/>
                <w:color w:val="auto"/>
              </w:rPr>
              <w:t>453,000</w:t>
            </w: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2,588,178</w:t>
            </w:r>
          </w:p>
        </w:tc>
        <w:tc>
          <w:tcPr>
            <w:tcW w:w="760" w:type="dxa"/>
            <w:vAlign w:val="bottom"/>
          </w:tcPr>
          <w:p>
            <w:pPr>
              <w:jc w:val="right"/>
              <w:spacing w:after="0"/>
              <w:rPr>
                <w:sz w:val="20"/>
                <w:szCs w:val="20"/>
                <w:color w:val="auto"/>
              </w:rPr>
            </w:pPr>
            <w:r>
              <w:rPr>
                <w:rFonts w:ascii="Arial" w:cs="Arial" w:eastAsia="Arial" w:hAnsi="Arial"/>
                <w:sz w:val="13"/>
                <w:szCs w:val="13"/>
                <w:color w:val="auto"/>
              </w:rPr>
              <w:t>474,542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2,954,636</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3,429,178</w:t>
            </w:r>
          </w:p>
        </w:tc>
        <w:tc>
          <w:tcPr>
            <w:tcW w:w="1260" w:type="dxa"/>
            <w:vAlign w:val="bottom"/>
          </w:tcPr>
          <w:p>
            <w:pPr>
              <w:jc w:val="right"/>
              <w:spacing w:after="0"/>
              <w:rPr>
                <w:sz w:val="20"/>
                <w:szCs w:val="20"/>
                <w:color w:val="auto"/>
              </w:rPr>
            </w:pPr>
            <w:r>
              <w:rPr>
                <w:rFonts w:ascii="Arial" w:cs="Arial" w:eastAsia="Arial" w:hAnsi="Arial"/>
                <w:sz w:val="13"/>
                <w:szCs w:val="13"/>
                <w:color w:val="auto"/>
              </w:rPr>
              <w:t>2,708,816</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1954</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01/17/78</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17 years</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WESTGATE MALL</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(California)</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6,319,000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107,284,000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1,157,540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6,318,562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108,441,978</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114,760,540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4,586,946</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1960-1966</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03/31/04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271" w:right="239" w:bottom="1440" w:gutter="0" w:footer="0" w:header="0"/>
          <w:type w:val="continuous"/>
        </w:sectPr>
      </w:pPr>
    </w:p>
    <w:bookmarkStart w:id="93" w:name="page94"/>
    <w:bookmarkEnd w:id="93"/>
    <w:p>
      <w:pPr>
        <w:jc w:val="center"/>
        <w:ind w:right="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SCHEDULE III</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DEPRECIATION—CONTINUED</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December 31, 2005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COLUMN A</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3"/>
                <w:szCs w:val="13"/>
                <w:b w:val="1"/>
                <w:bCs w:val="1"/>
                <w:color w:val="auto"/>
              </w:rPr>
              <w:t>COLUMN B COLUMN C</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COLUMN D  COLUMN 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F</w:t>
            </w:r>
          </w:p>
        </w:tc>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COLUMN G COLUMN H</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3"/>
              </w:rPr>
              <w:t>Life on which</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ind w:left="180"/>
              <w:spacing w:after="0" w:line="146" w:lineRule="exact"/>
              <w:rPr>
                <w:sz w:val="20"/>
                <w:szCs w:val="20"/>
                <w:color w:val="auto"/>
              </w:rPr>
            </w:pPr>
            <w:r>
              <w:rPr>
                <w:rFonts w:ascii="Arial" w:cs="Arial" w:eastAsia="Arial" w:hAnsi="Arial"/>
                <w:sz w:val="13"/>
                <w:szCs w:val="13"/>
                <w:b w:val="1"/>
                <w:bCs w:val="1"/>
                <w:color w:val="auto"/>
              </w:rPr>
              <w:t>Initial cost to company</w:t>
            </w:r>
          </w:p>
        </w:tc>
        <w:tc>
          <w:tcPr>
            <w:tcW w:w="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Cost</w:t>
            </w:r>
          </w:p>
        </w:tc>
        <w:tc>
          <w:tcPr>
            <w:tcW w:w="40" w:type="dxa"/>
            <w:vAlign w:val="bottom"/>
          </w:tcPr>
          <w:p>
            <w:pPr>
              <w:spacing w:after="0"/>
              <w:rPr>
                <w:sz w:val="12"/>
                <w:szCs w:val="12"/>
                <w:color w:val="auto"/>
              </w:rPr>
            </w:pPr>
          </w:p>
        </w:tc>
        <w:tc>
          <w:tcPr>
            <w:tcW w:w="2820" w:type="dxa"/>
            <w:vAlign w:val="bottom"/>
            <w:gridSpan w:val="8"/>
          </w:tcPr>
          <w:p>
            <w:pPr>
              <w:ind w:left="20"/>
              <w:spacing w:after="0" w:line="146" w:lineRule="exact"/>
              <w:rPr>
                <w:sz w:val="20"/>
                <w:szCs w:val="20"/>
                <w:color w:val="auto"/>
              </w:rPr>
            </w:pPr>
            <w:r>
              <w:rPr>
                <w:rFonts w:ascii="Arial" w:cs="Arial" w:eastAsia="Arial" w:hAnsi="Arial"/>
                <w:sz w:val="13"/>
                <w:szCs w:val="13"/>
                <w:b w:val="1"/>
                <w:bCs w:val="1"/>
                <w:color w:val="auto"/>
                <w:w w:val="92"/>
              </w:rPr>
              <w:t>Gross amount at which carried at close of period</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96"/>
              </w:rPr>
              <w:t>Capitalized</w:t>
            </w: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Accumulated</w:t>
            </w: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restart"/>
          </w:tcPr>
          <w:p>
            <w:pPr>
              <w:jc w:val="center"/>
              <w:spacing w:after="0" w:line="146"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auto"/>
                <w:w w:val="93"/>
              </w:rPr>
              <w:t>Building and</w:t>
            </w:r>
          </w:p>
        </w:tc>
        <w:tc>
          <w:tcPr>
            <w:tcW w:w="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Subsequent to</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6" w:lineRule="exact"/>
              <w:rPr>
                <w:sz w:val="20"/>
                <w:szCs w:val="20"/>
                <w:color w:val="auto"/>
              </w:rPr>
            </w:pPr>
            <w:r>
              <w:rPr>
                <w:rFonts w:ascii="Arial" w:cs="Arial" w:eastAsia="Arial" w:hAnsi="Arial"/>
                <w:sz w:val="13"/>
                <w:szCs w:val="13"/>
                <w:b w:val="1"/>
                <w:bCs w:val="1"/>
                <w:color w:val="auto"/>
              </w:rPr>
              <w:t>Building and</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0"/>
              </w:rPr>
              <w:t>Depreciation and</w:t>
            </w:r>
          </w:p>
        </w:tc>
        <w:tc>
          <w:tcPr>
            <w:tcW w:w="76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Date of</w:t>
            </w:r>
          </w:p>
        </w:tc>
        <w:tc>
          <w:tcPr>
            <w:tcW w:w="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Date</w:t>
            </w:r>
          </w:p>
        </w:tc>
        <w:tc>
          <w:tcPr>
            <w:tcW w:w="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statements is</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Descriptions</w:t>
            </w:r>
          </w:p>
        </w:tc>
        <w:tc>
          <w:tcPr>
            <w:tcW w:w="28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3"/>
              </w:rPr>
              <w:t>Encumbrance</w:t>
            </w:r>
          </w:p>
        </w:tc>
        <w:tc>
          <w:tcPr>
            <w:tcW w:w="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Land</w:t>
            </w: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Improvements</w:t>
            </w: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Improvements</w:t>
            </w:r>
          </w:p>
        </w:tc>
        <w:tc>
          <w:tcPr>
            <w:tcW w:w="90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Amortization</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w w:val="88"/>
              </w:rPr>
              <w:t>Construction</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WILDWOOD</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 xml:space="preserve">33 </w:t>
            </w:r>
            <w:r>
              <w:rPr>
                <w:rFonts w:ascii="Arial" w:cs="Arial" w:eastAsia="Arial" w:hAnsi="Arial"/>
                <w:sz w:val="22"/>
                <w:szCs w:val="22"/>
                <w:color w:val="auto"/>
                <w:w w:val="88"/>
                <w:vertAlign w:val="superscript"/>
              </w:rPr>
              <w:t>1</w:t>
            </w:r>
            <w:r>
              <w:rPr>
                <w:rFonts w:ascii="Arial" w:cs="Arial" w:eastAsia="Arial" w:hAnsi="Arial"/>
                <w:sz w:val="13"/>
                <w:szCs w:val="13"/>
                <w:color w:val="auto"/>
                <w:w w:val="88"/>
              </w:rPr>
              <w:t>/3 years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26,910,231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9,111,000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1,061,000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7,324,053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9,110,822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8,385,053</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17,495,875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6,613,595</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1958</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05/05/69</w:t>
            </w:r>
          </w:p>
        </w:tc>
        <w:tc>
          <w:tcPr>
            <w:tcW w:w="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WILLOW GROVE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ind w:left="200"/>
              <w:spacing w:after="0"/>
              <w:rPr>
                <w:sz w:val="20"/>
                <w:szCs w:val="20"/>
                <w:color w:val="auto"/>
              </w:rPr>
            </w:pPr>
            <w:r>
              <w:rPr>
                <w:rFonts w:ascii="Arial" w:cs="Arial" w:eastAsia="Arial" w:hAnsi="Arial"/>
                <w:sz w:val="13"/>
                <w:szCs w:val="13"/>
                <w:color w:val="auto"/>
              </w:rPr>
              <w:t>(Pennsylvania)</w:t>
            </w:r>
          </w:p>
        </w:tc>
        <w:tc>
          <w:tcPr>
            <w:tcW w:w="280" w:type="dxa"/>
            <w:vAlign w:val="bottom"/>
          </w:tcPr>
          <w:p>
            <w:pPr>
              <w:ind w:left="40"/>
              <w:spacing w:after="0"/>
              <w:rPr>
                <w:sz w:val="20"/>
                <w:szCs w:val="20"/>
                <w:color w:val="auto"/>
              </w:rPr>
            </w:pPr>
            <w:r>
              <w:rPr>
                <w:rFonts w:ascii="Arial" w:cs="Arial" w:eastAsia="Arial" w:hAnsi="Arial"/>
                <w:sz w:val="13"/>
                <w:szCs w:val="13"/>
                <w:color w:val="auto"/>
              </w:rPr>
              <w:t>PA</w:t>
            </w:r>
          </w:p>
        </w:tc>
        <w:tc>
          <w:tcPr>
            <w:tcW w:w="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1,499,000</w:t>
            </w:r>
          </w:p>
        </w:tc>
        <w:tc>
          <w:tcPr>
            <w:tcW w:w="4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6,643,000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18,391,914</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1,498,560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25,034,914</w:t>
            </w:r>
          </w:p>
        </w:tc>
        <w:tc>
          <w:tcPr>
            <w:tcW w:w="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26,533,474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14,817,861</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1953</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11/20/84</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WILLOW LAWN</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3,192,000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7,723,000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52,847,691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7,790,283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55,972,407</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63,762,691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30,007,486</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1957</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12/05/83</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WYNNEWOOD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ind w:left="200"/>
              <w:spacing w:after="0"/>
              <w:rPr>
                <w:sz w:val="20"/>
                <w:szCs w:val="20"/>
                <w:color w:val="auto"/>
              </w:rPr>
            </w:pPr>
            <w:r>
              <w:rPr>
                <w:rFonts w:ascii="Arial" w:cs="Arial" w:eastAsia="Arial" w:hAnsi="Arial"/>
                <w:sz w:val="13"/>
                <w:szCs w:val="13"/>
                <w:color w:val="auto"/>
              </w:rPr>
              <w:t>(Pennsylvania)</w:t>
            </w:r>
          </w:p>
        </w:tc>
        <w:tc>
          <w:tcPr>
            <w:tcW w:w="280" w:type="dxa"/>
            <w:vAlign w:val="bottom"/>
          </w:tcPr>
          <w:p>
            <w:pPr>
              <w:ind w:left="40"/>
              <w:spacing w:after="0"/>
              <w:rPr>
                <w:sz w:val="20"/>
                <w:szCs w:val="20"/>
                <w:color w:val="auto"/>
              </w:rPr>
            </w:pPr>
            <w:r>
              <w:rPr>
                <w:rFonts w:ascii="Arial" w:cs="Arial" w:eastAsia="Arial" w:hAnsi="Arial"/>
                <w:sz w:val="13"/>
                <w:szCs w:val="13"/>
                <w:color w:val="auto"/>
              </w:rPr>
              <w:t>PA</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31,200,268</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8,055,000</w:t>
            </w:r>
          </w:p>
        </w:tc>
        <w:tc>
          <w:tcPr>
            <w:tcW w:w="4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13,759,000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13,719,670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8,055,000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27,478,670</w:t>
            </w:r>
          </w:p>
        </w:tc>
        <w:tc>
          <w:tcPr>
            <w:tcW w:w="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35,533,670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8,727,183</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1948</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10/29/96</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DEVELOPMENT</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PROJECTS:</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420"/>
              <w:spacing w:after="0" w:line="138" w:lineRule="exact"/>
              <w:rPr>
                <w:sz w:val="20"/>
                <w:szCs w:val="20"/>
                <w:color w:val="auto"/>
              </w:rPr>
            </w:pPr>
            <w:r>
              <w:rPr>
                <w:rFonts w:ascii="Arial" w:cs="Arial" w:eastAsia="Arial" w:hAnsi="Arial"/>
                <w:sz w:val="13"/>
                <w:szCs w:val="13"/>
                <w:color w:val="auto"/>
              </w:rPr>
              <w:t>SANTANA</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ind w:left="620"/>
              <w:spacing w:after="0" w:line="146" w:lineRule="exact"/>
              <w:rPr>
                <w:sz w:val="20"/>
                <w:szCs w:val="20"/>
                <w:color w:val="auto"/>
              </w:rPr>
            </w:pPr>
            <w:r>
              <w:rPr>
                <w:rFonts w:ascii="Arial" w:cs="Arial" w:eastAsia="Arial" w:hAnsi="Arial"/>
                <w:sz w:val="13"/>
                <w:szCs w:val="13"/>
                <w:color w:val="auto"/>
              </w:rPr>
              <w:t>ROW</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40" w:type="dxa"/>
            <w:vAlign w:val="bottom"/>
            <w:gridSpan w:val="2"/>
          </w:tcPr>
          <w:p>
            <w:pPr>
              <w:ind w:left="620"/>
              <w:spacing w:after="0"/>
              <w:rPr>
                <w:sz w:val="20"/>
                <w:szCs w:val="20"/>
                <w:color w:val="auto"/>
              </w:rPr>
            </w:pPr>
            <w:r>
              <w:rPr>
                <w:rFonts w:ascii="Arial" w:cs="Arial" w:eastAsia="Arial" w:hAnsi="Arial"/>
                <w:sz w:val="13"/>
                <w:szCs w:val="13"/>
                <w:color w:val="auto"/>
              </w:rPr>
              <w:t>(California) CA</w:t>
            </w:r>
          </w:p>
        </w:tc>
        <w:tc>
          <w:tcPr>
            <w:tcW w:w="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2,817,550</w:t>
            </w:r>
          </w:p>
        </w:tc>
        <w:tc>
          <w:tcPr>
            <w:tcW w:w="4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2,817,550</w:t>
            </w:r>
          </w:p>
        </w:tc>
        <w:tc>
          <w:tcPr>
            <w:tcW w:w="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2,817,550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1999 - 2002</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4"/>
              </w:rPr>
              <w:t>03/05/97</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OTHER</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40"/>
              <w:spacing w:after="0" w:line="14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41,575</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41,575</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41,575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w w:val="92"/>
              </w:rPr>
              <w:t>CORPORATE OFFICE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ind w:left="200"/>
              <w:spacing w:after="0"/>
              <w:rPr>
                <w:sz w:val="20"/>
                <w:szCs w:val="20"/>
                <w:color w:val="auto"/>
              </w:rPr>
            </w:pPr>
            <w:r>
              <w:rPr>
                <w:rFonts w:ascii="Arial" w:cs="Arial" w:eastAsia="Arial" w:hAnsi="Arial"/>
                <w:sz w:val="13"/>
                <w:szCs w:val="13"/>
                <w:color w:val="auto"/>
              </w:rPr>
              <w:t>(Boston)</w:t>
            </w:r>
          </w:p>
        </w:tc>
        <w:tc>
          <w:tcPr>
            <w:tcW w:w="280" w:type="dxa"/>
            <w:vAlign w:val="bottom"/>
          </w:tcPr>
          <w:p>
            <w:pPr>
              <w:ind w:left="40"/>
              <w:spacing w:after="0"/>
              <w:rPr>
                <w:sz w:val="20"/>
                <w:szCs w:val="20"/>
                <w:color w:val="auto"/>
              </w:rPr>
            </w:pPr>
            <w:r>
              <w:rPr>
                <w:rFonts w:ascii="Arial" w:cs="Arial" w:eastAsia="Arial" w:hAnsi="Arial"/>
                <w:sz w:val="13"/>
                <w:szCs w:val="13"/>
                <w:color w:val="auto"/>
              </w:rPr>
              <w:t>MA</w:t>
            </w:r>
          </w:p>
        </w:tc>
        <w:tc>
          <w:tcPr>
            <w:tcW w:w="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185,843</w:t>
            </w: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185,843</w:t>
            </w:r>
          </w:p>
        </w:tc>
        <w:tc>
          <w:tcPr>
            <w:tcW w:w="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185,843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14,797</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2005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9"/>
              </w:rPr>
              <w:t>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2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TOTALS</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w w:val="93"/>
              </w:rPr>
              <w:t>$ 419,713,352</w:t>
            </w:r>
          </w:p>
        </w:tc>
        <w:tc>
          <w:tcPr>
            <w:tcW w:w="7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u w:val="single" w:color="auto"/>
                <w:color w:val="auto"/>
                <w:w w:val="91"/>
              </w:rPr>
              <w:t>$</w:t>
            </w:r>
            <w:r>
              <w:rPr>
                <w:rFonts w:ascii="Arial" w:cs="Arial" w:eastAsia="Arial" w:hAnsi="Arial"/>
                <w:sz w:val="13"/>
                <w:szCs w:val="13"/>
                <w:color w:val="auto"/>
                <w:w w:val="91"/>
              </w:rPr>
              <w:t xml:space="preserve"> 445,392,754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w w:val="94"/>
              </w:rPr>
              <w:t>$  974,500,693</w:t>
            </w:r>
          </w:p>
        </w:tc>
        <w:tc>
          <w:tcPr>
            <w:tcW w:w="8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u w:val="single" w:color="auto"/>
                <w:color w:val="auto"/>
                <w:w w:val="90"/>
              </w:rPr>
              <w:t>$</w:t>
            </w:r>
            <w:r>
              <w:rPr>
                <w:rFonts w:ascii="Arial" w:cs="Arial" w:eastAsia="Arial" w:hAnsi="Arial"/>
                <w:sz w:val="13"/>
                <w:szCs w:val="13"/>
                <w:color w:val="auto"/>
                <w:w w:val="90"/>
              </w:rPr>
              <w:t>1,407,028,748</w:t>
            </w:r>
          </w:p>
        </w:tc>
        <w:tc>
          <w:tcPr>
            <w:tcW w:w="7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446,830,489</w:t>
            </w: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2,382,490,113</w:t>
            </w:r>
          </w:p>
        </w:tc>
        <w:tc>
          <w:tcPr>
            <w:tcW w:w="8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9"/>
              </w:rPr>
              <w:t>$ 2,829,320,604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663,749,988</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500"/>
          </w:cols>
          <w:pgMar w:left="240" w:top="271" w:right="15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Years Ended December 31, 2005</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Total Cost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2,306,826,000</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Acquisitions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127,489,000</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tcPr>
          <w:p>
            <w:pPr>
              <w:ind w:left="840"/>
              <w:spacing w:after="0"/>
              <w:rPr>
                <w:sz w:val="20"/>
                <w:szCs w:val="20"/>
                <w:color w:val="auto"/>
              </w:rPr>
            </w:pPr>
            <w:r>
              <w:rPr>
                <w:rFonts w:ascii="Arial" w:cs="Arial" w:eastAsia="Arial" w:hAnsi="Arial"/>
                <w:sz w:val="17"/>
                <w:szCs w:val="17"/>
                <w:color w:val="auto"/>
              </w:rPr>
              <w:t>Improvements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64,849,000</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(29,014,000)</w:t>
            </w:r>
          </w:p>
        </w:tc>
      </w:tr>
      <w:tr>
        <w:trPr>
          <w:trHeight w:val="219"/>
        </w:trPr>
        <w:tc>
          <w:tcPr>
            <w:tcW w:w="10040" w:type="dxa"/>
            <w:vAlign w:val="bottom"/>
            <w:gridSpan w:val="3"/>
          </w:tcPr>
          <w:p>
            <w:pPr>
              <w:spacing w:after="0"/>
              <w:rPr>
                <w:sz w:val="20"/>
                <w:szCs w:val="20"/>
                <w:color w:val="auto"/>
              </w:rPr>
            </w:pPr>
            <w:r>
              <w:rPr>
                <w:rFonts w:ascii="Arial" w:cs="Arial" w:eastAsia="Arial" w:hAnsi="Arial"/>
                <w:sz w:val="17"/>
                <w:szCs w:val="17"/>
                <w:color w:val="auto"/>
              </w:rPr>
              <w:t>Balance, December 31, 2003</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2,470,150,000</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tcPr>
          <w:p>
            <w:pPr>
              <w:ind w:left="840"/>
              <w:spacing w:after="0"/>
              <w:rPr>
                <w:sz w:val="20"/>
                <w:szCs w:val="20"/>
                <w:color w:val="auto"/>
              </w:rPr>
            </w:pPr>
            <w:r>
              <w:rPr>
                <w:rFonts w:ascii="Arial" w:cs="Arial" w:eastAsia="Arial" w:hAnsi="Arial"/>
                <w:sz w:val="17"/>
                <w:szCs w:val="17"/>
                <w:color w:val="auto"/>
              </w:rPr>
              <w:t>Acquisitions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118,066,000</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Improvements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131,986,000</w:t>
            </w:r>
          </w:p>
        </w:tc>
        <w:tc>
          <w:tcPr>
            <w:tcW w:w="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0020" w:type="dxa"/>
            <w:vAlign w:val="bottom"/>
            <w:gridSpan w:val="2"/>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(53,926,000)</w:t>
            </w:r>
          </w:p>
        </w:tc>
      </w:t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2004</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2,666,276,000</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Acquisitions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119,194,000</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tcPr>
          <w:p>
            <w:pPr>
              <w:ind w:left="840"/>
              <w:spacing w:after="0"/>
              <w:rPr>
                <w:sz w:val="20"/>
                <w:szCs w:val="20"/>
                <w:color w:val="auto"/>
              </w:rPr>
            </w:pPr>
            <w:r>
              <w:rPr>
                <w:rFonts w:ascii="Arial" w:cs="Arial" w:eastAsia="Arial" w:hAnsi="Arial"/>
                <w:sz w:val="17"/>
                <w:szCs w:val="17"/>
                <w:color w:val="auto"/>
              </w:rPr>
              <w:t>Improvements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157,104,000</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(113,253,000)</w:t>
            </w:r>
          </w:p>
        </w:tc>
      </w:tr>
      <w:tr>
        <w:trPr>
          <w:trHeight w:val="219"/>
        </w:trPr>
        <w:tc>
          <w:tcPr>
            <w:tcW w:w="10040" w:type="dxa"/>
            <w:vAlign w:val="bottom"/>
            <w:gridSpan w:val="3"/>
          </w:tcPr>
          <w:p>
            <w:pPr>
              <w:spacing w:after="0"/>
              <w:rPr>
                <w:sz w:val="20"/>
                <w:szCs w:val="20"/>
                <w:color w:val="auto"/>
              </w:rPr>
            </w:pPr>
            <w:r>
              <w:rPr>
                <w:rFonts w:ascii="Arial" w:cs="Arial" w:eastAsia="Arial" w:hAnsi="Arial"/>
                <w:sz w:val="17"/>
                <w:szCs w:val="17"/>
                <w:color w:val="auto"/>
              </w:rPr>
              <w:t>Balance, December 31, 2005</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2,829,321,000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9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(A)</w:t>
        <w:tab/>
        <w:t>For Federal tax purposes, the aggregate cost basis is approximately $2.6 million as of December 31, 2005.</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27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Years Ended December 31, 2005</w:t>
      </w:r>
    </w:p>
    <w:p>
      <w:pPr>
        <w:spacing w:after="0" w:line="84"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Reconciliation of Accumulated</w:t>
      </w:r>
    </w:p>
    <w:p>
      <w:pPr>
        <w:spacing w:after="0" w:line="31"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Depreciation and Amortization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2002</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450,697,000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68,125,000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7"/>
              </w:rPr>
              <w:t>Deductions during period—disposition and retirements of property</w:t>
            </w: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(4,645,000)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7"/>
                <w:szCs w:val="17"/>
                <w:color w:val="auto"/>
              </w:rPr>
              <w:t>Balance, December 31, 2003</w:t>
            </w:r>
          </w:p>
        </w:tc>
        <w:tc>
          <w:tcPr>
            <w:tcW w:w="4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00" w:type="dxa"/>
            <w:vAlign w:val="bottom"/>
            <w:gridSpan w:val="2"/>
            <w:vMerge w:val="continue"/>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514,177,000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82,551,000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7"/>
                <w:szCs w:val="17"/>
                <w:color w:val="auto"/>
                <w:w w:val="97"/>
              </w:rPr>
              <w:t>Deductions during period—disposition and retirements of property</w:t>
            </w: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(1,390,000)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2004</w:t>
            </w: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595,338,000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83,656,000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7"/>
              </w:rPr>
              <w:t>Deductions during period—disposition and retirements of property</w:t>
            </w: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(15,244,000)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7"/>
                <w:szCs w:val="17"/>
                <w:color w:val="auto"/>
              </w:rPr>
              <w:t>Balance, December 31, 2005</w:t>
            </w:r>
          </w:p>
        </w:tc>
        <w:tc>
          <w:tcPr>
            <w:tcW w:w="4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00" w:type="dxa"/>
            <w:vAlign w:val="bottom"/>
            <w:gridSpan w:val="2"/>
            <w:vMerge w:val="continue"/>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663,750,000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120" w:type="dxa"/>
            <w:vAlign w:val="bottom"/>
            <w:gridSpan w:val="2"/>
          </w:tcPr>
          <w:p>
            <w:pPr>
              <w:jc w:val="right"/>
              <w:ind w:right="4454"/>
              <w:spacing w:after="0"/>
              <w:rPr>
                <w:sz w:val="20"/>
                <w:szCs w:val="20"/>
                <w:color w:val="auto"/>
              </w:rPr>
            </w:pPr>
            <w:r>
              <w:rPr>
                <w:rFonts w:ascii="Arial" w:cs="Arial" w:eastAsia="Arial" w:hAnsi="Arial"/>
                <w:sz w:val="17"/>
                <w:szCs w:val="17"/>
                <w:color w:val="auto"/>
              </w:rPr>
              <w:t>F-37</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MORTGAGE LOANS ON REAL ESTATE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600" w:type="dxa"/>
            <w:vAlign w:val="bottom"/>
            <w:gridSpan w:val="2"/>
          </w:tcPr>
          <w:p>
            <w:pPr>
              <w:ind w:left="1000"/>
              <w:spacing w:after="0"/>
              <w:rPr>
                <w:sz w:val="20"/>
                <w:szCs w:val="20"/>
                <w:color w:val="auto"/>
              </w:rPr>
            </w:pPr>
            <w:r>
              <w:rPr>
                <w:rFonts w:ascii="Arial" w:cs="Arial" w:eastAsia="Arial" w:hAnsi="Arial"/>
                <w:sz w:val="13"/>
                <w:szCs w:val="13"/>
                <w:b w:val="1"/>
                <w:bCs w:val="1"/>
                <w:color w:val="auto"/>
              </w:rPr>
              <w:t>Column A</w:t>
            </w:r>
          </w:p>
        </w:tc>
        <w:tc>
          <w:tcPr>
            <w:tcW w:w="240" w:type="dxa"/>
            <w:vAlign w:val="bottom"/>
          </w:tcPr>
          <w:p>
            <w:pPr>
              <w:spacing w:after="0"/>
              <w:rPr>
                <w:sz w:val="14"/>
                <w:szCs w:val="14"/>
                <w:color w:val="auto"/>
              </w:rPr>
            </w:pPr>
          </w:p>
        </w:tc>
        <w:tc>
          <w:tcPr>
            <w:tcW w:w="1600" w:type="dxa"/>
            <w:vAlign w:val="bottom"/>
          </w:tcPr>
          <w:p>
            <w:pPr>
              <w:ind w:left="500"/>
              <w:spacing w:after="0"/>
              <w:rPr>
                <w:sz w:val="20"/>
                <w:szCs w:val="20"/>
                <w:color w:val="auto"/>
              </w:rPr>
            </w:pPr>
            <w:r>
              <w:rPr>
                <w:rFonts w:ascii="Arial" w:cs="Arial" w:eastAsia="Arial" w:hAnsi="Arial"/>
                <w:sz w:val="13"/>
                <w:szCs w:val="13"/>
                <w:b w:val="1"/>
                <w:bCs w:val="1"/>
                <w:color w:val="auto"/>
              </w:rPr>
              <w:t>Column B</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Column C</w:t>
            </w:r>
          </w:p>
        </w:tc>
        <w:tc>
          <w:tcPr>
            <w:tcW w:w="2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7"/>
              </w:rPr>
              <w:t>Column D</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Column 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02"/>
              <w:spacing w:after="0"/>
              <w:rPr>
                <w:sz w:val="20"/>
                <w:szCs w:val="20"/>
                <w:color w:val="auto"/>
              </w:rPr>
            </w:pPr>
            <w:r>
              <w:rPr>
                <w:rFonts w:ascii="Arial" w:cs="Arial" w:eastAsia="Arial" w:hAnsi="Arial"/>
                <w:sz w:val="13"/>
                <w:szCs w:val="13"/>
                <w:b w:val="1"/>
                <w:bCs w:val="1"/>
                <w:color w:val="auto"/>
              </w:rPr>
              <w:t>Column F</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Column 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1"/>
              </w:rPr>
              <w:t>Periodic Payment</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
              <w:spacing w:after="0" w:line="134"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8"/>
              </w:rPr>
              <w:t>Prior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
              <w:spacing w:after="0" w:line="133" w:lineRule="exact"/>
              <w:rPr>
                <w:sz w:val="20"/>
                <w:szCs w:val="20"/>
                <w:color w:val="auto"/>
              </w:rPr>
            </w:pPr>
            <w:r>
              <w:rPr>
                <w:rFonts w:ascii="Arial" w:cs="Arial" w:eastAsia="Arial" w:hAnsi="Arial"/>
                <w:sz w:val="13"/>
                <w:szCs w:val="13"/>
                <w:b w:val="1"/>
                <w:bCs w:val="1"/>
                <w:color w:val="auto"/>
                <w:w w:val="89"/>
              </w:rPr>
              <w:t>Face Amount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2"/>
              </w:rPr>
              <w:t>Amount of</w:t>
            </w:r>
          </w:p>
        </w:tc>
        <w:tc>
          <w:tcPr>
            <w:tcW w:w="0" w:type="dxa"/>
            <w:vAlign w:val="bottom"/>
          </w:tcPr>
          <w:p>
            <w:pPr>
              <w:spacing w:after="0"/>
              <w:rPr>
                <w:sz w:val="1"/>
                <w:szCs w:val="1"/>
                <w:color w:val="auto"/>
              </w:rPr>
            </w:pPr>
          </w:p>
        </w:tc>
      </w:tr>
      <w:tr>
        <w:trPr>
          <w:trHeight w:val="159"/>
        </w:trPr>
        <w:tc>
          <w:tcPr>
            <w:tcW w:w="2620" w:type="dxa"/>
            <w:vAlign w:val="bottom"/>
            <w:gridSpan w:val="3"/>
          </w:tcPr>
          <w:p>
            <w:pPr>
              <w:spacing w:after="0"/>
              <w:rPr>
                <w:sz w:val="20"/>
                <w:szCs w:val="20"/>
                <w:color w:val="auto"/>
              </w:rPr>
            </w:pPr>
            <w:r>
              <w:rPr>
                <w:rFonts w:ascii="Arial" w:cs="Arial" w:eastAsia="Arial" w:hAnsi="Arial"/>
                <w:sz w:val="13"/>
                <w:szCs w:val="13"/>
                <w:b w:val="1"/>
                <w:bCs w:val="1"/>
                <w:color w:val="auto"/>
              </w:rPr>
              <w:t>Description of Lien</w:t>
            </w:r>
          </w:p>
        </w:tc>
        <w:tc>
          <w:tcPr>
            <w:tcW w:w="240" w:type="dxa"/>
            <w:vAlign w:val="bottom"/>
          </w:tcPr>
          <w:p>
            <w:pPr>
              <w:spacing w:after="0"/>
              <w:rPr>
                <w:sz w:val="13"/>
                <w:szCs w:val="13"/>
                <w:color w:val="auto"/>
              </w:rPr>
            </w:pPr>
          </w:p>
        </w:tc>
        <w:tc>
          <w:tcPr>
            <w:tcW w:w="1600" w:type="dxa"/>
            <w:vAlign w:val="bottom"/>
          </w:tcPr>
          <w:p>
            <w:pPr>
              <w:ind w:left="420"/>
              <w:spacing w:after="0"/>
              <w:rPr>
                <w:sz w:val="20"/>
                <w:szCs w:val="20"/>
                <w:color w:val="auto"/>
              </w:rPr>
            </w:pPr>
            <w:r>
              <w:rPr>
                <w:rFonts w:ascii="Arial" w:cs="Arial" w:eastAsia="Arial" w:hAnsi="Arial"/>
                <w:sz w:val="13"/>
                <w:szCs w:val="13"/>
                <w:b w:val="1"/>
                <w:bCs w:val="1"/>
                <w:color w:val="auto"/>
              </w:rPr>
              <w:t>Interest Rate</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Maturity Date</w:t>
            </w:r>
          </w:p>
        </w:tc>
        <w:tc>
          <w:tcPr>
            <w:tcW w:w="24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2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4"/>
              </w:rPr>
              <w:t>Liens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2"/>
              <w:spacing w:after="0"/>
              <w:rPr>
                <w:sz w:val="20"/>
                <w:szCs w:val="20"/>
                <w:color w:val="auto"/>
              </w:rPr>
            </w:pPr>
            <w:r>
              <w:rPr>
                <w:rFonts w:ascii="Arial" w:cs="Arial" w:eastAsia="Arial" w:hAnsi="Arial"/>
                <w:sz w:val="13"/>
                <w:szCs w:val="13"/>
                <w:b w:val="1"/>
                <w:bCs w:val="1"/>
                <w:color w:val="auto"/>
                <w:w w:val="88"/>
              </w:rPr>
              <w:t>of Mortgages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Mortgages (1)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Mortgage on Hotel in San Jose, CA</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rPr>
              <w:t>12% to 15%</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2011</w:t>
            </w:r>
          </w:p>
        </w:tc>
        <w:tc>
          <w:tcPr>
            <w:tcW w:w="2400" w:type="dxa"/>
            <w:vAlign w:val="bottom"/>
            <w:gridSpan w:val="2"/>
            <w:shd w:val="clear" w:color="auto" w:fill="CCEEFF"/>
          </w:tcPr>
          <w:p>
            <w:pPr>
              <w:jc w:val="center"/>
              <w:ind w:left="154"/>
              <w:spacing w:after="0"/>
              <w:rPr>
                <w:sz w:val="20"/>
                <w:szCs w:val="20"/>
                <w:color w:val="auto"/>
              </w:rPr>
            </w:pPr>
            <w:r>
              <w:rPr>
                <w:rFonts w:ascii="Arial" w:cs="Arial" w:eastAsia="Arial" w:hAnsi="Arial"/>
                <w:sz w:val="17"/>
                <w:szCs w:val="17"/>
                <w:color w:val="auto"/>
                <w:w w:val="96"/>
              </w:rPr>
              <w:t>(2)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17,267,000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12,265,000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auto"/>
              </w:rPr>
              <w:t>Mortgage on retail</w:t>
            </w:r>
          </w:p>
        </w:tc>
        <w:tc>
          <w:tcPr>
            <w:tcW w:w="24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Greater of prime</w:t>
            </w:r>
          </w:p>
        </w:tc>
        <w:tc>
          <w:tcPr>
            <w:tcW w:w="1100" w:type="dxa"/>
            <w:vAlign w:val="bottom"/>
            <w:gridSpan w:val="2"/>
          </w:tcPr>
          <w:p>
            <w:pPr>
              <w:ind w:left="220"/>
              <w:spacing w:after="0"/>
              <w:rPr>
                <w:sz w:val="20"/>
                <w:szCs w:val="20"/>
                <w:color w:val="auto"/>
              </w:rPr>
            </w:pPr>
            <w:r>
              <w:rPr>
                <w:rFonts w:ascii="Arial" w:cs="Arial" w:eastAsia="Arial" w:hAnsi="Arial"/>
                <w:sz w:val="17"/>
                <w:szCs w:val="17"/>
                <w:color w:val="auto"/>
              </w:rPr>
              <w:t>May 2021</w:t>
            </w:r>
          </w:p>
        </w:tc>
        <w:tc>
          <w:tcPr>
            <w:tcW w:w="2400" w:type="dxa"/>
            <w:vAlign w:val="bottom"/>
            <w:gridSpan w:val="2"/>
          </w:tcPr>
          <w:p>
            <w:pPr>
              <w:ind w:left="240"/>
              <w:spacing w:after="0"/>
              <w:rPr>
                <w:sz w:val="20"/>
                <w:szCs w:val="20"/>
                <w:color w:val="auto"/>
              </w:rPr>
            </w:pPr>
            <w:r>
              <w:rPr>
                <w:rFonts w:ascii="Arial" w:cs="Arial" w:eastAsia="Arial" w:hAnsi="Arial"/>
                <w:sz w:val="17"/>
                <w:szCs w:val="17"/>
                <w:color w:val="auto"/>
              </w:rPr>
              <w:t>Interest only</w:t>
            </w:r>
          </w:p>
        </w:tc>
        <w:tc>
          <w:tcPr>
            <w:tcW w:w="2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19,016,000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19,016,000(3)</w:t>
            </w:r>
          </w:p>
        </w:tc>
        <w:tc>
          <w:tcPr>
            <w:tcW w:w="0" w:type="dxa"/>
            <w:vAlign w:val="bottom"/>
          </w:tcPr>
          <w:p>
            <w:pPr>
              <w:spacing w:after="0"/>
              <w:rPr>
                <w:sz w:val="1"/>
                <w:szCs w:val="1"/>
                <w:color w:val="auto"/>
              </w:rPr>
            </w:pPr>
          </w:p>
        </w:tc>
      </w:tr>
      <w:tr>
        <w:trPr>
          <w:trHeight w:val="213"/>
        </w:trPr>
        <w:tc>
          <w:tcPr>
            <w:tcW w:w="2620" w:type="dxa"/>
            <w:vAlign w:val="bottom"/>
            <w:gridSpan w:val="3"/>
          </w:tcPr>
          <w:p>
            <w:pPr>
              <w:spacing w:after="0"/>
              <w:rPr>
                <w:sz w:val="20"/>
                <w:szCs w:val="20"/>
                <w:color w:val="auto"/>
              </w:rPr>
            </w:pPr>
            <w:r>
              <w:rPr>
                <w:rFonts w:ascii="Arial" w:cs="Arial" w:eastAsia="Arial" w:hAnsi="Arial"/>
                <w:sz w:val="17"/>
                <w:szCs w:val="17"/>
                <w:color w:val="auto"/>
              </w:rPr>
              <w:t>buildings in Philadelphia, PA</w:t>
            </w:r>
          </w:p>
        </w:tc>
        <w:tc>
          <w:tcPr>
            <w:tcW w:w="2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plus 2% or 10%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Arial" w:cs="Arial" w:eastAsia="Arial" w:hAnsi="Arial"/>
                <w:sz w:val="17"/>
                <w:szCs w:val="17"/>
                <w:color w:val="auto"/>
                <w:w w:val="94"/>
              </w:rPr>
              <w:t>monthly; balloon payment due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0" w:type="dxa"/>
            <w:vAlign w:val="bottom"/>
            <w:gridSpan w:val="2"/>
          </w:tcPr>
          <w:p>
            <w:pPr>
              <w:ind w:left="240"/>
              <w:spacing w:after="0"/>
              <w:rPr>
                <w:sz w:val="20"/>
                <w:szCs w:val="20"/>
                <w:color w:val="auto"/>
              </w:rPr>
            </w:pPr>
            <w:r>
              <w:rPr>
                <w:rFonts w:ascii="Arial" w:cs="Arial" w:eastAsia="Arial" w:hAnsi="Arial"/>
                <w:sz w:val="17"/>
                <w:szCs w:val="17"/>
                <w:color w:val="auto"/>
              </w:rPr>
              <w:t>at maturity</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on retail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w w:val="94"/>
              </w:rPr>
              <w:t>10% plus participation</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2021</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Interest only;</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9,250,000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9,250,000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 in Philadelphia, PA</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balloon payment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due at maturity</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45,533,000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40,531,000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hanging="454"/>
        <w:spacing w:after="0"/>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For Federal tax purposes, the aggregate tax basis is approximately $45.5 million as of December 31, 2005. No payments are delinquent on these mortgages.</w:t>
      </w:r>
    </w:p>
    <w:p>
      <w:pPr>
        <w:spacing w:after="0" w:line="47" w:lineRule="exact"/>
        <w:rPr>
          <w:rFonts w:ascii="Arial" w:cs="Arial" w:eastAsia="Arial" w:hAnsi="Arial"/>
          <w:sz w:val="15"/>
          <w:szCs w:val="15"/>
          <w:color w:val="auto"/>
        </w:rPr>
      </w:pPr>
    </w:p>
    <w:p>
      <w:pPr>
        <w:ind w:left="460" w:right="480" w:hanging="454"/>
        <w:spacing w:after="0" w:line="277"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Through May 2006, interest is payable from cash flow, if available. If cash flow is not sufficient to pay interest in full, mortgagee may borrow up to a maximum loan amount of $19.5 million. Any unpaid amounts due will accrue and bear interest at the same rate as the principal. After year five, current interest payments are required. After year seven, mortgagee is required to apply 50% of all available cash flow to repayment of principal.</w:t>
      </w:r>
    </w:p>
    <w:p>
      <w:pPr>
        <w:spacing w:after="0" w:line="1" w:lineRule="exact"/>
        <w:rPr>
          <w:rFonts w:ascii="Arial" w:cs="Arial" w:eastAsia="Arial" w:hAnsi="Arial"/>
          <w:sz w:val="16"/>
          <w:szCs w:val="16"/>
          <w:color w:val="auto"/>
        </w:rPr>
      </w:pPr>
    </w:p>
    <w:p>
      <w:pPr>
        <w:ind w:left="460" w:hanging="454"/>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mortgage is available for up to $25.0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271"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140" w:type="dxa"/>
            <w:vAlign w:val="bottom"/>
            <w:gridSpan w:val="2"/>
          </w:tcPr>
          <w:p>
            <w:pPr>
              <w:jc w:val="center"/>
              <w:ind w:right="2374"/>
              <w:spacing w:after="0"/>
              <w:rPr>
                <w:sz w:val="20"/>
                <w:szCs w:val="20"/>
                <w:color w:val="auto"/>
              </w:rPr>
            </w:pPr>
            <w:r>
              <w:rPr>
                <w:rFonts w:ascii="Arial" w:cs="Arial" w:eastAsia="Arial" w:hAnsi="Arial"/>
                <w:sz w:val="17"/>
                <w:szCs w:val="17"/>
                <w:b w:val="1"/>
                <w:bCs w:val="1"/>
                <w:color w:val="auto"/>
              </w:rPr>
              <w:t>FEDERAL REALTY INVESTMENT TRUST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140" w:type="dxa"/>
            <w:vAlign w:val="bottom"/>
            <w:gridSpan w:val="2"/>
          </w:tcPr>
          <w:p>
            <w:pPr>
              <w:jc w:val="center"/>
              <w:ind w:right="2394"/>
              <w:spacing w:after="0"/>
              <w:rPr>
                <w:sz w:val="20"/>
                <w:szCs w:val="20"/>
                <w:color w:val="auto"/>
              </w:rPr>
            </w:pPr>
            <w:r>
              <w:rPr>
                <w:rFonts w:ascii="Arial" w:cs="Arial" w:eastAsia="Arial" w:hAnsi="Arial"/>
                <w:sz w:val="17"/>
                <w:szCs w:val="17"/>
                <w:b w:val="1"/>
                <w:bCs w:val="1"/>
                <w:color w:val="auto"/>
              </w:rPr>
              <w:t>SCHEDULE IV</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140" w:type="dxa"/>
            <w:vAlign w:val="bottom"/>
            <w:gridSpan w:val="2"/>
          </w:tcPr>
          <w:p>
            <w:pPr>
              <w:jc w:val="center"/>
              <w:ind w:right="2374"/>
              <w:spacing w:after="0"/>
              <w:rPr>
                <w:sz w:val="20"/>
                <w:szCs w:val="20"/>
                <w:color w:val="auto"/>
              </w:rPr>
            </w:pPr>
            <w:r>
              <w:rPr>
                <w:rFonts w:ascii="Arial" w:cs="Arial" w:eastAsia="Arial" w:hAnsi="Arial"/>
                <w:sz w:val="17"/>
                <w:szCs w:val="17"/>
                <w:b w:val="1"/>
                <w:bCs w:val="1"/>
                <w:color w:val="auto"/>
              </w:rPr>
              <w:t>MORTGAGE LOANS ON REAL ESTATE —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7140" w:type="dxa"/>
            <w:vAlign w:val="bottom"/>
            <w:gridSpan w:val="2"/>
          </w:tcPr>
          <w:p>
            <w:pPr>
              <w:jc w:val="center"/>
              <w:ind w:right="2394"/>
              <w:spacing w:after="0"/>
              <w:rPr>
                <w:sz w:val="20"/>
                <w:szCs w:val="20"/>
                <w:color w:val="auto"/>
              </w:rPr>
            </w:pPr>
            <w:r>
              <w:rPr>
                <w:rFonts w:ascii="Arial" w:cs="Arial" w:eastAsia="Arial" w:hAnsi="Arial"/>
                <w:sz w:val="17"/>
                <w:szCs w:val="17"/>
                <w:b w:val="1"/>
                <w:bCs w:val="1"/>
                <w:color w:val="auto"/>
                <w:w w:val="91"/>
              </w:rPr>
              <w:t>Three Years Ended December 31, 2005</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140" w:type="dxa"/>
            <w:vAlign w:val="bottom"/>
            <w:gridSpan w:val="2"/>
          </w:tcPr>
          <w:p>
            <w:pPr>
              <w:jc w:val="center"/>
              <w:ind w:right="2394"/>
              <w:spacing w:after="0"/>
              <w:rPr>
                <w:sz w:val="20"/>
                <w:szCs w:val="20"/>
                <w:color w:val="auto"/>
              </w:rPr>
            </w:pPr>
            <w:r>
              <w:rPr>
                <w:rFonts w:ascii="Arial" w:cs="Arial" w:eastAsia="Arial" w:hAnsi="Arial"/>
                <w:sz w:val="17"/>
                <w:szCs w:val="17"/>
                <w:b w:val="1"/>
                <w:bCs w:val="1"/>
                <w:color w:val="auto"/>
                <w:w w:val="93"/>
              </w:rPr>
              <w:t>Reconciliation of Carrying Amount</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2002</w:t>
            </w:r>
          </w:p>
        </w:tc>
        <w:tc>
          <w:tcPr>
            <w:tcW w:w="7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35,577,000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Issuance of loans</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5,923,000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5"/>
              </w:rPr>
              <w:t>Collection and satisfaction of loans</w:t>
            </w:r>
          </w:p>
        </w:tc>
        <w:tc>
          <w:tcPr>
            <w:tcW w:w="7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gridSpan w:val="2"/>
          </w:tcPr>
          <w:p>
            <w:pPr>
              <w:spacing w:after="0"/>
              <w:rPr>
                <w:sz w:val="20"/>
                <w:szCs w:val="20"/>
                <w:color w:val="auto"/>
              </w:rPr>
            </w:pPr>
            <w:r>
              <w:rPr>
                <w:rFonts w:ascii="Arial" w:cs="Arial" w:eastAsia="Arial" w:hAnsi="Arial"/>
                <w:sz w:val="17"/>
                <w:szCs w:val="17"/>
                <w:color w:val="auto"/>
              </w:rPr>
              <w:t>Balance, December 31, 2003</w:t>
            </w:r>
          </w:p>
        </w:tc>
        <w:tc>
          <w:tcPr>
            <w:tcW w:w="7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41,500,000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840"/>
              <w:spacing w:after="0"/>
              <w:rPr>
                <w:sz w:val="20"/>
                <w:szCs w:val="20"/>
                <w:color w:val="auto"/>
              </w:rPr>
            </w:pPr>
            <w:r>
              <w:rPr>
                <w:rFonts w:ascii="Arial" w:cs="Arial" w:eastAsia="Arial" w:hAnsi="Arial"/>
                <w:sz w:val="17"/>
                <w:szCs w:val="17"/>
                <w:color w:val="auto"/>
              </w:rPr>
              <w:t>Issuance of loans</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6,153,000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Deductions during period:</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840"/>
              <w:spacing w:after="0"/>
              <w:rPr>
                <w:sz w:val="20"/>
                <w:szCs w:val="20"/>
                <w:color w:val="auto"/>
              </w:rPr>
            </w:pPr>
            <w:r>
              <w:rPr>
                <w:rFonts w:ascii="Arial" w:cs="Arial" w:eastAsia="Arial" w:hAnsi="Arial"/>
                <w:sz w:val="17"/>
                <w:szCs w:val="17"/>
                <w:color w:val="auto"/>
                <w:w w:val="95"/>
              </w:rPr>
              <w:t>Collection and satisfaction of loans</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(223,000)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Allowance for collectibility</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(4,521,000)</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7"/>
                <w:szCs w:val="17"/>
                <w:color w:val="auto"/>
              </w:rPr>
              <w:t>Balance, December 31, 2004</w:t>
            </w: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80" w:type="dxa"/>
            <w:vAlign w:val="bottom"/>
            <w:gridSpan w:val="2"/>
            <w:vMerge w:val="continue"/>
          </w:tcPr>
          <w:p>
            <w:pPr>
              <w:spacing w:after="0"/>
              <w:rPr>
                <w:sz w:val="19"/>
                <w:szCs w:val="19"/>
                <w:color w:val="auto"/>
              </w:rPr>
            </w:pPr>
          </w:p>
        </w:tc>
        <w:tc>
          <w:tcPr>
            <w:tcW w:w="7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42,909,000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840"/>
              <w:spacing w:after="0"/>
              <w:rPr>
                <w:sz w:val="20"/>
                <w:szCs w:val="20"/>
                <w:color w:val="auto"/>
              </w:rPr>
            </w:pPr>
            <w:r>
              <w:rPr>
                <w:rFonts w:ascii="Arial" w:cs="Arial" w:eastAsia="Arial" w:hAnsi="Arial"/>
                <w:sz w:val="17"/>
                <w:szCs w:val="17"/>
                <w:color w:val="auto"/>
              </w:rPr>
              <w:t>Issuance of loans</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4,974,000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Deductions during period:</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840"/>
              <w:spacing w:after="0"/>
              <w:rPr>
                <w:sz w:val="20"/>
                <w:szCs w:val="20"/>
                <w:color w:val="auto"/>
              </w:rPr>
            </w:pPr>
            <w:r>
              <w:rPr>
                <w:rFonts w:ascii="Arial" w:cs="Arial" w:eastAsia="Arial" w:hAnsi="Arial"/>
                <w:sz w:val="17"/>
                <w:szCs w:val="17"/>
                <w:color w:val="auto"/>
                <w:w w:val="95"/>
              </w:rPr>
              <w:t>Collection and satisfaction of loans</w:t>
            </w: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(6,871,000)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Allowance for collectibility</w:t>
            </w:r>
          </w:p>
        </w:tc>
        <w:tc>
          <w:tcPr>
            <w:tcW w:w="7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(481,000)</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7"/>
                <w:szCs w:val="17"/>
                <w:color w:val="auto"/>
              </w:rPr>
              <w:t>Balance, December 31, 2005</w:t>
            </w: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80" w:type="dxa"/>
            <w:vAlign w:val="bottom"/>
            <w:gridSpan w:val="2"/>
            <w:vMerge w:val="continue"/>
          </w:tcPr>
          <w:p>
            <w:pPr>
              <w:spacing w:after="0"/>
              <w:rPr>
                <w:sz w:val="19"/>
                <w:szCs w:val="19"/>
                <w:color w:val="auto"/>
              </w:rPr>
            </w:pPr>
          </w:p>
        </w:tc>
        <w:tc>
          <w:tcPr>
            <w:tcW w:w="70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40,531,000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140" w:type="dxa"/>
            <w:vAlign w:val="bottom"/>
            <w:gridSpan w:val="2"/>
          </w:tcPr>
          <w:p>
            <w:pPr>
              <w:jc w:val="center"/>
              <w:ind w:right="2374"/>
              <w:spacing w:after="0"/>
              <w:rPr>
                <w:sz w:val="20"/>
                <w:szCs w:val="20"/>
                <w:color w:val="auto"/>
              </w:rPr>
            </w:pPr>
            <w:r>
              <w:rPr>
                <w:rFonts w:ascii="Arial" w:cs="Arial" w:eastAsia="Arial" w:hAnsi="Arial"/>
                <w:sz w:val="17"/>
                <w:szCs w:val="17"/>
                <w:color w:val="auto"/>
                <w:w w:val="91"/>
              </w:rPr>
              <w:t>F-39</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1" w:right="239" w:bottom="1440" w:gutter="0" w:footer="0" w:header="0"/>
        </w:sect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bookmarkStart w:id="98" w:name="page99"/>
    <w:bookmarkEnd w:id="98"/>
    <w:tbl>
      <w:tblPr>
        <w:tblLayout w:type="fixed"/>
        <w:tblInd w:w="0" w:type="dxa"/>
        <w:tblCellMar>
          <w:top w:w="0" w:type="dxa"/>
          <w:left w:w="0" w:type="dxa"/>
          <w:bottom w:w="0" w:type="dxa"/>
          <w:right w:w="0" w:type="dxa"/>
        </w:tblCellMar>
      </w:tblPr>
      <w:tr>
        <w:trPr>
          <w:trHeight w:val="226"/>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ind w:left="39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34"/>
        </w:trPr>
        <w:tc>
          <w:tcPr>
            <w:tcW w:w="110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rPr>
              <w:t>Exhibit</w:t>
            </w:r>
          </w:p>
        </w:tc>
        <w:tc>
          <w:tcPr>
            <w:tcW w:w="1032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6"/>
        </w:trPr>
        <w:tc>
          <w:tcPr>
            <w:tcW w:w="110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95"/>
              </w:rPr>
              <w:t>No.</w:t>
            </w:r>
          </w:p>
        </w:tc>
        <w:tc>
          <w:tcPr>
            <w:tcW w:w="10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3.1</w:t>
            </w:r>
          </w:p>
        </w:tc>
        <w:tc>
          <w:tcPr>
            <w:tcW w:w="660" w:type="dxa"/>
            <w:vAlign w:val="bottom"/>
          </w:tcPr>
          <w:p>
            <w:pPr>
              <w:spacing w:after="0"/>
              <w:rPr>
                <w:sz w:val="16"/>
                <w:szCs w:val="16"/>
                <w:color w:val="auto"/>
              </w:rPr>
            </w:pPr>
          </w:p>
        </w:tc>
        <w:tc>
          <w:tcPr>
            <w:tcW w:w="10320" w:type="dxa"/>
            <w:vAlign w:val="bottom"/>
          </w:tcPr>
          <w:p>
            <w:pPr>
              <w:spacing w:after="0" w:line="191" w:lineRule="exact"/>
              <w:rPr>
                <w:sz w:val="20"/>
                <w:szCs w:val="20"/>
                <w:color w:val="auto"/>
              </w:rPr>
            </w:pPr>
            <w:r>
              <w:rPr>
                <w:rFonts w:ascii="Arial" w:cs="Arial" w:eastAsia="Arial" w:hAnsi="Arial"/>
                <w:sz w:val="17"/>
                <w:szCs w:val="17"/>
                <w:color w:val="auto"/>
                <w:w w:val="95"/>
              </w:rPr>
              <w:t>Declaration of Trust of Federal Realty Investment Trust dated May 5, 1999 as amended by the Articles of Amendment of Declaration of Trust of</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4"/>
              </w:rPr>
              <w:t>Federal Realty Investment Trust dated May 6, 2004, as corrected by the Certificate of Correction of Articles of Amendment of Declaration of Trust</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3"/>
              </w:rPr>
              <w:t>of Federal Realty Investment Trust dated June 17, 2004 (previously filed as Exhibit 3.1 to the Trust’s Quarterly Report on Form 10-Q for the quarter</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ended June 30, 2005 (File No. 1-07533) (the “2005 2Q Form 10-Q”)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3.2</w:t>
            </w:r>
          </w:p>
        </w:tc>
        <w:tc>
          <w:tcPr>
            <w:tcW w:w="10320" w:type="dxa"/>
            <w:vAlign w:val="bottom"/>
          </w:tcPr>
          <w:p>
            <w:pPr>
              <w:spacing w:after="0"/>
              <w:rPr>
                <w:sz w:val="20"/>
                <w:szCs w:val="20"/>
                <w:color w:val="auto"/>
              </w:rPr>
            </w:pPr>
            <w:r>
              <w:rPr>
                <w:rFonts w:ascii="Arial" w:cs="Arial" w:eastAsia="Arial" w:hAnsi="Arial"/>
                <w:sz w:val="17"/>
                <w:szCs w:val="17"/>
                <w:color w:val="auto"/>
                <w:w w:val="96"/>
              </w:rPr>
              <w:t>Amended and Restated Bylaws of Federal Realty Investment Trust dated February 12, 2003, as amended October 29, 2003, May 5, 2004 and</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February 17, 2006 (filed herewith)</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4.1</w:t>
            </w:r>
          </w:p>
        </w:tc>
        <w:tc>
          <w:tcPr>
            <w:tcW w:w="10320" w:type="dxa"/>
            <w:vAlign w:val="bottom"/>
          </w:tcPr>
          <w:p>
            <w:pPr>
              <w:spacing w:after="0"/>
              <w:rPr>
                <w:sz w:val="20"/>
                <w:szCs w:val="20"/>
                <w:color w:val="auto"/>
              </w:rPr>
            </w:pPr>
            <w:r>
              <w:rPr>
                <w:rFonts w:ascii="Arial" w:cs="Arial" w:eastAsia="Arial" w:hAnsi="Arial"/>
                <w:sz w:val="17"/>
                <w:szCs w:val="17"/>
                <w:color w:val="auto"/>
                <w:w w:val="94"/>
              </w:rPr>
              <w:t>Specimen Common Share certificate (previously filed as Exhibit 4(i) to the Trust’s Annual Report on Form 10-K for the year ended December 31,</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1999 (File No. 1-07533) (the “1999 Form 10-K”)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4.2</w:t>
            </w:r>
          </w:p>
        </w:tc>
        <w:tc>
          <w:tcPr>
            <w:tcW w:w="10320" w:type="dxa"/>
            <w:vAlign w:val="bottom"/>
          </w:tcPr>
          <w:p>
            <w:pPr>
              <w:spacing w:after="0"/>
              <w:rPr>
                <w:sz w:val="20"/>
                <w:szCs w:val="20"/>
                <w:color w:val="auto"/>
              </w:rPr>
            </w:pPr>
            <w:r>
              <w:rPr>
                <w:rFonts w:ascii="Arial" w:cs="Arial" w:eastAsia="Arial" w:hAnsi="Arial"/>
                <w:sz w:val="17"/>
                <w:szCs w:val="17"/>
                <w:color w:val="auto"/>
                <w:w w:val="96"/>
              </w:rPr>
              <w:t xml:space="preserve">Articles Supplementary relating to the 8 </w:t>
            </w:r>
            <w:r>
              <w:rPr>
                <w:rFonts w:ascii="Arial" w:cs="Arial" w:eastAsia="Arial" w:hAnsi="Arial"/>
                <w:sz w:val="22"/>
                <w:szCs w:val="22"/>
                <w:color w:val="auto"/>
                <w:w w:val="96"/>
                <w:vertAlign w:val="superscript"/>
              </w:rPr>
              <w:t>1</w:t>
            </w:r>
            <w:r>
              <w:rPr>
                <w:rFonts w:ascii="Arial" w:cs="Arial" w:eastAsia="Arial" w:hAnsi="Arial"/>
                <w:sz w:val="17"/>
                <w:szCs w:val="17"/>
                <w:color w:val="auto"/>
                <w:w w:val="96"/>
              </w:rPr>
              <w:t>/</w:t>
            </w:r>
            <w:r>
              <w:rPr>
                <w:rFonts w:ascii="Arial" w:cs="Arial" w:eastAsia="Arial" w:hAnsi="Arial"/>
                <w:sz w:val="13"/>
                <w:szCs w:val="13"/>
                <w:color w:val="auto"/>
                <w:w w:val="96"/>
              </w:rPr>
              <w:t>2</w:t>
            </w:r>
            <w:r>
              <w:rPr>
                <w:rFonts w:ascii="Arial" w:cs="Arial" w:eastAsia="Arial" w:hAnsi="Arial"/>
                <w:sz w:val="17"/>
                <w:szCs w:val="17"/>
                <w:color w:val="auto"/>
                <w:w w:val="96"/>
              </w:rPr>
              <w:t>% Series B Cumulative Redeemable Preferred Shares (previously filed as Exhibit 4.1 to the Trust’s</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4"/>
              </w:rPr>
              <w:t>Registration Statement on Form 8-A filed on November 26, 2001 (File No. 1-07533) (the “2001 Form 8-A”)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4.3</w:t>
            </w:r>
          </w:p>
        </w:tc>
        <w:tc>
          <w:tcPr>
            <w:tcW w:w="10320" w:type="dxa"/>
            <w:vAlign w:val="bottom"/>
          </w:tcPr>
          <w:p>
            <w:pPr>
              <w:spacing w:after="0"/>
              <w:rPr>
                <w:sz w:val="20"/>
                <w:szCs w:val="20"/>
                <w:color w:val="auto"/>
              </w:rPr>
            </w:pPr>
            <w:r>
              <w:rPr>
                <w:rFonts w:ascii="Arial" w:cs="Arial" w:eastAsia="Arial" w:hAnsi="Arial"/>
                <w:sz w:val="17"/>
                <w:szCs w:val="17"/>
                <w:color w:val="auto"/>
              </w:rPr>
              <w:t xml:space="preserve">Specimen 8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Series B Cumulative Redeemable Preferred Share certificate (previously filed as Exhibit 4.2 to the 2001 Form 8-A and</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4.4</w:t>
            </w:r>
          </w:p>
        </w:tc>
        <w:tc>
          <w:tcPr>
            <w:tcW w:w="10320" w:type="dxa"/>
            <w:vAlign w:val="bottom"/>
          </w:tcPr>
          <w:p>
            <w:pPr>
              <w:spacing w:after="0"/>
              <w:rPr>
                <w:sz w:val="20"/>
                <w:szCs w:val="20"/>
                <w:color w:val="auto"/>
              </w:rPr>
            </w:pPr>
            <w:r>
              <w:rPr>
                <w:rFonts w:ascii="Arial" w:cs="Arial" w:eastAsia="Arial" w:hAnsi="Arial"/>
                <w:sz w:val="17"/>
                <w:szCs w:val="17"/>
                <w:color w:val="auto"/>
                <w:w w:val="94"/>
              </w:rPr>
              <w:t>Amended and Restated Rights Agreement, dated March 11, 1999, between the Trust and American Stock Transfer &amp; Trust Company (previously</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8"/>
              </w:rPr>
              <w:t>filed as Exhibit 1 to the Trust’s Registration Statement on Form 8-A/A filed on March 11, 1999 (File No. 1-07533) and incorporated herein by</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4.5</w:t>
            </w:r>
          </w:p>
        </w:tc>
        <w:tc>
          <w:tcPr>
            <w:tcW w:w="10320" w:type="dxa"/>
            <w:vAlign w:val="bottom"/>
          </w:tcPr>
          <w:p>
            <w:pPr>
              <w:spacing w:after="0"/>
              <w:rPr>
                <w:sz w:val="20"/>
                <w:szCs w:val="20"/>
                <w:color w:val="auto"/>
              </w:rPr>
            </w:pPr>
            <w:r>
              <w:rPr>
                <w:rFonts w:ascii="Arial" w:cs="Arial" w:eastAsia="Arial" w:hAnsi="Arial"/>
                <w:sz w:val="17"/>
                <w:szCs w:val="17"/>
                <w:color w:val="auto"/>
                <w:w w:val="93"/>
              </w:rPr>
              <w:t>First Amendment to Amended and Restated Rights Agreement, dated as of November   , 2003, between the Trust and American Stock Transfer &amp;</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7"/>
              </w:rPr>
              <w:t>Trust Company (previously filed as Exhibit 4.5 to the Trust’s Annual Report on Form 10-K for the year ended December 31, 2003 (File No. 1-</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07533)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4.6</w:t>
            </w:r>
          </w:p>
        </w:tc>
        <w:tc>
          <w:tcPr>
            <w:tcW w:w="10320" w:type="dxa"/>
            <w:vAlign w:val="bottom"/>
          </w:tcPr>
          <w:p>
            <w:pPr>
              <w:spacing w:after="0"/>
              <w:rPr>
                <w:sz w:val="20"/>
                <w:szCs w:val="20"/>
                <w:color w:val="auto"/>
              </w:rPr>
            </w:pPr>
            <w:r>
              <w:rPr>
                <w:rFonts w:ascii="Arial" w:cs="Arial" w:eastAsia="Arial" w:hAnsi="Arial"/>
                <w:sz w:val="17"/>
                <w:szCs w:val="17"/>
                <w:color w:val="auto"/>
                <w:w w:val="94"/>
              </w:rPr>
              <w:t xml:space="preserve">Indenture dated December 13, 1993 related to the Trust’s 7.48% Debentures due August 15, 2026; 6 </w:t>
            </w:r>
            <w:r>
              <w:rPr>
                <w:rFonts w:ascii="Arial" w:cs="Arial" w:eastAsia="Arial" w:hAnsi="Arial"/>
                <w:sz w:val="22"/>
                <w:szCs w:val="22"/>
                <w:color w:val="auto"/>
                <w:w w:val="94"/>
                <w:vertAlign w:val="superscript"/>
              </w:rPr>
              <w:t>5</w:t>
            </w:r>
            <w:r>
              <w:rPr>
                <w:rFonts w:ascii="Arial" w:cs="Arial" w:eastAsia="Arial" w:hAnsi="Arial"/>
                <w:sz w:val="17"/>
                <w:szCs w:val="17"/>
                <w:color w:val="auto"/>
                <w:w w:val="94"/>
              </w:rPr>
              <w:t>/</w:t>
            </w:r>
            <w:r>
              <w:rPr>
                <w:rFonts w:ascii="Arial" w:cs="Arial" w:eastAsia="Arial" w:hAnsi="Arial"/>
                <w:sz w:val="13"/>
                <w:szCs w:val="13"/>
                <w:color w:val="auto"/>
                <w:w w:val="94"/>
              </w:rPr>
              <w:t>8</w:t>
            </w:r>
            <w:r>
              <w:rPr>
                <w:rFonts w:ascii="Arial" w:cs="Arial" w:eastAsia="Arial" w:hAnsi="Arial"/>
                <w:sz w:val="17"/>
                <w:szCs w:val="17"/>
                <w:color w:val="auto"/>
                <w:w w:val="94"/>
              </w:rPr>
              <w:t>% Notes due 2005; 6.82% Medium Term</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9"/>
              </w:rPr>
              <w:t>Notes due August 1, 2027; and 6.99% Medium Term Notes due March 10, 2006 (previously filed as Exhibit 4(a) to the Trust’s Registration</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2"/>
              </w:rPr>
              <w:t>Statement on Form S-3 (File No. 33-51029), and amended on Form S-3 (File No. 33-63687), filed on December 13, 1993 and incorporated herein by</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4.7</w:t>
            </w:r>
          </w:p>
        </w:tc>
        <w:tc>
          <w:tcPr>
            <w:tcW w:w="10320" w:type="dxa"/>
            <w:vAlign w:val="bottom"/>
          </w:tcPr>
          <w:p>
            <w:pPr>
              <w:spacing w:after="0"/>
              <w:rPr>
                <w:sz w:val="20"/>
                <w:szCs w:val="20"/>
                <w:color w:val="auto"/>
              </w:rPr>
            </w:pPr>
            <w:r>
              <w:rPr>
                <w:rFonts w:ascii="Arial" w:cs="Arial" w:eastAsia="Arial" w:hAnsi="Arial"/>
                <w:sz w:val="17"/>
                <w:szCs w:val="17"/>
                <w:color w:val="auto"/>
                <w:w w:val="92"/>
              </w:rPr>
              <w:t xml:space="preserve">Indenture dated September 1, 1998 related to the Trust’s 8.75% Notes due December 1, 2009 and the Trust’s 6 </w:t>
            </w:r>
            <w:r>
              <w:rPr>
                <w:rFonts w:ascii="Arial" w:cs="Arial" w:eastAsia="Arial" w:hAnsi="Arial"/>
                <w:sz w:val="22"/>
                <w:szCs w:val="22"/>
                <w:color w:val="auto"/>
                <w:w w:val="92"/>
                <w:vertAlign w:val="superscript"/>
              </w:rPr>
              <w:t>1</w:t>
            </w:r>
            <w:r>
              <w:rPr>
                <w:rFonts w:ascii="Arial" w:cs="Arial" w:eastAsia="Arial" w:hAnsi="Arial"/>
                <w:sz w:val="17"/>
                <w:szCs w:val="17"/>
                <w:color w:val="auto"/>
                <w:w w:val="92"/>
              </w:rPr>
              <w:t>/</w:t>
            </w:r>
            <w:r>
              <w:rPr>
                <w:rFonts w:ascii="Arial" w:cs="Arial" w:eastAsia="Arial" w:hAnsi="Arial"/>
                <w:sz w:val="13"/>
                <w:szCs w:val="13"/>
                <w:color w:val="auto"/>
                <w:w w:val="92"/>
              </w:rPr>
              <w:t>8</w:t>
            </w:r>
            <w:r>
              <w:rPr>
                <w:rFonts w:ascii="Arial" w:cs="Arial" w:eastAsia="Arial" w:hAnsi="Arial"/>
                <w:sz w:val="17"/>
                <w:szCs w:val="17"/>
                <w:color w:val="auto"/>
                <w:w w:val="92"/>
              </w:rPr>
              <w:t>% Notes due November 15, 2007</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3"/>
              </w:rPr>
              <w:t>and the Trust’s 4.50% Notes due 2011 (previously filed as Exhibit 4(a) to the Trust’s Registration Statement on Form S-3 (File No. 333-63619) filed</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on September 17, 1998 and incorporated herein by reference)</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4.8</w:t>
            </w:r>
          </w:p>
        </w:tc>
        <w:tc>
          <w:tcPr>
            <w:tcW w:w="10320" w:type="dxa"/>
            <w:vAlign w:val="bottom"/>
          </w:tcPr>
          <w:p>
            <w:pPr>
              <w:spacing w:after="0"/>
              <w:rPr>
                <w:sz w:val="20"/>
                <w:szCs w:val="20"/>
                <w:color w:val="auto"/>
              </w:rPr>
            </w:pPr>
            <w:r>
              <w:rPr>
                <w:rFonts w:ascii="Arial" w:cs="Arial" w:eastAsia="Arial" w:hAnsi="Arial"/>
                <w:sz w:val="17"/>
                <w:szCs w:val="17"/>
                <w:color w:val="auto"/>
                <w:w w:val="92"/>
              </w:rPr>
              <w:t>Pursuant to Regulation S-K Item 601(b)(4)(iii), the Trust by this filing agrees, upon request, to furnish to the Securities and Exchange Commission a</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copy of other instruments defining the rights of holders of long-term debt of the Trust</w:t>
            </w:r>
          </w:p>
        </w:tc>
        <w:tc>
          <w:tcPr>
            <w:tcW w:w="0" w:type="dxa"/>
            <w:vAlign w:val="bottom"/>
          </w:tcPr>
          <w:p>
            <w:pPr>
              <w:spacing w:after="0"/>
              <w:rPr>
                <w:sz w:val="1"/>
                <w:szCs w:val="1"/>
                <w:color w:val="auto"/>
              </w:rPr>
            </w:pPr>
          </w:p>
        </w:tc>
      </w:tr>
      <w:tr>
        <w:trPr>
          <w:trHeight w:val="312"/>
        </w:trPr>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rPr>
              <w:t>10.1</w:t>
            </w:r>
          </w:p>
        </w:tc>
        <w:tc>
          <w:tcPr>
            <w:tcW w:w="10320" w:type="dxa"/>
            <w:vAlign w:val="bottom"/>
          </w:tcPr>
          <w:p>
            <w:pPr>
              <w:spacing w:after="0"/>
              <w:rPr>
                <w:sz w:val="20"/>
                <w:szCs w:val="20"/>
                <w:color w:val="auto"/>
              </w:rPr>
            </w:pPr>
            <w:r>
              <w:rPr>
                <w:rFonts w:ascii="Arial" w:cs="Arial" w:eastAsia="Arial" w:hAnsi="Arial"/>
                <w:sz w:val="17"/>
                <w:szCs w:val="17"/>
                <w:color w:val="auto"/>
                <w:w w:val="93"/>
              </w:rPr>
              <w:t>Amended and Restated 1983 Stock Option Plan and 1985 Non-Qualified Stock Option Plan of Federal Realty Investment Trust (previously filed as</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7"/>
                <w:szCs w:val="17"/>
                <w:color w:val="auto"/>
                <w:w w:val="96"/>
              </w:rPr>
              <w:t>exhibits to the Trust’s Registration Statement in Form S-8 (File No. 33-55111), filed on August 17, 1994 and incorporated herein by reference)</w:t>
            </w:r>
          </w:p>
        </w:tc>
        <w:tc>
          <w:tcPr>
            <w:tcW w:w="0" w:type="dxa"/>
            <w:vAlign w:val="bottom"/>
          </w:tcPr>
          <w:p>
            <w:pPr>
              <w:spacing w:after="0"/>
              <w:rPr>
                <w:sz w:val="1"/>
                <w:szCs w:val="1"/>
                <w:color w:val="auto"/>
              </w:rPr>
            </w:pPr>
          </w:p>
        </w:tc>
      </w:tr>
      <w:tr>
        <w:trPr>
          <w:trHeight w:val="359"/>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320" w:type="dxa"/>
            <w:vAlign w:val="bottom"/>
          </w:tcPr>
          <w:p>
            <w:pPr>
              <w:ind w:left="45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1" w:right="239" w:bottom="1440" w:gutter="0" w:footer="0" w:header="0"/>
        </w:sect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bookmarkStart w:id="99" w:name="page100"/>
    <w:bookmarkEnd w:id="99"/>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EXHIBIT INDEX</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00"/>
        <w:spacing w:after="0"/>
        <w:tabs>
          <w:tab w:leader="none" w:pos="9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-1905</wp:posOffset>
            </wp:positionV>
            <wp:extent cx="72485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74" w:lineRule="exact"/>
        <w:rPr>
          <w:sz w:val="20"/>
          <w:szCs w:val="20"/>
          <w:color w:val="auto"/>
        </w:rPr>
      </w:pPr>
    </w:p>
    <w:p>
      <w:pPr>
        <w:ind w:left="1000" w:right="320" w:hanging="860"/>
        <w:spacing w:after="0" w:line="291" w:lineRule="auto"/>
        <w:tabs>
          <w:tab w:leader="none" w:pos="9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1985 Non-Qualified Stock Option Plan (previously filed as a portion of Exhibit 10 to the Trust’s Annual Report on Form 10-K for the year ended December 31, 1985 (File No. 1-07533) and incorporated herein by reference)</w:t>
      </w:r>
    </w:p>
    <w:p>
      <w:pPr>
        <w:spacing w:after="0" w:line="32"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1991 Share Purchase Plan (previously filed as a portion of Exhibit 10 to the Trust’s Annual Report on Form 10-K for the year ended December 31,</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1990 (File No. 1-07533) and incorporated herein by reference)</w:t>
      </w:r>
    </w:p>
    <w:p>
      <w:pPr>
        <w:spacing w:after="0" w:line="90" w:lineRule="exact"/>
        <w:rPr>
          <w:sz w:val="20"/>
          <w:szCs w:val="20"/>
          <w:color w:val="auto"/>
        </w:rPr>
      </w:pPr>
    </w:p>
    <w:p>
      <w:pPr>
        <w:ind w:left="1000" w:right="240" w:hanging="860"/>
        <w:spacing w:after="0" w:line="276" w:lineRule="auto"/>
        <w:tabs>
          <w:tab w:leader="none" w:pos="9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Amended and Restated 1993 Long-Term Incentive Plan, as amended on October 6, 1997 and further amended on May 6, 1998 (previously filed as Exhibit 10.26 to the Trust’s Annual Report on Form 10-K for the year ended December 31, 1998 (File No. 1-07533) and incorporated herein by reference)</w:t>
      </w:r>
    </w:p>
    <w:p>
      <w:pPr>
        <w:spacing w:after="0" w:line="44" w:lineRule="exact"/>
        <w:rPr>
          <w:sz w:val="20"/>
          <w:szCs w:val="20"/>
          <w:color w:val="auto"/>
        </w:rPr>
      </w:pPr>
    </w:p>
    <w:p>
      <w:pPr>
        <w:ind w:left="1000" w:right="140" w:hanging="860"/>
        <w:spacing w:after="0" w:line="324" w:lineRule="auto"/>
        <w:tabs>
          <w:tab w:leader="none" w:pos="9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6"/>
          <w:szCs w:val="16"/>
          <w:color w:val="auto"/>
        </w:rPr>
        <w:t>Fiscal Agency Agreement dated as of October 28, 1993 between the Trust and Citibank, N.A. (previously filed as an exhibit to the Trust’s Quarterly Report on Form 10-Q for the quarter ended September 30, 1993 (File No. 1-07533) and incorporated herein by reference)</w:t>
      </w:r>
    </w:p>
    <w:p>
      <w:pPr>
        <w:spacing w:after="0" w:line="9" w:lineRule="exact"/>
        <w:rPr>
          <w:sz w:val="20"/>
          <w:szCs w:val="20"/>
          <w:color w:val="auto"/>
        </w:rPr>
      </w:pPr>
    </w:p>
    <w:p>
      <w:pPr>
        <w:ind w:left="1000" w:right="140" w:hanging="860"/>
        <w:spacing w:after="0" w:line="324" w:lineRule="auto"/>
        <w:tabs>
          <w:tab w:leader="none" w:pos="98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6"/>
          <w:szCs w:val="16"/>
          <w:color w:val="auto"/>
        </w:rPr>
        <w:t>Form of Severance Agreement between the Trust and Certain of its Officers dated December 31, 1994 (previously filed as a portion of Exhibit 10 to the Trust’s Annual Report on Form 10-K for the year ended December 31, 1994 (File No. 1-07533) and incorporated herein by reference)</w:t>
      </w:r>
    </w:p>
    <w:p>
      <w:pPr>
        <w:spacing w:after="0" w:line="9" w:lineRule="exact"/>
        <w:rPr>
          <w:sz w:val="20"/>
          <w:szCs w:val="20"/>
          <w:color w:val="auto"/>
        </w:rPr>
      </w:pPr>
    </w:p>
    <w:p>
      <w:pPr>
        <w:ind w:left="1000" w:right="580" w:hanging="860"/>
        <w:spacing w:after="0" w:line="291" w:lineRule="auto"/>
        <w:tabs>
          <w:tab w:leader="none" w:pos="98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 Performance Share Award Agreement dated as of February 9, 2000 between the Trust and Donald C. Wood (previously filed as a portion of Exhibit 10 to the 1999 Form 10-K and incorporated herein by reference)</w:t>
      </w:r>
    </w:p>
    <w:p>
      <w:pPr>
        <w:spacing w:after="0" w:line="32" w:lineRule="exact"/>
        <w:rPr>
          <w:sz w:val="20"/>
          <w:szCs w:val="20"/>
          <w:color w:val="auto"/>
        </w:rPr>
      </w:pPr>
    </w:p>
    <w:p>
      <w:pPr>
        <w:ind w:left="1000" w:hanging="860"/>
        <w:spacing w:after="0" w:line="291" w:lineRule="auto"/>
        <w:tabs>
          <w:tab w:leader="none" w:pos="98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 Restricted Share Award Agreement dated as of February 9, 2000 between the Trust and Donald C. Wood (previously filed as a portion of Exhibit 10 to the 1999 Form 10-K and incorporated herein by reference)</w:t>
      </w:r>
    </w:p>
    <w:p>
      <w:pPr>
        <w:spacing w:after="0" w:line="32" w:lineRule="exact"/>
        <w:rPr>
          <w:sz w:val="20"/>
          <w:szCs w:val="20"/>
          <w:color w:val="auto"/>
        </w:rPr>
      </w:pPr>
    </w:p>
    <w:p>
      <w:pPr>
        <w:jc w:val="both"/>
        <w:ind w:left="1000" w:right="260" w:hanging="860"/>
        <w:spacing w:after="0" w:line="276" w:lineRule="auto"/>
        <w:tabs>
          <w:tab w:leader="none" w:pos="98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 Severance Agreement between the Trust and Donald C. Wood dated February 22, 1999 (previously filed as a portion of Exhibit 10 to the Trust’s Quarterly Report on Form 10-Q for the quarter ended March 31, 1999 (File No. 1-07533) (the “1999 1Q Form 10-Q”) and incorporated herein by reference)</w:t>
      </w:r>
    </w:p>
    <w:p>
      <w:pPr>
        <w:spacing w:after="0" w:line="44" w:lineRule="exact"/>
        <w:rPr>
          <w:sz w:val="20"/>
          <w:szCs w:val="20"/>
          <w:color w:val="auto"/>
        </w:rPr>
      </w:pPr>
    </w:p>
    <w:p>
      <w:pPr>
        <w:ind w:left="1000" w:right="400" w:hanging="947"/>
        <w:spacing w:after="0" w:line="291" w:lineRule="auto"/>
        <w:tabs>
          <w:tab w:leader="none" w:pos="98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7"/>
          <w:szCs w:val="17"/>
          <w:color w:val="auto"/>
        </w:rPr>
        <w:t>* Executive Agreement between Federal Realty Investment Trust and Donald C. Wood dated February 22, 1999 (previously filed as a portion of Exhibit 10 to the 1999 1Q Form 10-Q and incorporated herein by reference)</w:t>
      </w:r>
    </w:p>
    <w:p>
      <w:pPr>
        <w:spacing w:after="0" w:line="32" w:lineRule="exact"/>
        <w:rPr>
          <w:sz w:val="20"/>
          <w:szCs w:val="20"/>
          <w:color w:val="auto"/>
        </w:rPr>
      </w:pPr>
    </w:p>
    <w:p>
      <w:pPr>
        <w:ind w:left="1000" w:right="160" w:hanging="941"/>
        <w:spacing w:after="0" w:line="276" w:lineRule="auto"/>
        <w:tabs>
          <w:tab w:leader="none" w:pos="98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 Amendment to Executive Agreement between Federal Realty Investment Trust and Donald C. Wood dated February 16, 2005 (previously filed as Exhibit 10.12 to the Trust’s Annual Report on Form 10-K for the year ended December 31, 2004 (File No. 1-07533) (the “2004 Form 10-K”) and incorporated herein by reference)</w:t>
      </w:r>
    </w:p>
    <w:p>
      <w:pPr>
        <w:spacing w:after="0" w:line="44" w:lineRule="exact"/>
        <w:rPr>
          <w:sz w:val="20"/>
          <w:szCs w:val="20"/>
          <w:color w:val="auto"/>
        </w:rPr>
      </w:pPr>
    </w:p>
    <w:p>
      <w:pPr>
        <w:ind w:left="1000" w:right="180" w:hanging="947"/>
        <w:spacing w:after="0" w:line="276" w:lineRule="auto"/>
        <w:tabs>
          <w:tab w:leader="none" w:pos="98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 Amendment to Restricted Share Award Agreement dated December 8, 2000 between the Trust and Donald C. Wood (previously filed as a portion of Exhibit 10 to the Trust’s Annual Report on Form 10-K for the year ended December 31, 2000 (File No. 1-07533) (the “2000 Form 10-K”) and incorporated herein by reference)</w:t>
      </w:r>
    </w:p>
    <w:p>
      <w:pPr>
        <w:spacing w:after="0" w:line="44" w:lineRule="exact"/>
        <w:rPr>
          <w:sz w:val="20"/>
          <w:szCs w:val="20"/>
          <w:color w:val="auto"/>
        </w:rPr>
      </w:pPr>
    </w:p>
    <w:p>
      <w:pPr>
        <w:ind w:left="1000" w:right="20" w:hanging="947"/>
        <w:spacing w:after="0" w:line="291" w:lineRule="auto"/>
        <w:tabs>
          <w:tab w:leader="none" w:pos="98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 Split Dollar Life Insurance Agreement dated August 12, 1998 between the Trust and Donald C. Wood (previously filed as a portion of Exhibit 10 to the 2000 Form 10-K and incorporated herein by reference)</w:t>
      </w:r>
    </w:p>
    <w:p>
      <w:pPr>
        <w:spacing w:after="0" w:line="32" w:lineRule="exact"/>
        <w:rPr>
          <w:sz w:val="20"/>
          <w:szCs w:val="20"/>
          <w:color w:val="auto"/>
        </w:rPr>
      </w:pPr>
    </w:p>
    <w:p>
      <w:pPr>
        <w:ind w:left="1000" w:right="540" w:hanging="947"/>
        <w:spacing w:after="0" w:line="276" w:lineRule="auto"/>
        <w:tabs>
          <w:tab w:leader="none" w:pos="98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 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27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EXHIBIT INDEX</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00"/>
        <w:spacing w:after="0"/>
        <w:tabs>
          <w:tab w:leader="none" w:pos="9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-1905</wp:posOffset>
            </wp:positionV>
            <wp:extent cx="72485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74" w:lineRule="exact"/>
        <w:rPr>
          <w:sz w:val="20"/>
          <w:szCs w:val="20"/>
          <w:color w:val="auto"/>
        </w:rPr>
      </w:pPr>
    </w:p>
    <w:p>
      <w:pPr>
        <w:ind w:left="1000" w:right="600" w:hanging="947"/>
        <w:spacing w:after="0" w:line="291" w:lineRule="auto"/>
        <w:tabs>
          <w:tab w:leader="none" w:pos="98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7"/>
          <w:szCs w:val="17"/>
          <w:color w:val="auto"/>
        </w:rPr>
        <w:t>* Severance Agreement between the Trust and Jeffrey S. Berkes dated March 1, 2000 (previously filed as a portion of Exhibit 10 to the 2001 Form 10-K and incorporated herein by reference)</w:t>
      </w:r>
    </w:p>
    <w:p>
      <w:pPr>
        <w:spacing w:after="0" w:line="32" w:lineRule="exact"/>
        <w:rPr>
          <w:sz w:val="20"/>
          <w:szCs w:val="20"/>
          <w:color w:val="auto"/>
        </w:rPr>
      </w:pPr>
    </w:p>
    <w:p>
      <w:pPr>
        <w:ind w:left="1000" w:right="480" w:hanging="947"/>
        <w:spacing w:after="0" w:line="291" w:lineRule="auto"/>
        <w:tabs>
          <w:tab w:leader="none" w:pos="98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 Amendment to Severance Agreement between Federal Realty Investment Trust and Jeff Berkes dated February 16, 2005 (previously filed as Exhibit 10.17 to the 2004 Form 10-K and incorporated herein by reference)</w:t>
      </w:r>
    </w:p>
    <w:p>
      <w:pPr>
        <w:spacing w:after="0" w:line="32" w:lineRule="exact"/>
        <w:rPr>
          <w:sz w:val="20"/>
          <w:szCs w:val="20"/>
          <w:color w:val="auto"/>
        </w:rPr>
      </w:pPr>
    </w:p>
    <w:p>
      <w:pPr>
        <w:ind w:left="1000" w:right="400" w:hanging="947"/>
        <w:spacing w:after="0" w:line="276" w:lineRule="auto"/>
        <w:tabs>
          <w:tab w:leader="none" w:pos="98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 Severance Agreement dated March 1, 2002 between the Trust and Larry E. Finger (previously filed as a portion of Exhibit 10 to the Trust’s Quarterly Report on Form 10-Q for the quarter ended June 30, 2002 (File No. 1-07533) (the “2002 2Q Form 10-Q”) and incorporated herein by reference)</w:t>
      </w:r>
    </w:p>
    <w:p>
      <w:pPr>
        <w:spacing w:after="0" w:line="44" w:lineRule="exact"/>
        <w:rPr>
          <w:sz w:val="20"/>
          <w:szCs w:val="20"/>
          <w:color w:val="auto"/>
        </w:rPr>
      </w:pPr>
    </w:p>
    <w:p>
      <w:pPr>
        <w:ind w:left="1000" w:right="380" w:hanging="947"/>
        <w:spacing w:after="0" w:line="291" w:lineRule="auto"/>
        <w:tabs>
          <w:tab w:leader="none" w:pos="98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7"/>
          <w:szCs w:val="17"/>
          <w:color w:val="auto"/>
        </w:rPr>
        <w:t>* Amendment to Severance Agreement between Federal Realty Investment Trust and Larry Finger dated February 16, 2005 (previously filed as Exhibit 10.19 to the 2004 Form 10-K and incorporated herein by reference)</w:t>
      </w:r>
    </w:p>
    <w:p>
      <w:pPr>
        <w:spacing w:after="0" w:line="32" w:lineRule="exact"/>
        <w:rPr>
          <w:sz w:val="20"/>
          <w:szCs w:val="20"/>
          <w:color w:val="auto"/>
        </w:rPr>
      </w:pPr>
    </w:p>
    <w:p>
      <w:pPr>
        <w:ind w:left="1000" w:right="80" w:hanging="947"/>
        <w:spacing w:after="0" w:line="291" w:lineRule="auto"/>
        <w:tabs>
          <w:tab w:leader="none" w:pos="980" w:val="left"/>
        </w:tabs>
        <w:rPr>
          <w:sz w:val="20"/>
          <w:szCs w:val="20"/>
          <w:color w:val="auto"/>
        </w:rPr>
      </w:pPr>
      <w:r>
        <w:rPr>
          <w:rFonts w:ascii="Arial" w:cs="Arial" w:eastAsia="Arial" w:hAnsi="Arial"/>
          <w:sz w:val="17"/>
          <w:szCs w:val="17"/>
          <w:color w:val="auto"/>
        </w:rPr>
        <w:t>10.19</w:t>
      </w:r>
      <w:r>
        <w:rPr>
          <w:sz w:val="20"/>
          <w:szCs w:val="20"/>
          <w:color w:val="auto"/>
        </w:rPr>
        <w:tab/>
      </w:r>
      <w:r>
        <w:rPr>
          <w:rFonts w:ascii="Arial" w:cs="Arial" w:eastAsia="Arial" w:hAnsi="Arial"/>
          <w:sz w:val="17"/>
          <w:szCs w:val="17"/>
          <w:color w:val="auto"/>
        </w:rPr>
        <w:t>* Combined Incentive and Non-Qualified Stock Option Agreement dated February 28, 2002 between the Trust and Larry E. Finger (previously filed as a portion of Exhibit 10 to the 2002 2Q Form 10-Q and incorporated herein by reference)</w:t>
      </w:r>
    </w:p>
    <w:p>
      <w:pPr>
        <w:spacing w:after="0" w:line="32" w:lineRule="exact"/>
        <w:rPr>
          <w:sz w:val="20"/>
          <w:szCs w:val="20"/>
          <w:color w:val="auto"/>
        </w:rPr>
      </w:pPr>
    </w:p>
    <w:p>
      <w:pPr>
        <w:ind w:left="1000" w:right="60" w:hanging="947"/>
        <w:spacing w:after="0" w:line="291" w:lineRule="auto"/>
        <w:tabs>
          <w:tab w:leader="none" w:pos="98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7"/>
          <w:szCs w:val="17"/>
          <w:color w:val="auto"/>
        </w:rPr>
        <w:t>* Performance Share Award Agreement between the Trust and Donald C. Wood dated February 28, 2002 (previously filed as a portion of Exhibit 10 to the 2002 2Q Form 10-Q and incorporated herein by reference)</w:t>
      </w:r>
    </w:p>
    <w:p>
      <w:pPr>
        <w:spacing w:after="0" w:line="32" w:lineRule="exact"/>
        <w:rPr>
          <w:sz w:val="20"/>
          <w:szCs w:val="20"/>
          <w:color w:val="auto"/>
        </w:rPr>
      </w:pPr>
    </w:p>
    <w:p>
      <w:pPr>
        <w:ind w:left="1000" w:right="40" w:hanging="947"/>
        <w:spacing w:after="0" w:line="291" w:lineRule="auto"/>
        <w:tabs>
          <w:tab w:leader="none" w:pos="98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7"/>
          <w:szCs w:val="17"/>
          <w:color w:val="auto"/>
        </w:rPr>
        <w:t>* Performance Share Award Agreement between the Trust and Jeffrey S. Berkes dated February 28, 2002 (previously filed as a portion of Exhibit 10 to the 2002 2Q Form 10-Q and incorporated herein by reference)</w:t>
      </w:r>
    </w:p>
    <w:p>
      <w:pPr>
        <w:spacing w:after="0" w:line="32" w:lineRule="exact"/>
        <w:rPr>
          <w:sz w:val="20"/>
          <w:szCs w:val="20"/>
          <w:color w:val="auto"/>
        </w:rPr>
      </w:pPr>
    </w:p>
    <w:p>
      <w:pPr>
        <w:ind w:left="1000" w:hanging="947"/>
        <w:spacing w:after="0" w:line="276" w:lineRule="auto"/>
        <w:tabs>
          <w:tab w:leader="none" w:pos="98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7"/>
          <w:szCs w:val="17"/>
          <w:color w:val="auto"/>
        </w:rPr>
        <w:t>* Amendment to Stock Option Agreement dated August 15, 2002 between the Trust and Dawn M. Becker (previously filed as a portion of Exhibit 10 to the Trust’s Quarterly Report on Form 10-Q for the quarter ended September 30, 2002 (File No. 1-075330 (the “2002 3Q Form 10-Q”) and incorporated herein by reference)</w:t>
      </w:r>
    </w:p>
    <w:p>
      <w:pPr>
        <w:spacing w:after="0" w:line="44" w:lineRule="exact"/>
        <w:rPr>
          <w:sz w:val="20"/>
          <w:szCs w:val="20"/>
          <w:color w:val="auto"/>
        </w:rPr>
      </w:pPr>
    </w:p>
    <w:p>
      <w:pPr>
        <w:ind w:left="1000" w:hanging="947"/>
        <w:spacing w:after="0" w:line="291" w:lineRule="auto"/>
        <w:tabs>
          <w:tab w:leader="none" w:pos="98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 Amendment to Stock Option Agreement dated August 15, 2002 between Federal Realty Investment Trust and Jeffrey S. Berkes (previously filed as a portion of Exhibit 10 to the 2002 3Q Form 10-Q and incorporated herein by reference)</w:t>
      </w:r>
    </w:p>
    <w:p>
      <w:pPr>
        <w:spacing w:after="0" w:line="32" w:lineRule="exact"/>
        <w:rPr>
          <w:sz w:val="20"/>
          <w:szCs w:val="20"/>
          <w:color w:val="auto"/>
        </w:rPr>
      </w:pPr>
    </w:p>
    <w:p>
      <w:pPr>
        <w:ind w:left="1000" w:right="540" w:hanging="947"/>
        <w:spacing w:after="0" w:line="291" w:lineRule="auto"/>
        <w:tabs>
          <w:tab w:leader="none" w:pos="98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7"/>
          <w:szCs w:val="17"/>
          <w:color w:val="auto"/>
        </w:rPr>
        <w:t>2001 Long-Term Incentive Plan (previously filed as Exhibit 99.1 to the Trust’s S-8 Registration Number 333-60364 filed on May 7, 2001 and incorporated herein by reference)</w:t>
      </w:r>
    </w:p>
    <w:p>
      <w:pPr>
        <w:spacing w:after="0" w:line="32" w:lineRule="exact"/>
        <w:rPr>
          <w:sz w:val="20"/>
          <w:szCs w:val="20"/>
          <w:color w:val="auto"/>
        </w:rPr>
      </w:pPr>
    </w:p>
    <w:p>
      <w:pPr>
        <w:ind w:left="1000" w:right="320" w:hanging="947"/>
        <w:spacing w:after="0" w:line="291" w:lineRule="auto"/>
        <w:tabs>
          <w:tab w:leader="none" w:pos="98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color w:val="auto"/>
        </w:rPr>
        <w:t>Health Coverage Continuation Agreement between Federal Realty Investment Trust and Don Wood dated February 16, 2005 (previously filed as Exhibit 10.26 to the 2004 Form 10-K and incorporated herein by reference)</w:t>
      </w:r>
    </w:p>
    <w:p>
      <w:pPr>
        <w:spacing w:after="0" w:line="32" w:lineRule="exact"/>
        <w:rPr>
          <w:sz w:val="20"/>
          <w:szCs w:val="20"/>
          <w:color w:val="auto"/>
        </w:rPr>
      </w:pPr>
    </w:p>
    <w:p>
      <w:pPr>
        <w:ind w:left="1000" w:hanging="947"/>
        <w:spacing w:after="0" w:line="291" w:lineRule="auto"/>
        <w:tabs>
          <w:tab w:leader="none" w:pos="98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color w:val="auto"/>
        </w:rPr>
        <w:t>Severance Agreement between the Trust and Dawn Becker dated April 19, 2000 (previously filed as Exhibit 10.26 to the Trust’s 2005 2Q Form 10-Q and incorporated herein by reference)</w:t>
      </w:r>
    </w:p>
    <w:p>
      <w:pPr>
        <w:spacing w:after="0" w:line="32" w:lineRule="exact"/>
        <w:rPr>
          <w:sz w:val="20"/>
          <w:szCs w:val="20"/>
          <w:color w:val="auto"/>
        </w:rPr>
      </w:pPr>
    </w:p>
    <w:p>
      <w:pPr>
        <w:ind w:left="1000" w:right="140" w:hanging="947"/>
        <w:spacing w:after="0" w:line="291" w:lineRule="auto"/>
        <w:tabs>
          <w:tab w:leader="none" w:pos="980" w:val="left"/>
        </w:tabs>
        <w:rPr>
          <w:sz w:val="20"/>
          <w:szCs w:val="20"/>
          <w:color w:val="auto"/>
        </w:rPr>
      </w:pPr>
      <w:r>
        <w:rPr>
          <w:rFonts w:ascii="Arial" w:cs="Arial" w:eastAsia="Arial" w:hAnsi="Arial"/>
          <w:sz w:val="17"/>
          <w:szCs w:val="17"/>
          <w:color w:val="auto"/>
        </w:rPr>
        <w:t>10.27</w:t>
      </w:r>
      <w:r>
        <w:rPr>
          <w:sz w:val="20"/>
          <w:szCs w:val="20"/>
          <w:color w:val="auto"/>
        </w:rPr>
        <w:tab/>
      </w:r>
      <w:r>
        <w:rPr>
          <w:rFonts w:ascii="Arial" w:cs="Arial" w:eastAsia="Arial" w:hAnsi="Arial"/>
          <w:sz w:val="17"/>
          <w:szCs w:val="17"/>
          <w:color w:val="auto"/>
        </w:rPr>
        <w:t>* Amendment to Severance Agreement between the Trust and Dawn Becker dated February 16, 2005 (previously filed as Exhibit 10.27 to the 2004 Form 10-K and incorporated herein by reference)</w:t>
      </w:r>
    </w:p>
    <w:p>
      <w:pPr>
        <w:spacing w:after="0" w:line="3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2001 Long-Term Incentive Plan (previously filed as Exhibit 10.28 to the 2004 Form 10-K and incorporated herein by reference)</w:t>
      </w:r>
    </w:p>
    <w:p>
      <w:pPr>
        <w:spacing w:after="0" w:line="90" w:lineRule="exact"/>
        <w:rPr>
          <w:sz w:val="20"/>
          <w:szCs w:val="20"/>
          <w:color w:val="auto"/>
        </w:rPr>
      </w:pPr>
    </w:p>
    <w:p>
      <w:pPr>
        <w:ind w:left="1000" w:right="20" w:hanging="947"/>
        <w:spacing w:after="0" w:line="291" w:lineRule="auto"/>
        <w:tabs>
          <w:tab w:leader="none" w:pos="980" w:val="left"/>
        </w:tabs>
        <w:rPr>
          <w:sz w:val="20"/>
          <w:szCs w:val="20"/>
          <w:color w:val="auto"/>
        </w:rPr>
      </w:pPr>
      <w:r>
        <w:rPr>
          <w:rFonts w:ascii="Arial" w:cs="Arial" w:eastAsia="Arial" w:hAnsi="Arial"/>
          <w:sz w:val="17"/>
          <w:szCs w:val="17"/>
          <w:color w:val="auto"/>
        </w:rPr>
        <w:t>10.29</w:t>
      </w:r>
      <w:r>
        <w:rPr>
          <w:sz w:val="20"/>
          <w:szCs w:val="20"/>
          <w:color w:val="auto"/>
        </w:rPr>
        <w:tab/>
      </w:r>
      <w:r>
        <w:rPr>
          <w:rFonts w:ascii="Arial" w:cs="Arial" w:eastAsia="Arial" w:hAnsi="Arial"/>
          <w:sz w:val="17"/>
          <w:szCs w:val="17"/>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80" w:top="271" w:right="27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6"/>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34"/>
        </w:trPr>
        <w:tc>
          <w:tcPr>
            <w:tcW w:w="10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103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4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5"/>
              </w:rPr>
              <w:t>No.</w:t>
            </w:r>
          </w:p>
        </w:tc>
        <w:tc>
          <w:tcPr>
            <w:tcW w:w="560" w:type="dxa"/>
            <w:vAlign w:val="bottom"/>
          </w:tcPr>
          <w:p>
            <w:pPr>
              <w:spacing w:after="0"/>
              <w:rPr>
                <w:sz w:val="13"/>
                <w:szCs w:val="13"/>
                <w:color w:val="auto"/>
              </w:rPr>
            </w:pPr>
          </w:p>
        </w:tc>
        <w:tc>
          <w:tcPr>
            <w:tcW w:w="10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10.30</w:t>
            </w:r>
          </w:p>
        </w:tc>
        <w:tc>
          <w:tcPr>
            <w:tcW w:w="10380" w:type="dxa"/>
            <w:vAlign w:val="bottom"/>
          </w:tcPr>
          <w:p>
            <w:pPr>
              <w:spacing w:after="0"/>
              <w:rPr>
                <w:sz w:val="20"/>
                <w:szCs w:val="20"/>
                <w:color w:val="auto"/>
              </w:rPr>
            </w:pPr>
            <w:r>
              <w:rPr>
                <w:rFonts w:ascii="Arial" w:cs="Arial" w:eastAsia="Arial" w:hAnsi="Arial"/>
                <w:sz w:val="17"/>
                <w:szCs w:val="17"/>
                <w:color w:val="auto"/>
                <w:w w:val="95"/>
              </w:rPr>
              <w:t>Form of Option Award Agreement for options awarded under 2001 Long-Term Incentive Plan (previously filed as Exhibit 10.30 to the 2004 Form</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10-K and incorporated herein by reference)</w:t>
            </w:r>
          </w:p>
        </w:tc>
        <w:tc>
          <w:tcPr>
            <w:tcW w:w="0" w:type="dxa"/>
            <w:vAlign w:val="bottom"/>
          </w:tcPr>
          <w:p>
            <w:pPr>
              <w:spacing w:after="0"/>
              <w:rPr>
                <w:sz w:val="1"/>
                <w:szCs w:val="1"/>
                <w:color w:val="auto"/>
              </w:rPr>
            </w:pPr>
          </w:p>
        </w:tc>
      </w:tr>
      <w:tr>
        <w:trPr>
          <w:trHeight w:val="285"/>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10.31</w:t>
            </w:r>
          </w:p>
        </w:tc>
        <w:tc>
          <w:tcPr>
            <w:tcW w:w="10380" w:type="dxa"/>
            <w:vAlign w:val="bottom"/>
          </w:tcPr>
          <w:p>
            <w:pPr>
              <w:spacing w:after="0"/>
              <w:rPr>
                <w:sz w:val="20"/>
                <w:szCs w:val="20"/>
                <w:color w:val="auto"/>
              </w:rPr>
            </w:pPr>
            <w:r>
              <w:rPr>
                <w:rFonts w:ascii="Arial" w:cs="Arial" w:eastAsia="Arial" w:hAnsi="Arial"/>
                <w:sz w:val="17"/>
                <w:szCs w:val="17"/>
                <w:color w:val="auto"/>
                <w:w w:val="94"/>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285"/>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10.32</w:t>
            </w:r>
          </w:p>
        </w:tc>
        <w:tc>
          <w:tcPr>
            <w:tcW w:w="10380" w:type="dxa"/>
            <w:vAlign w:val="bottom"/>
          </w:tcPr>
          <w:p>
            <w:pPr>
              <w:spacing w:after="0"/>
              <w:rPr>
                <w:sz w:val="20"/>
                <w:szCs w:val="20"/>
                <w:color w:val="auto"/>
              </w:rPr>
            </w:pPr>
            <w:r>
              <w:rPr>
                <w:rFonts w:ascii="Arial" w:cs="Arial" w:eastAsia="Arial" w:hAnsi="Arial"/>
                <w:sz w:val="17"/>
                <w:szCs w:val="17"/>
                <w:color w:val="auto"/>
                <w:w w:val="94"/>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7"/>
                <w:szCs w:val="17"/>
                <w:color w:val="auto"/>
              </w:rPr>
              <w:t>Long-Term Incentive Plan (filed herewith)</w:t>
            </w:r>
          </w:p>
        </w:tc>
        <w:tc>
          <w:tcPr>
            <w:tcW w:w="0" w:type="dxa"/>
            <w:vAlign w:val="bottom"/>
          </w:tcPr>
          <w:p>
            <w:pPr>
              <w:spacing w:after="0"/>
              <w:rPr>
                <w:sz w:val="1"/>
                <w:szCs w:val="1"/>
                <w:color w:val="auto"/>
              </w:rPr>
            </w:pPr>
          </w:p>
        </w:tc>
      </w:tr>
      <w:tr>
        <w:trPr>
          <w:trHeight w:val="293"/>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21.1</w:t>
            </w:r>
          </w:p>
        </w:tc>
        <w:tc>
          <w:tcPr>
            <w:tcW w:w="10380" w:type="dxa"/>
            <w:vAlign w:val="bottom"/>
          </w:tcPr>
          <w:p>
            <w:pPr>
              <w:spacing w:after="0"/>
              <w:rPr>
                <w:sz w:val="20"/>
                <w:szCs w:val="20"/>
                <w:color w:val="auto"/>
              </w:rPr>
            </w:pPr>
            <w:r>
              <w:rPr>
                <w:rFonts w:ascii="Arial" w:cs="Arial" w:eastAsia="Arial" w:hAnsi="Arial"/>
                <w:sz w:val="17"/>
                <w:szCs w:val="17"/>
                <w:color w:val="auto"/>
              </w:rPr>
              <w:t>Subsidiaries of Federal Realty Investment Trust</w:t>
            </w:r>
          </w:p>
        </w:tc>
        <w:tc>
          <w:tcPr>
            <w:tcW w:w="0" w:type="dxa"/>
            <w:vAlign w:val="bottom"/>
          </w:tcPr>
          <w:p>
            <w:pPr>
              <w:spacing w:after="0"/>
              <w:rPr>
                <w:sz w:val="1"/>
                <w:szCs w:val="1"/>
                <w:color w:val="auto"/>
              </w:rPr>
            </w:pPr>
          </w:p>
        </w:tc>
      </w:tr>
      <w:tr>
        <w:trPr>
          <w:trHeight w:val="293"/>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23.1</w:t>
            </w:r>
          </w:p>
        </w:tc>
        <w:tc>
          <w:tcPr>
            <w:tcW w:w="10380" w:type="dxa"/>
            <w:vAlign w:val="bottom"/>
          </w:tcPr>
          <w:p>
            <w:pPr>
              <w:spacing w:after="0"/>
              <w:rPr>
                <w:sz w:val="20"/>
                <w:szCs w:val="20"/>
                <w:color w:val="auto"/>
              </w:rPr>
            </w:pPr>
            <w:r>
              <w:rPr>
                <w:rFonts w:ascii="Arial" w:cs="Arial" w:eastAsia="Arial" w:hAnsi="Arial"/>
                <w:sz w:val="17"/>
                <w:szCs w:val="17"/>
                <w:color w:val="auto"/>
              </w:rPr>
              <w:t>Consent of Grant Thornton LLP (filed herewith)</w:t>
            </w:r>
          </w:p>
        </w:tc>
        <w:tc>
          <w:tcPr>
            <w:tcW w:w="0" w:type="dxa"/>
            <w:vAlign w:val="bottom"/>
          </w:tcPr>
          <w:p>
            <w:pPr>
              <w:spacing w:after="0"/>
              <w:rPr>
                <w:sz w:val="1"/>
                <w:szCs w:val="1"/>
                <w:color w:val="auto"/>
              </w:rPr>
            </w:pPr>
          </w:p>
        </w:tc>
      </w:tr>
      <w:tr>
        <w:trPr>
          <w:trHeight w:val="293"/>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24.1</w:t>
            </w:r>
          </w:p>
        </w:tc>
        <w:tc>
          <w:tcPr>
            <w:tcW w:w="10380" w:type="dxa"/>
            <w:vAlign w:val="bottom"/>
          </w:tcPr>
          <w:p>
            <w:pPr>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r>
        <w:trPr>
          <w:trHeight w:val="293"/>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31.1</w:t>
            </w:r>
          </w:p>
        </w:tc>
        <w:tc>
          <w:tcPr>
            <w:tcW w:w="10380" w:type="dxa"/>
            <w:vAlign w:val="bottom"/>
          </w:tcPr>
          <w:p>
            <w:pPr>
              <w:spacing w:after="0"/>
              <w:rPr>
                <w:sz w:val="20"/>
                <w:szCs w:val="20"/>
                <w:color w:val="auto"/>
              </w:rPr>
            </w:pPr>
            <w:r>
              <w:rPr>
                <w:rFonts w:ascii="Arial" w:cs="Arial" w:eastAsia="Arial" w:hAnsi="Arial"/>
                <w:sz w:val="17"/>
                <w:szCs w:val="17"/>
                <w:color w:val="auto"/>
              </w:rPr>
              <w:t>Rule 13a-14(a) Certification of Chief Executive Officer (filed herewith)</w:t>
            </w:r>
          </w:p>
        </w:tc>
        <w:tc>
          <w:tcPr>
            <w:tcW w:w="0" w:type="dxa"/>
            <w:vAlign w:val="bottom"/>
          </w:tcPr>
          <w:p>
            <w:pPr>
              <w:spacing w:after="0"/>
              <w:rPr>
                <w:sz w:val="1"/>
                <w:szCs w:val="1"/>
                <w:color w:val="auto"/>
              </w:rPr>
            </w:pPr>
          </w:p>
        </w:tc>
      </w:tr>
      <w:tr>
        <w:trPr>
          <w:trHeight w:val="293"/>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31.2</w:t>
            </w:r>
          </w:p>
        </w:tc>
        <w:tc>
          <w:tcPr>
            <w:tcW w:w="10380" w:type="dxa"/>
            <w:vAlign w:val="bottom"/>
          </w:tcPr>
          <w:p>
            <w:pPr>
              <w:spacing w:after="0"/>
              <w:rPr>
                <w:sz w:val="20"/>
                <w:szCs w:val="20"/>
                <w:color w:val="auto"/>
              </w:rPr>
            </w:pPr>
            <w:r>
              <w:rPr>
                <w:rFonts w:ascii="Arial" w:cs="Arial" w:eastAsia="Arial" w:hAnsi="Arial"/>
                <w:sz w:val="17"/>
                <w:szCs w:val="17"/>
                <w:color w:val="auto"/>
              </w:rPr>
              <w:t>Rule 13a-14(a) Certification of Chief Financial Officer (filed herewith)</w:t>
            </w:r>
          </w:p>
        </w:tc>
        <w:tc>
          <w:tcPr>
            <w:tcW w:w="0" w:type="dxa"/>
            <w:vAlign w:val="bottom"/>
          </w:tcPr>
          <w:p>
            <w:pPr>
              <w:spacing w:after="0"/>
              <w:rPr>
                <w:sz w:val="1"/>
                <w:szCs w:val="1"/>
                <w:color w:val="auto"/>
              </w:rPr>
            </w:pPr>
          </w:p>
        </w:tc>
      </w:tr>
      <w:tr>
        <w:trPr>
          <w:trHeight w:val="293"/>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32.1</w:t>
            </w:r>
          </w:p>
        </w:tc>
        <w:tc>
          <w:tcPr>
            <w:tcW w:w="10380" w:type="dxa"/>
            <w:vAlign w:val="bottom"/>
          </w:tcPr>
          <w:p>
            <w:pPr>
              <w:spacing w:after="0"/>
              <w:rPr>
                <w:sz w:val="20"/>
                <w:szCs w:val="20"/>
                <w:color w:val="auto"/>
              </w:rPr>
            </w:pPr>
            <w:r>
              <w:rPr>
                <w:rFonts w:ascii="Arial" w:cs="Arial" w:eastAsia="Arial" w:hAnsi="Arial"/>
                <w:sz w:val="17"/>
                <w:szCs w:val="17"/>
                <w:color w:val="auto"/>
              </w:rPr>
              <w:t>Section 1350 Certification of Chief Executive Officer (filed herewith)</w:t>
            </w:r>
          </w:p>
        </w:tc>
        <w:tc>
          <w:tcPr>
            <w:tcW w:w="0" w:type="dxa"/>
            <w:vAlign w:val="bottom"/>
          </w:tcPr>
          <w:p>
            <w:pPr>
              <w:spacing w:after="0"/>
              <w:rPr>
                <w:sz w:val="1"/>
                <w:szCs w:val="1"/>
                <w:color w:val="auto"/>
              </w:rPr>
            </w:pPr>
          </w:p>
        </w:tc>
      </w:tr>
      <w:tr>
        <w:trPr>
          <w:trHeight w:val="293"/>
        </w:trPr>
        <w:tc>
          <w:tcPr>
            <w:tcW w:w="1040" w:type="dxa"/>
            <w:vAlign w:val="bottom"/>
            <w:gridSpan w:val="2"/>
          </w:tcPr>
          <w:p>
            <w:pPr>
              <w:jc w:val="right"/>
              <w:ind w:right="560"/>
              <w:spacing w:after="0"/>
              <w:rPr>
                <w:sz w:val="20"/>
                <w:szCs w:val="20"/>
                <w:color w:val="auto"/>
              </w:rPr>
            </w:pPr>
            <w:r>
              <w:rPr>
                <w:rFonts w:ascii="Arial" w:cs="Arial" w:eastAsia="Arial" w:hAnsi="Arial"/>
                <w:sz w:val="17"/>
                <w:szCs w:val="17"/>
                <w:color w:val="auto"/>
              </w:rPr>
              <w:t>32.2</w:t>
            </w:r>
          </w:p>
        </w:tc>
        <w:tc>
          <w:tcPr>
            <w:tcW w:w="10380" w:type="dxa"/>
            <w:vAlign w:val="bottom"/>
          </w:tcPr>
          <w:p>
            <w:pPr>
              <w:spacing w:after="0"/>
              <w:rPr>
                <w:sz w:val="20"/>
                <w:szCs w:val="20"/>
                <w:color w:val="auto"/>
              </w:rPr>
            </w:pPr>
            <w:r>
              <w:rPr>
                <w:rFonts w:ascii="Arial" w:cs="Arial" w:eastAsia="Arial" w:hAnsi="Arial"/>
                <w:sz w:val="17"/>
                <w:szCs w:val="17"/>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948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68580</wp:posOffset>
            </wp:positionV>
            <wp:extent cx="7435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99" w:lineRule="exact"/>
        <w:rPr>
          <w:sz w:val="20"/>
          <w:szCs w:val="20"/>
          <w:color w:val="auto"/>
        </w:rPr>
      </w:pPr>
    </w:p>
    <w:p>
      <w:pPr>
        <w:ind w:left="5680" w:right="5140" w:hanging="5674"/>
        <w:spacing w:after="0" w:line="515" w:lineRule="auto"/>
        <w:tabs>
          <w:tab w:leader="none" w:pos="242"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Management contract or compensatory plan to be filed under Item 15(b) of Form 10-K. 4</w:t>
      </w:r>
    </w:p>
    <w:p>
      <w:pPr>
        <w:sectPr>
          <w:pgSz w:w="11900" w:h="16838" w:orient="portrait"/>
          <w:cols w:equalWidth="0" w:num="1">
            <w:col w:w="11420"/>
          </w:cols>
          <w:pgMar w:left="240" w:top="27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6171565</wp:posOffset>
            </wp:positionH>
            <wp:positionV relativeFrom="paragraph">
              <wp:posOffset>121920</wp:posOffset>
            </wp:positionV>
            <wp:extent cx="1081405" cy="3378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81405"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By 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Federal Realty Investment Trust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Amended and Restated Bylaws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(February 12, 2003)</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7"/>
          <w:szCs w:val="17"/>
          <w:b w:val="1"/>
          <w:bCs w:val="1"/>
          <w:i w:val="1"/>
          <w:iCs w:val="1"/>
          <w:color w:val="auto"/>
        </w:rPr>
        <w:t>ARTICLE I</w:t>
      </w:r>
    </w:p>
    <w:p>
      <w:pPr>
        <w:spacing w:after="0" w:line="25" w:lineRule="exact"/>
        <w:rPr>
          <w:sz w:val="20"/>
          <w:szCs w:val="20"/>
          <w:color w:val="auto"/>
        </w:rPr>
      </w:pPr>
    </w:p>
    <w:p>
      <w:pPr>
        <w:ind w:left="5340"/>
        <w:spacing w:after="0"/>
        <w:rPr>
          <w:sz w:val="20"/>
          <w:szCs w:val="20"/>
          <w:color w:val="auto"/>
        </w:rPr>
      </w:pPr>
      <w:r>
        <w:rPr>
          <w:rFonts w:ascii="Arial" w:cs="Arial" w:eastAsia="Arial" w:hAnsi="Arial"/>
          <w:sz w:val="17"/>
          <w:szCs w:val="17"/>
          <w:b w:val="1"/>
          <w:bCs w:val="1"/>
          <w:i w:val="1"/>
          <w:iCs w:val="1"/>
          <w:color w:val="auto"/>
        </w:rPr>
        <w:t>OFFICES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1. PRINCIPAL OFFICE. The principal office of the Trust shall be located at such place or places as the Board of Trustees may designate.</w:t>
      </w:r>
    </w:p>
    <w:p>
      <w:pPr>
        <w:spacing w:after="0" w:line="177" w:lineRule="exact"/>
        <w:rPr>
          <w:sz w:val="20"/>
          <w:szCs w:val="20"/>
          <w:color w:val="auto"/>
        </w:rPr>
      </w:pPr>
    </w:p>
    <w:p>
      <w:pPr>
        <w:ind w:right="200" w:firstLine="457"/>
        <w:spacing w:after="0" w:line="291" w:lineRule="auto"/>
        <w:rPr>
          <w:sz w:val="20"/>
          <w:szCs w:val="20"/>
          <w:color w:val="auto"/>
        </w:rPr>
      </w:pPr>
      <w:r>
        <w:rPr>
          <w:rFonts w:ascii="Arial" w:cs="Arial" w:eastAsia="Arial" w:hAnsi="Arial"/>
          <w:sz w:val="17"/>
          <w:szCs w:val="17"/>
          <w:color w:val="auto"/>
        </w:rPr>
        <w:t>Section 2. ADDITIONAL OFFICES. The Trust may have additional offices at such places as the Board of Trustees may from time to time determine or the business of the Trust may require.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MEETINGS OF SHAREHOLDERS</w:t>
      </w:r>
    </w:p>
    <w:p>
      <w:pPr>
        <w:spacing w:after="0" w:line="170" w:lineRule="exact"/>
        <w:rPr>
          <w:sz w:val="20"/>
          <w:szCs w:val="20"/>
          <w:color w:val="auto"/>
        </w:rPr>
      </w:pPr>
    </w:p>
    <w:p>
      <w:pPr>
        <w:ind w:right="180" w:firstLine="457"/>
        <w:spacing w:after="0" w:line="291" w:lineRule="auto"/>
        <w:rPr>
          <w:sz w:val="20"/>
          <w:szCs w:val="20"/>
          <w:color w:val="auto"/>
        </w:rPr>
      </w:pPr>
      <w:r>
        <w:rPr>
          <w:rFonts w:ascii="Arial" w:cs="Arial" w:eastAsia="Arial" w:hAnsi="Arial"/>
          <w:sz w:val="17"/>
          <w:szCs w:val="17"/>
          <w:color w:val="auto"/>
        </w:rPr>
        <w:t>Section 1. PLACE. All meetings of shareholders shall be held at the principal executive office of the Trust or at such other place within the United States as shall be stated in the notice of the meeting.</w:t>
      </w:r>
    </w:p>
    <w:p>
      <w:pPr>
        <w:spacing w:after="0" w:line="111"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12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120" w:lineRule="exact"/>
        <w:rPr>
          <w:sz w:val="20"/>
          <w:szCs w:val="20"/>
          <w:color w:val="auto"/>
        </w:rPr>
      </w:pPr>
    </w:p>
    <w:p>
      <w:pPr>
        <w:ind w:right="20" w:firstLine="457"/>
        <w:spacing w:after="0" w:line="312" w:lineRule="auto"/>
        <w:rPr>
          <w:sz w:val="20"/>
          <w:szCs w:val="20"/>
          <w:color w:val="auto"/>
        </w:rPr>
      </w:pPr>
      <w:r>
        <w:rPr>
          <w:rFonts w:ascii="Arial" w:cs="Arial" w:eastAsia="Arial" w:hAnsi="Arial"/>
          <w:sz w:val="15"/>
          <w:szCs w:val="15"/>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1420"/>
          </w:cols>
          <w:pgMar w:left="240" w:top="125" w:right="239" w:bottom="1440" w:gutter="0" w:footer="0" w:header="0"/>
        </w:sectPr>
      </w:pPr>
    </w:p>
    <w:bookmarkStart w:id="103" w:name="page104"/>
    <w:bookmarkEnd w:id="103"/>
    <w:p>
      <w:pPr>
        <w:jc w:val="both"/>
        <w:ind w:right="14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124"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117"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16"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Section 8. VOTING. A plurality of all the votes cast at a meeting of shareholders duly called and at which a quorum is present shall be sufficient to elect a Trustee at any meeting where the number of nominees exceeds the number of Trustees to be elected. A majority of all the votes cast at a meeting of shareholders duly called and at which a quorum is present shall be sufficient to elect a Trustee at any meeting where the number of nominees is the same as the number of Trustees to be elected. For purposes of this Section, a majority of the votes cast means that the number of shares voted “for” a Trustee must exceed 50% of the votes cast with respect to that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33"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124"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1420"/>
          </w:cols>
          <w:pgMar w:left="240" w:top="277" w:right="239" w:bottom="1440" w:gutter="0" w:footer="0" w:header="0"/>
        </w:sectPr>
      </w:pPr>
    </w:p>
    <w:bookmarkStart w:id="104" w:name="page105"/>
    <w:bookmarkEnd w:id="104"/>
    <w:p>
      <w:pPr>
        <w:ind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24"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133" w:lineRule="exact"/>
        <w:rPr>
          <w:sz w:val="20"/>
          <w:szCs w:val="20"/>
          <w:color w:val="auto"/>
        </w:rPr>
      </w:pPr>
    </w:p>
    <w:p>
      <w:pPr>
        <w:ind w:right="120" w:firstLine="457"/>
        <w:spacing w:after="0" w:line="289" w:lineRule="auto"/>
        <w:rPr>
          <w:sz w:val="20"/>
          <w:szCs w:val="20"/>
          <w:color w:val="auto"/>
        </w:rPr>
      </w:pPr>
      <w:r>
        <w:rPr>
          <w:rFonts w:ascii="Arial" w:cs="Arial" w:eastAsia="Arial" w:hAnsi="Arial"/>
          <w:sz w:val="16"/>
          <w:szCs w:val="16"/>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116" w:lineRule="exact"/>
        <w:rPr>
          <w:sz w:val="20"/>
          <w:szCs w:val="20"/>
          <w:color w:val="auto"/>
        </w:rPr>
      </w:pPr>
    </w:p>
    <w:p>
      <w:pPr>
        <w:ind w:right="60" w:firstLine="457"/>
        <w:spacing w:after="0" w:line="329" w:lineRule="auto"/>
        <w:rPr>
          <w:sz w:val="20"/>
          <w:szCs w:val="20"/>
          <w:color w:val="auto"/>
        </w:rPr>
      </w:pPr>
      <w:r>
        <w:rPr>
          <w:rFonts w:ascii="Arial" w:cs="Arial" w:eastAsia="Arial" w:hAnsi="Arial"/>
          <w:sz w:val="15"/>
          <w:szCs w:val="15"/>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89"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24"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13. NOMINATIONS AND PROPOSALS BY SHAREHOLDERS.</w:t>
      </w:r>
    </w:p>
    <w:p>
      <w:pPr>
        <w:spacing w:after="0" w:line="97" w:lineRule="exact"/>
        <w:rPr>
          <w:sz w:val="20"/>
          <w:szCs w:val="20"/>
          <w:color w:val="auto"/>
        </w:rPr>
      </w:pPr>
    </w:p>
    <w:p>
      <w:pPr>
        <w:ind w:left="1140" w:hanging="239"/>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Annual Meetings of Shareholders.</w:t>
      </w:r>
    </w:p>
    <w:p>
      <w:pPr>
        <w:spacing w:after="0" w:line="97" w:lineRule="exact"/>
        <w:rPr>
          <w:rFonts w:ascii="Arial" w:cs="Arial" w:eastAsia="Arial" w:hAnsi="Arial"/>
          <w:sz w:val="17"/>
          <w:szCs w:val="17"/>
          <w:color w:val="auto"/>
        </w:rPr>
      </w:pPr>
    </w:p>
    <w:p>
      <w:pPr>
        <w:ind w:left="920" w:right="40" w:firstLine="419"/>
        <w:spacing w:after="0" w:line="293" w:lineRule="auto"/>
        <w:tabs>
          <w:tab w:leader="none" w:pos="1585"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1420"/>
          </w:cols>
          <w:pgMar w:left="240" w:top="277" w:right="239" w:bottom="1440" w:gutter="0" w:footer="0" w:header="0"/>
        </w:sectPr>
      </w:pPr>
    </w:p>
    <w:bookmarkStart w:id="105" w:name="page106"/>
    <w:bookmarkEnd w:id="105"/>
    <w:p>
      <w:pPr>
        <w:ind w:left="1120" w:hanging="241"/>
        <w:spacing w:after="0"/>
        <w:tabs>
          <w:tab w:leader="none" w:pos="1120" w:val="left"/>
        </w:tabs>
        <w:numPr>
          <w:ilvl w:val="3"/>
          <w:numId w:val="6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For nominations or other business to be properly brought before an annual meeting by a shareholder pursuant to clause (C) of paragraph (a)</w:t>
      </w:r>
    </w:p>
    <w:p>
      <w:pPr>
        <w:spacing w:after="0" w:line="47" w:lineRule="exact"/>
        <w:rPr>
          <w:rFonts w:ascii="Arial" w:cs="Arial" w:eastAsia="Arial" w:hAnsi="Arial"/>
          <w:sz w:val="15"/>
          <w:szCs w:val="15"/>
          <w:color w:val="auto"/>
        </w:rPr>
      </w:pPr>
    </w:p>
    <w:p>
      <w:pPr>
        <w:ind w:left="460" w:right="20" w:hanging="1"/>
        <w:spacing w:after="0" w:line="275" w:lineRule="auto"/>
        <w:tabs>
          <w:tab w:leader="none" w:pos="705" w:val="left"/>
        </w:tabs>
        <w:numPr>
          <w:ilvl w:val="2"/>
          <w:numId w:val="66"/>
        </w:numPr>
        <w:rPr>
          <w:rFonts w:ascii="Arial" w:cs="Arial" w:eastAsia="Arial" w:hAnsi="Arial"/>
          <w:sz w:val="16"/>
          <w:szCs w:val="16"/>
          <w:color w:val="auto"/>
        </w:rPr>
      </w:pPr>
      <w:r>
        <w:rPr>
          <w:rFonts w:ascii="Arial" w:cs="Arial" w:eastAsia="Arial" w:hAnsi="Arial"/>
          <w:sz w:val="16"/>
          <w:szCs w:val="16"/>
          <w:color w:val="auto"/>
        </w:rPr>
        <w:t>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 (ii) the number of each class of shares of the Trust which are owned beneficially and of record by such shareholder and such beneficial owner.</w:t>
      </w:r>
    </w:p>
    <w:p>
      <w:pPr>
        <w:spacing w:after="0" w:line="54" w:lineRule="exact"/>
        <w:rPr>
          <w:rFonts w:ascii="Arial" w:cs="Arial" w:eastAsia="Arial" w:hAnsi="Arial"/>
          <w:sz w:val="16"/>
          <w:szCs w:val="16"/>
          <w:color w:val="auto"/>
        </w:rPr>
      </w:pPr>
    </w:p>
    <w:p>
      <w:pPr>
        <w:ind w:left="460" w:right="60" w:firstLine="419"/>
        <w:spacing w:after="0" w:line="287" w:lineRule="auto"/>
        <w:tabs>
          <w:tab w:leader="none" w:pos="1125" w:val="left"/>
        </w:tabs>
        <w:numPr>
          <w:ilvl w:val="3"/>
          <w:numId w:val="66"/>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paragraph (a)(2)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36" w:lineRule="exact"/>
        <w:rPr>
          <w:rFonts w:ascii="Arial" w:cs="Arial" w:eastAsia="Arial" w:hAnsi="Arial"/>
          <w:sz w:val="16"/>
          <w:szCs w:val="16"/>
          <w:color w:val="auto"/>
        </w:rPr>
      </w:pPr>
    </w:p>
    <w:p>
      <w:pPr>
        <w:ind w:right="60" w:firstLine="441"/>
        <w:spacing w:after="0" w:line="299" w:lineRule="auto"/>
        <w:tabs>
          <w:tab w:leader="none" w:pos="683" w:val="left"/>
        </w:tabs>
        <w:numPr>
          <w:ilvl w:val="1"/>
          <w:numId w:val="67"/>
        </w:numPr>
        <w:rPr>
          <w:rFonts w:ascii="Arial" w:cs="Arial" w:eastAsia="Arial" w:hAnsi="Arial"/>
          <w:sz w:val="15"/>
          <w:szCs w:val="15"/>
          <w:color w:val="auto"/>
        </w:rPr>
      </w:pPr>
      <w:r>
        <w:rPr>
          <w:rFonts w:ascii="Arial" w:cs="Arial" w:eastAsia="Arial" w:hAnsi="Arial"/>
          <w:sz w:val="15"/>
          <w:szCs w:val="15"/>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w:t>
      </w:r>
    </w:p>
    <w:p>
      <w:pPr>
        <w:spacing w:after="0" w:line="1" w:lineRule="exact"/>
        <w:rPr>
          <w:rFonts w:ascii="Arial" w:cs="Arial" w:eastAsia="Arial" w:hAnsi="Arial"/>
          <w:sz w:val="15"/>
          <w:szCs w:val="15"/>
          <w:color w:val="auto"/>
        </w:rPr>
      </w:pPr>
    </w:p>
    <w:p>
      <w:pPr>
        <w:ind w:firstLine="3"/>
        <w:spacing w:after="0" w:line="304" w:lineRule="auto"/>
        <w:tabs>
          <w:tab w:leader="none" w:pos="303" w:val="left"/>
        </w:tabs>
        <w:numPr>
          <w:ilvl w:val="0"/>
          <w:numId w:val="68"/>
        </w:numPr>
        <w:rPr>
          <w:rFonts w:ascii="Arial" w:cs="Arial" w:eastAsia="Arial" w:hAnsi="Arial"/>
          <w:sz w:val="15"/>
          <w:szCs w:val="15"/>
          <w:color w:val="auto"/>
        </w:rPr>
      </w:pPr>
      <w:r>
        <w:rPr>
          <w:rFonts w:ascii="Arial" w:cs="Arial" w:eastAsia="Arial" w:hAnsi="Arial"/>
          <w:sz w:val="15"/>
          <w:szCs w:val="15"/>
          <w:color w:val="auto"/>
        </w:rPr>
        <w:t>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w:t>
      </w:r>
    </w:p>
    <w:p>
      <w:pPr>
        <w:spacing w:after="0" w:line="9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0960"/>
          </w:cols>
          <w:pgMar w:left="700" w:top="277" w:right="239" w:bottom="1440" w:gutter="0" w:footer="0" w:header="0"/>
        </w:sectPr>
      </w:pPr>
    </w:p>
    <w:bookmarkStart w:id="106" w:name="page107"/>
    <w:bookmarkEnd w:id="106"/>
    <w:p>
      <w:pPr>
        <w:ind w:left="460" w:right="26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no event shall the public announcement of a postponement or adjournment of a special meeting to a later date or time commence a new time period for the giving of a shareholder’s notice as described above.</w:t>
      </w:r>
    </w:p>
    <w:p>
      <w:pPr>
        <w:spacing w:after="0" w:line="32" w:lineRule="exact"/>
        <w:rPr>
          <w:sz w:val="20"/>
          <w:szCs w:val="20"/>
          <w:color w:val="auto"/>
        </w:rPr>
      </w:pPr>
    </w:p>
    <w:p>
      <w:pPr>
        <w:ind w:left="1140" w:hanging="239"/>
        <w:spacing w:after="0"/>
        <w:tabs>
          <w:tab w:leader="none" w:pos="11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General.</w:t>
      </w:r>
    </w:p>
    <w:p>
      <w:pPr>
        <w:spacing w:after="0" w:line="97" w:lineRule="exact"/>
        <w:rPr>
          <w:rFonts w:ascii="Arial" w:cs="Arial" w:eastAsia="Arial" w:hAnsi="Arial"/>
          <w:sz w:val="17"/>
          <w:szCs w:val="17"/>
          <w:color w:val="auto"/>
        </w:rPr>
      </w:pPr>
    </w:p>
    <w:p>
      <w:pPr>
        <w:ind w:left="920" w:right="20" w:firstLine="419"/>
        <w:spacing w:after="0" w:line="312" w:lineRule="auto"/>
        <w:tabs>
          <w:tab w:leader="none" w:pos="1585" w:val="left"/>
        </w:tabs>
        <w:numPr>
          <w:ilvl w:val="1"/>
          <w:numId w:val="69"/>
        </w:numPr>
        <w:rPr>
          <w:rFonts w:ascii="Arial" w:cs="Arial" w:eastAsia="Arial" w:hAnsi="Arial"/>
          <w:sz w:val="15"/>
          <w:szCs w:val="15"/>
          <w:color w:val="auto"/>
        </w:rPr>
      </w:pPr>
      <w:r>
        <w:rPr>
          <w:rFonts w:ascii="Arial" w:cs="Arial" w:eastAsia="Arial" w:hAnsi="Arial"/>
          <w:sz w:val="15"/>
          <w:szCs w:val="15"/>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23" w:lineRule="exact"/>
        <w:rPr>
          <w:rFonts w:ascii="Arial" w:cs="Arial" w:eastAsia="Arial" w:hAnsi="Arial"/>
          <w:sz w:val="15"/>
          <w:szCs w:val="15"/>
          <w:color w:val="auto"/>
        </w:rPr>
      </w:pPr>
    </w:p>
    <w:p>
      <w:pPr>
        <w:jc w:val="both"/>
        <w:ind w:left="920" w:right="240" w:firstLine="419"/>
        <w:spacing w:after="0" w:line="276" w:lineRule="auto"/>
        <w:tabs>
          <w:tab w:leader="none" w:pos="1585" w:val="left"/>
        </w:tabs>
        <w:numPr>
          <w:ilvl w:val="1"/>
          <w:numId w:val="69"/>
        </w:numPr>
        <w:rPr>
          <w:rFonts w:ascii="Arial" w:cs="Arial" w:eastAsia="Arial" w:hAnsi="Arial"/>
          <w:sz w:val="17"/>
          <w:szCs w:val="17"/>
          <w:color w:val="auto"/>
        </w:rPr>
      </w:pPr>
      <w:r>
        <w:rPr>
          <w:rFonts w:ascii="Arial" w:cs="Arial" w:eastAsia="Arial" w:hAnsi="Arial"/>
          <w:sz w:val="17"/>
          <w:szCs w:val="17"/>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44" w:lineRule="exact"/>
        <w:rPr>
          <w:rFonts w:ascii="Arial" w:cs="Arial" w:eastAsia="Arial" w:hAnsi="Arial"/>
          <w:sz w:val="17"/>
          <w:szCs w:val="17"/>
          <w:color w:val="auto"/>
        </w:rPr>
      </w:pPr>
    </w:p>
    <w:p>
      <w:pPr>
        <w:jc w:val="both"/>
        <w:ind w:left="920" w:right="20" w:firstLine="419"/>
        <w:spacing w:after="0" w:line="271" w:lineRule="auto"/>
        <w:tabs>
          <w:tab w:leader="none" w:pos="1585"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14. INFORMAL ACTION BY SHAREHOLDERS.</w:t>
      </w:r>
    </w:p>
    <w:p>
      <w:pPr>
        <w:spacing w:after="0" w:line="97" w:lineRule="exact"/>
        <w:rPr>
          <w:sz w:val="20"/>
          <w:szCs w:val="20"/>
          <w:color w:val="auto"/>
        </w:rPr>
      </w:pPr>
    </w:p>
    <w:p>
      <w:pPr>
        <w:ind w:left="460" w:right="420" w:firstLine="441"/>
        <w:spacing w:after="0" w:line="276" w:lineRule="auto"/>
        <w:tabs>
          <w:tab w:leader="none" w:pos="113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44" w:lineRule="exact"/>
        <w:rPr>
          <w:rFonts w:ascii="Arial" w:cs="Arial" w:eastAsia="Arial" w:hAnsi="Arial"/>
          <w:sz w:val="17"/>
          <w:szCs w:val="17"/>
          <w:color w:val="auto"/>
        </w:rPr>
      </w:pPr>
    </w:p>
    <w:p>
      <w:pPr>
        <w:ind w:left="460" w:firstLine="441"/>
        <w:spacing w:after="0" w:line="301" w:lineRule="auto"/>
        <w:tabs>
          <w:tab w:leader="none" w:pos="1143"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115" w:lineRule="exact"/>
        <w:rPr>
          <w:sz w:val="20"/>
          <w:szCs w:val="20"/>
          <w:color w:val="auto"/>
        </w:rPr>
      </w:pPr>
    </w:p>
    <w:p>
      <w:pPr>
        <w:ind w:right="260" w:firstLine="457"/>
        <w:spacing w:after="0" w:line="291" w:lineRule="auto"/>
        <w:rPr>
          <w:sz w:val="20"/>
          <w:szCs w:val="20"/>
          <w:color w:val="auto"/>
        </w:rPr>
      </w:pPr>
      <w:r>
        <w:rPr>
          <w:rFonts w:ascii="Arial" w:cs="Arial" w:eastAsia="Arial" w:hAnsi="Arial"/>
          <w:sz w:val="17"/>
          <w:szCs w:val="17"/>
          <w:color w:val="auto"/>
        </w:rPr>
        <w:t>Section 15. VOTING BY BALLOT. Voting on any question or in any election may be viva voce unless the presiding officer shall order or any shareholder shall demand that voting be by ballot.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ectPr>
          <w:pgSz w:w="11900" w:h="16838" w:orient="portrait"/>
          <w:cols w:equalWidth="0" w:num="1">
            <w:col w:w="11420"/>
          </w:cols>
          <w:pgMar w:left="240" w:top="277" w:right="239" w:bottom="1440" w:gutter="0" w:footer="0" w:header="0"/>
        </w:sectPr>
      </w:pPr>
    </w:p>
    <w:bookmarkStart w:id="107" w:name="page108"/>
    <w:bookmarkEnd w:id="107"/>
    <w:p>
      <w:pPr>
        <w:ind w:left="522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ARTICLE III</w:t>
      </w:r>
    </w:p>
    <w:p>
      <w:pPr>
        <w:spacing w:after="0" w:line="25" w:lineRule="exact"/>
        <w:rPr>
          <w:sz w:val="20"/>
          <w:szCs w:val="20"/>
          <w:color w:val="auto"/>
        </w:rPr>
      </w:pPr>
    </w:p>
    <w:p>
      <w:pPr>
        <w:ind w:left="5280"/>
        <w:spacing w:after="0"/>
        <w:rPr>
          <w:sz w:val="20"/>
          <w:szCs w:val="20"/>
          <w:color w:val="auto"/>
        </w:rPr>
      </w:pPr>
      <w:r>
        <w:rPr>
          <w:rFonts w:ascii="Arial" w:cs="Arial" w:eastAsia="Arial" w:hAnsi="Arial"/>
          <w:sz w:val="17"/>
          <w:szCs w:val="17"/>
          <w:b w:val="1"/>
          <w:bCs w:val="1"/>
          <w:i w:val="1"/>
          <w:iCs w:val="1"/>
          <w:color w:val="auto"/>
        </w:rPr>
        <w:t>TRUSTEES</w:t>
      </w:r>
    </w:p>
    <w:p>
      <w:pPr>
        <w:spacing w:after="0" w:line="170"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more than one Trustee on the Board of Trustees that fails to satisfy the definitions for independence as established from time to time in the Securities Exchange Act of 1934, the New York Stock Exchange’s Listed Company Manual and other laws, rules and regulations applicable to the Trust from time to time except during a period of no more than ninety (90) days following changed circumstances.</w:t>
      </w:r>
    </w:p>
    <w:p>
      <w:pPr>
        <w:spacing w:after="0" w:line="117" w:lineRule="exact"/>
        <w:rPr>
          <w:sz w:val="20"/>
          <w:szCs w:val="20"/>
          <w:color w:val="auto"/>
        </w:rPr>
      </w:pPr>
    </w:p>
    <w:p>
      <w:pPr>
        <w:ind w:right="440" w:firstLine="457"/>
        <w:spacing w:after="0" w:line="362" w:lineRule="auto"/>
        <w:rPr>
          <w:sz w:val="20"/>
          <w:szCs w:val="20"/>
          <w:color w:val="auto"/>
        </w:rPr>
      </w:pPr>
      <w:r>
        <w:rPr>
          <w:rFonts w:ascii="Arial" w:cs="Arial" w:eastAsia="Arial" w:hAnsi="Arial"/>
          <w:sz w:val="15"/>
          <w:szCs w:val="15"/>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five (5) or more than ten (10).</w:t>
      </w:r>
    </w:p>
    <w:p>
      <w:pPr>
        <w:spacing w:after="0" w:line="65" w:lineRule="exact"/>
        <w:rPr>
          <w:sz w:val="20"/>
          <w:szCs w:val="20"/>
          <w:color w:val="auto"/>
        </w:rPr>
      </w:pPr>
    </w:p>
    <w:p>
      <w:pPr>
        <w:jc w:val="both"/>
        <w:ind w:right="160" w:firstLine="457"/>
        <w:spacing w:after="0" w:line="276" w:lineRule="auto"/>
        <w:rPr>
          <w:sz w:val="20"/>
          <w:szCs w:val="20"/>
          <w:color w:val="auto"/>
        </w:rPr>
      </w:pPr>
      <w:r>
        <w:rPr>
          <w:rFonts w:ascii="Arial" w:cs="Arial" w:eastAsia="Arial" w:hAnsi="Arial"/>
          <w:sz w:val="17"/>
          <w:szCs w:val="17"/>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124"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124"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109" w:lineRule="exact"/>
        <w:rPr>
          <w:sz w:val="20"/>
          <w:szCs w:val="20"/>
          <w:color w:val="auto"/>
        </w:rPr>
      </w:pPr>
    </w:p>
    <w:p>
      <w:pPr>
        <w:jc w:val="both"/>
        <w:ind w:right="280" w:firstLine="457"/>
        <w:spacing w:after="0" w:line="271" w:lineRule="auto"/>
        <w:rPr>
          <w:sz w:val="20"/>
          <w:szCs w:val="20"/>
          <w:color w:val="auto"/>
        </w:rPr>
      </w:pPr>
      <w:r>
        <w:rPr>
          <w:rFonts w:ascii="Arial" w:cs="Arial" w:eastAsia="Arial" w:hAnsi="Arial"/>
          <w:sz w:val="17"/>
          <w:szCs w:val="17"/>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28" w:lineRule="exact"/>
        <w:rPr>
          <w:sz w:val="20"/>
          <w:szCs w:val="20"/>
          <w:color w:val="auto"/>
        </w:rPr>
      </w:pPr>
    </w:p>
    <w:p>
      <w:pPr>
        <w:ind w:right="620" w:firstLine="457"/>
        <w:spacing w:after="0" w:line="291" w:lineRule="auto"/>
        <w:rPr>
          <w:sz w:val="20"/>
          <w:szCs w:val="20"/>
          <w:color w:val="auto"/>
        </w:rPr>
      </w:pPr>
      <w:r>
        <w:rPr>
          <w:rFonts w:ascii="Arial" w:cs="Arial" w:eastAsia="Arial" w:hAnsi="Arial"/>
          <w:sz w:val="17"/>
          <w:szCs w:val="17"/>
          <w:color w:val="auto"/>
        </w:rPr>
        <w:t>The Trustees present at a meeting which has been duly called and convened may continue to transact business until adjournment, notwithstanding the withdrawal of enough Trustees to leave less than a quorum.</w:t>
      </w:r>
    </w:p>
    <w:p>
      <w:pPr>
        <w:spacing w:after="0" w:line="111"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ectPr>
          <w:pgSz w:w="11900" w:h="16838" w:orient="portrait"/>
          <w:cols w:equalWidth="0" w:num="1">
            <w:col w:w="11420"/>
          </w:cols>
          <w:pgMar w:left="240" w:top="277" w:right="239" w:bottom="1440" w:gutter="0" w:footer="0" w:header="0"/>
        </w:sectPr>
      </w:pPr>
    </w:p>
    <w:bookmarkStart w:id="108" w:name="page109"/>
    <w:bookmarkEnd w:id="108"/>
    <w:p>
      <w:pPr>
        <w:ind w:right="6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24" w:lineRule="exact"/>
        <w:rPr>
          <w:sz w:val="20"/>
          <w:szCs w:val="20"/>
          <w:color w:val="auto"/>
        </w:rPr>
      </w:pPr>
    </w:p>
    <w:p>
      <w:pPr>
        <w:ind w:right="500" w:firstLine="457"/>
        <w:spacing w:after="0" w:line="362" w:lineRule="auto"/>
        <w:rPr>
          <w:sz w:val="20"/>
          <w:szCs w:val="20"/>
          <w:color w:val="auto"/>
        </w:rPr>
      </w:pPr>
      <w:r>
        <w:rPr>
          <w:rFonts w:ascii="Arial" w:cs="Arial" w:eastAsia="Arial" w:hAnsi="Arial"/>
          <w:sz w:val="15"/>
          <w:szCs w:val="15"/>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65"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11. COMPENSATION; FINANCIAL ASSISTANCE.</w:t>
      </w:r>
    </w:p>
    <w:p>
      <w:pPr>
        <w:spacing w:after="0" w:line="97" w:lineRule="exact"/>
        <w:rPr>
          <w:sz w:val="20"/>
          <w:szCs w:val="20"/>
          <w:color w:val="auto"/>
        </w:rPr>
      </w:pPr>
    </w:p>
    <w:p>
      <w:pPr>
        <w:ind w:left="460" w:right="20" w:firstLine="441"/>
        <w:spacing w:after="0" w:line="312" w:lineRule="auto"/>
        <w:tabs>
          <w:tab w:leader="none" w:pos="1133" w:val="left"/>
        </w:tabs>
        <w:numPr>
          <w:ilvl w:val="0"/>
          <w:numId w:val="71"/>
        </w:numPr>
        <w:rPr>
          <w:rFonts w:ascii="Arial" w:cs="Arial" w:eastAsia="Arial" w:hAnsi="Arial"/>
          <w:sz w:val="15"/>
          <w:szCs w:val="15"/>
          <w:color w:val="auto"/>
        </w:rPr>
      </w:pPr>
      <w:r>
        <w:rPr>
          <w:rFonts w:ascii="Arial" w:cs="Arial" w:eastAsia="Arial" w:hAnsi="Arial"/>
          <w:sz w:val="15"/>
          <w:szCs w:val="15"/>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23" w:lineRule="exact"/>
        <w:rPr>
          <w:rFonts w:ascii="Arial" w:cs="Arial" w:eastAsia="Arial" w:hAnsi="Arial"/>
          <w:sz w:val="15"/>
          <w:szCs w:val="15"/>
          <w:color w:val="auto"/>
        </w:rPr>
      </w:pPr>
    </w:p>
    <w:p>
      <w:pPr>
        <w:ind w:left="460" w:right="260" w:firstLine="441"/>
        <w:spacing w:after="0" w:line="276" w:lineRule="auto"/>
        <w:tabs>
          <w:tab w:leader="none" w:pos="11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12. REMOVAL OF TRUSTEES. The shareholders may, at any time, remove any Trustee in the manner provided in the Declaration of Trust.</w:t>
      </w:r>
    </w:p>
    <w:p>
      <w:pPr>
        <w:spacing w:after="0" w:line="189" w:lineRule="exact"/>
        <w:rPr>
          <w:sz w:val="20"/>
          <w:szCs w:val="20"/>
          <w:color w:val="auto"/>
        </w:rPr>
      </w:pPr>
    </w:p>
    <w:p>
      <w:pPr>
        <w:ind w:right="220" w:firstLine="457"/>
        <w:spacing w:after="0" w:line="291" w:lineRule="auto"/>
        <w:rPr>
          <w:sz w:val="20"/>
          <w:szCs w:val="20"/>
          <w:color w:val="auto"/>
        </w:rPr>
      </w:pPr>
      <w:r>
        <w:rPr>
          <w:rFonts w:ascii="Arial" w:cs="Arial" w:eastAsia="Arial" w:hAnsi="Arial"/>
          <w:sz w:val="17"/>
          <w:szCs w:val="17"/>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111" w:lineRule="exact"/>
        <w:rPr>
          <w:sz w:val="20"/>
          <w:szCs w:val="20"/>
          <w:color w:val="auto"/>
        </w:rPr>
      </w:pPr>
    </w:p>
    <w:p>
      <w:pPr>
        <w:ind w:right="160" w:firstLine="457"/>
        <w:spacing w:after="0" w:line="291" w:lineRule="auto"/>
        <w:rPr>
          <w:sz w:val="20"/>
          <w:szCs w:val="20"/>
          <w:color w:val="auto"/>
        </w:rPr>
      </w:pPr>
      <w:r>
        <w:rPr>
          <w:rFonts w:ascii="Arial" w:cs="Arial" w:eastAsia="Arial" w:hAnsi="Arial"/>
          <w:sz w:val="17"/>
          <w:szCs w:val="17"/>
          <w:color w:val="auto"/>
        </w:rPr>
        <w:t>Section 14. SURETY BONDS. Unless required by law, no Trustee shall be obligated to give any bond or surety or other security for the performance of any of his duties.</w:t>
      </w:r>
    </w:p>
    <w:p>
      <w:pPr>
        <w:spacing w:after="0" w:line="111"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128" w:lineRule="exact"/>
        <w:rPr>
          <w:sz w:val="20"/>
          <w:szCs w:val="20"/>
          <w:color w:val="auto"/>
        </w:rPr>
      </w:pPr>
    </w:p>
    <w:p>
      <w:pPr>
        <w:ind w:right="60" w:firstLine="457"/>
        <w:spacing w:after="0" w:line="276" w:lineRule="auto"/>
        <w:rPr>
          <w:sz w:val="20"/>
          <w:szCs w:val="20"/>
          <w:color w:val="auto"/>
        </w:rPr>
      </w:pPr>
      <w:r>
        <w:rPr>
          <w:rFonts w:ascii="Arial" w:cs="Arial" w:eastAsia="Arial" w:hAnsi="Arial"/>
          <w:sz w:val="17"/>
          <w:szCs w:val="17"/>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ectPr>
          <w:pgSz w:w="11900" w:h="16838" w:orient="portrait"/>
          <w:cols w:equalWidth="0" w:num="1">
            <w:col w:w="11420"/>
          </w:cols>
          <w:pgMar w:left="240" w:top="277" w:right="239" w:bottom="1440" w:gutter="0" w:footer="0" w:header="0"/>
        </w:sectPr>
      </w:pPr>
    </w:p>
    <w:bookmarkStart w:id="109" w:name="page110"/>
    <w:bookmarkEnd w:id="109"/>
    <w:p>
      <w:pPr>
        <w:ind w:firstLine="457"/>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97"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 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COMMITTEES</w:t>
      </w:r>
    </w:p>
    <w:p>
      <w:pPr>
        <w:spacing w:after="0" w:line="170" w:lineRule="exact"/>
        <w:rPr>
          <w:sz w:val="20"/>
          <w:szCs w:val="20"/>
          <w:color w:val="auto"/>
        </w:rPr>
      </w:pPr>
    </w:p>
    <w:p>
      <w:pPr>
        <w:ind w:right="140" w:firstLine="457"/>
        <w:spacing w:after="0" w:line="289" w:lineRule="auto"/>
        <w:rPr>
          <w:sz w:val="20"/>
          <w:szCs w:val="20"/>
          <w:color w:val="auto"/>
        </w:rPr>
      </w:pPr>
      <w:r>
        <w:rPr>
          <w:rFonts w:ascii="Arial" w:cs="Arial" w:eastAsia="Arial" w:hAnsi="Arial"/>
          <w:sz w:val="16"/>
          <w:szCs w:val="16"/>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116" w:lineRule="exact"/>
        <w:rPr>
          <w:sz w:val="20"/>
          <w:szCs w:val="20"/>
          <w:color w:val="auto"/>
        </w:rPr>
      </w:pPr>
    </w:p>
    <w:p>
      <w:pPr>
        <w:ind w:right="640" w:firstLine="457"/>
        <w:spacing w:after="0" w:line="291" w:lineRule="auto"/>
        <w:rPr>
          <w:sz w:val="20"/>
          <w:szCs w:val="20"/>
          <w:color w:val="auto"/>
        </w:rPr>
      </w:pPr>
      <w:r>
        <w:rPr>
          <w:rFonts w:ascii="Arial" w:cs="Arial" w:eastAsia="Arial" w:hAnsi="Arial"/>
          <w:sz w:val="17"/>
          <w:szCs w:val="17"/>
          <w:color w:val="auto"/>
        </w:rPr>
        <w:t>Section 2. POWERS. The Trustees may delegate to committees appointed under Section 1 of this Article any of the powers of the Trustees, except as prohibited by law.</w:t>
      </w:r>
    </w:p>
    <w:p>
      <w:pPr>
        <w:spacing w:after="0" w:line="111"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124" w:lineRule="exact"/>
        <w:rPr>
          <w:sz w:val="20"/>
          <w:szCs w:val="20"/>
          <w:color w:val="auto"/>
        </w:rPr>
      </w:pPr>
    </w:p>
    <w:p>
      <w:pPr>
        <w:ind w:right="120" w:firstLine="457"/>
        <w:spacing w:after="0" w:line="312" w:lineRule="auto"/>
        <w:rPr>
          <w:sz w:val="20"/>
          <w:szCs w:val="20"/>
          <w:color w:val="auto"/>
        </w:rPr>
      </w:pPr>
      <w:r>
        <w:rPr>
          <w:rFonts w:ascii="Arial" w:cs="Arial" w:eastAsia="Arial" w:hAnsi="Arial"/>
          <w:sz w:val="15"/>
          <w:szCs w:val="15"/>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103"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8</w:t>
      </w:r>
    </w:p>
    <w:p>
      <w:pPr>
        <w:sectPr>
          <w:pgSz w:w="11900" w:h="16838" w:orient="portrait"/>
          <w:cols w:equalWidth="0" w:num="1">
            <w:col w:w="11420"/>
          </w:cols>
          <w:pgMar w:left="240" w:top="277" w:right="239" w:bottom="1440" w:gutter="0" w:footer="0" w:header="0"/>
        </w:sectPr>
      </w:pPr>
    </w:p>
    <w:bookmarkStart w:id="110" w:name="page111"/>
    <w:bookmarkEnd w:id="110"/>
    <w:p>
      <w:pPr>
        <w:ind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24" w:lineRule="exact"/>
        <w:rPr>
          <w:sz w:val="20"/>
          <w:szCs w:val="20"/>
          <w:color w:val="auto"/>
        </w:rPr>
      </w:pPr>
    </w:p>
    <w:p>
      <w:pPr>
        <w:ind w:right="260" w:firstLine="457"/>
        <w:spacing w:after="0" w:line="276" w:lineRule="auto"/>
        <w:rPr>
          <w:sz w:val="20"/>
          <w:szCs w:val="20"/>
          <w:color w:val="auto"/>
        </w:rPr>
      </w:pPr>
      <w:r>
        <w:rPr>
          <w:rFonts w:ascii="Arial" w:cs="Arial" w:eastAsia="Arial" w:hAnsi="Arial"/>
          <w:sz w:val="17"/>
          <w:szCs w:val="17"/>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124" w:lineRule="exact"/>
        <w:rPr>
          <w:sz w:val="20"/>
          <w:szCs w:val="20"/>
          <w:color w:val="auto"/>
        </w:rPr>
      </w:pPr>
    </w:p>
    <w:p>
      <w:pPr>
        <w:ind w:right="660" w:firstLine="457"/>
        <w:spacing w:after="0" w:line="276" w:lineRule="auto"/>
        <w:rPr>
          <w:sz w:val="20"/>
          <w:szCs w:val="20"/>
          <w:color w:val="auto"/>
        </w:rPr>
      </w:pPr>
      <w:r>
        <w:rPr>
          <w:rFonts w:ascii="Arial" w:cs="Arial" w:eastAsia="Arial" w:hAnsi="Arial"/>
          <w:sz w:val="17"/>
          <w:szCs w:val="17"/>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7"/>
          <w:szCs w:val="17"/>
          <w:b w:val="1"/>
          <w:bCs w:val="1"/>
          <w:i w:val="1"/>
          <w:iCs w:val="1"/>
          <w:color w:val="auto"/>
        </w:rPr>
        <w:t>ARTICLE V</w:t>
      </w:r>
    </w:p>
    <w:p>
      <w:pPr>
        <w:spacing w:after="0" w:line="25" w:lineRule="exact"/>
        <w:rPr>
          <w:sz w:val="20"/>
          <w:szCs w:val="20"/>
          <w:color w:val="auto"/>
        </w:rPr>
      </w:pPr>
    </w:p>
    <w:p>
      <w:pPr>
        <w:ind w:left="5280"/>
        <w:spacing w:after="0"/>
        <w:rPr>
          <w:sz w:val="20"/>
          <w:szCs w:val="20"/>
          <w:color w:val="auto"/>
        </w:rPr>
      </w:pPr>
      <w:r>
        <w:rPr>
          <w:rFonts w:ascii="Arial" w:cs="Arial" w:eastAsia="Arial" w:hAnsi="Arial"/>
          <w:sz w:val="17"/>
          <w:szCs w:val="17"/>
          <w:b w:val="1"/>
          <w:bCs w:val="1"/>
          <w:i w:val="1"/>
          <w:iCs w:val="1"/>
          <w:color w:val="auto"/>
        </w:rPr>
        <w:t>OFFICERS</w:t>
      </w:r>
    </w:p>
    <w:p>
      <w:pPr>
        <w:spacing w:after="0" w:line="170"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pacing w:after="0" w:line="123"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23" w:lineRule="exact"/>
        <w:rPr>
          <w:sz w:val="20"/>
          <w:szCs w:val="20"/>
          <w:color w:val="auto"/>
        </w:rPr>
      </w:pPr>
    </w:p>
    <w:p>
      <w:pPr>
        <w:ind w:right="240" w:firstLine="457"/>
        <w:spacing w:after="0" w:line="291" w:lineRule="auto"/>
        <w:rPr>
          <w:sz w:val="20"/>
          <w:szCs w:val="20"/>
          <w:color w:val="auto"/>
        </w:rPr>
      </w:pPr>
      <w:r>
        <w:rPr>
          <w:rFonts w:ascii="Arial" w:cs="Arial" w:eastAsia="Arial" w:hAnsi="Arial"/>
          <w:sz w:val="17"/>
          <w:szCs w:val="17"/>
          <w:color w:val="auto"/>
        </w:rPr>
        <w:t>Section 3. VACANCIES. A vacancy in any office may be filled by the Trustees for the balance of the term of office, and a vacancy in any office other than those of Chief Executive Officer, President and any other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w:t>
      </w:r>
    </w:p>
    <w:p>
      <w:pPr>
        <w:sectPr>
          <w:pgSz w:w="11900" w:h="16838" w:orient="portrait"/>
          <w:cols w:equalWidth="0" w:num="1">
            <w:col w:w="11420"/>
          </w:cols>
          <w:pgMar w:left="240" w:top="277" w:right="239" w:bottom="1440" w:gutter="0" w:footer="0" w:header="0"/>
        </w:sectPr>
      </w:pPr>
    </w:p>
    <w:bookmarkStart w:id="111" w:name="page112"/>
    <w:bookmarkEnd w:id="111"/>
    <w:p>
      <w:pPr>
        <w:ind w:right="18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Executive Officer may be filled by the Chief Executive Officer (or, if there is no Chief Executive Officer at such time, the President) for the balance of the term of office.</w:t>
      </w:r>
    </w:p>
    <w:p>
      <w:pPr>
        <w:spacing w:after="0" w:line="111"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pacing w:after="0" w:line="132" w:lineRule="exact"/>
        <w:rPr>
          <w:sz w:val="20"/>
          <w:szCs w:val="20"/>
          <w:color w:val="auto"/>
        </w:rPr>
      </w:pPr>
    </w:p>
    <w:p>
      <w:pPr>
        <w:jc w:val="both"/>
        <w:ind w:right="180" w:firstLine="457"/>
        <w:spacing w:after="0" w:line="276" w:lineRule="auto"/>
        <w:rPr>
          <w:sz w:val="20"/>
          <w:szCs w:val="20"/>
          <w:color w:val="auto"/>
        </w:rPr>
      </w:pPr>
      <w:r>
        <w:rPr>
          <w:rFonts w:ascii="Arial" w:cs="Arial" w:eastAsia="Arial" w:hAnsi="Arial"/>
          <w:sz w:val="17"/>
          <w:szCs w:val="17"/>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124" w:lineRule="exact"/>
        <w:rPr>
          <w:sz w:val="20"/>
          <w:szCs w:val="20"/>
          <w:color w:val="auto"/>
        </w:rPr>
      </w:pPr>
    </w:p>
    <w:p>
      <w:pPr>
        <w:jc w:val="both"/>
        <w:ind w:right="260" w:firstLine="457"/>
        <w:spacing w:after="0" w:line="276" w:lineRule="auto"/>
        <w:rPr>
          <w:sz w:val="20"/>
          <w:szCs w:val="20"/>
          <w:color w:val="auto"/>
        </w:rPr>
      </w:pPr>
      <w:r>
        <w:rPr>
          <w:rFonts w:ascii="Arial" w:cs="Arial" w:eastAsia="Arial" w:hAnsi="Arial"/>
          <w:sz w:val="17"/>
          <w:szCs w:val="17"/>
          <w:color w:val="auto"/>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spacing w:after="0" w:line="1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136"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116"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ectPr>
          <w:pgSz w:w="11900" w:h="16838" w:orient="portrait"/>
          <w:cols w:equalWidth="0" w:num="1">
            <w:col w:w="11420"/>
          </w:cols>
          <w:pgMar w:left="240" w:top="277" w:right="239" w:bottom="1440" w:gutter="0" w:footer="0" w:header="0"/>
        </w:sectPr>
      </w:pPr>
    </w:p>
    <w:bookmarkStart w:id="112" w:name="page113"/>
    <w:bookmarkEnd w:id="112"/>
    <w:p>
      <w:pPr>
        <w:ind w:right="12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9480" cy="27305"/>
                    </a:xfrm>
                    <a:prstGeom prst="rect">
                      <a:avLst/>
                    </a:prstGeom>
                    <a:noFill/>
                  </pic:spPr>
                </pic:pic>
              </a:graphicData>
            </a:graphic>
          </wp:anchor>
        </w:drawing>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124" w:lineRule="exact"/>
        <w:rPr>
          <w:sz w:val="20"/>
          <w:szCs w:val="20"/>
          <w:color w:val="auto"/>
        </w:rPr>
      </w:pPr>
    </w:p>
    <w:p>
      <w:pPr>
        <w:jc w:val="both"/>
        <w:ind w:right="80" w:firstLine="457"/>
        <w:spacing w:after="0" w:line="276" w:lineRule="auto"/>
        <w:rPr>
          <w:sz w:val="20"/>
          <w:szCs w:val="20"/>
          <w:color w:val="auto"/>
        </w:rPr>
      </w:pPr>
      <w:r>
        <w:rPr>
          <w:rFonts w:ascii="Arial" w:cs="Arial" w:eastAsia="Arial" w:hAnsi="Arial"/>
          <w:sz w:val="17"/>
          <w:szCs w:val="17"/>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124" w:lineRule="exact"/>
        <w:rPr>
          <w:sz w:val="20"/>
          <w:szCs w:val="20"/>
          <w:color w:val="auto"/>
        </w:rPr>
      </w:pPr>
    </w:p>
    <w:p>
      <w:pPr>
        <w:jc w:val="both"/>
        <w:ind w:right="160" w:firstLine="457"/>
        <w:spacing w:after="0" w:line="276" w:lineRule="auto"/>
        <w:rPr>
          <w:sz w:val="20"/>
          <w:szCs w:val="20"/>
          <w:color w:val="auto"/>
        </w:rPr>
      </w:pPr>
      <w:r>
        <w:rPr>
          <w:rFonts w:ascii="Arial" w:cs="Arial" w:eastAsia="Arial" w:hAnsi="Arial"/>
          <w:sz w:val="17"/>
          <w:szCs w:val="17"/>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124"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128" w:lineRule="exact"/>
        <w:rPr>
          <w:sz w:val="20"/>
          <w:szCs w:val="20"/>
          <w:color w:val="auto"/>
        </w:rPr>
      </w:pPr>
    </w:p>
    <w:p>
      <w:pPr>
        <w:ind w:right="200" w:firstLine="457"/>
        <w:spacing w:after="0" w:line="291" w:lineRule="auto"/>
        <w:rPr>
          <w:sz w:val="20"/>
          <w:szCs w:val="20"/>
          <w:color w:val="auto"/>
        </w:rPr>
      </w:pPr>
      <w:r>
        <w:rPr>
          <w:rFonts w:ascii="Arial" w:cs="Arial" w:eastAsia="Arial" w:hAnsi="Arial"/>
          <w:sz w:val="17"/>
          <w:szCs w:val="17"/>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VI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CONTRACTS, LOANS, CHECKS AND DEPOSITS</w:t>
      </w:r>
    </w:p>
    <w:p>
      <w:pPr>
        <w:spacing w:after="0" w:line="17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128"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111" w:lineRule="exact"/>
        <w:rPr>
          <w:sz w:val="20"/>
          <w:szCs w:val="20"/>
          <w:color w:val="auto"/>
        </w:rPr>
      </w:pPr>
    </w:p>
    <w:p>
      <w:pPr>
        <w:ind w:right="400" w:firstLine="457"/>
        <w:spacing w:after="0" w:line="276" w:lineRule="auto"/>
        <w:rPr>
          <w:sz w:val="20"/>
          <w:szCs w:val="20"/>
          <w:color w:val="auto"/>
        </w:rPr>
      </w:pPr>
      <w:r>
        <w:rPr>
          <w:rFonts w:ascii="Arial" w:cs="Arial" w:eastAsia="Arial" w:hAnsi="Arial"/>
          <w:sz w:val="17"/>
          <w:szCs w:val="17"/>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VII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SHARES</w:t>
      </w:r>
    </w:p>
    <w:p>
      <w:pPr>
        <w:spacing w:after="0" w:line="170" w:lineRule="exact"/>
        <w:rPr>
          <w:sz w:val="20"/>
          <w:szCs w:val="20"/>
          <w:color w:val="auto"/>
        </w:rPr>
      </w:pPr>
    </w:p>
    <w:p>
      <w:pPr>
        <w:ind w:right="260" w:firstLine="457"/>
        <w:spacing w:after="0" w:line="271" w:lineRule="auto"/>
        <w:rPr>
          <w:sz w:val="20"/>
          <w:szCs w:val="20"/>
          <w:color w:val="auto"/>
        </w:rPr>
      </w:pPr>
      <w:r>
        <w:rPr>
          <w:rFonts w:ascii="Arial" w:cs="Arial" w:eastAsia="Arial" w:hAnsi="Arial"/>
          <w:sz w:val="17"/>
          <w:szCs w:val="17"/>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11</w:t>
      </w:r>
    </w:p>
    <w:p>
      <w:pPr>
        <w:sectPr>
          <w:pgSz w:w="11900" w:h="16838" w:orient="portrait"/>
          <w:cols w:equalWidth="0" w:num="1">
            <w:col w:w="11400"/>
          </w:cols>
          <w:pgMar w:left="240" w:top="277" w:right="259" w:bottom="1440" w:gutter="0" w:footer="0" w:header="0"/>
        </w:sectPr>
      </w:pPr>
    </w:p>
    <w:bookmarkStart w:id="113" w:name="page114"/>
    <w:bookmarkEnd w:id="113"/>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9480" cy="27305"/>
                    </a:xfrm>
                    <a:prstGeom prst="rect">
                      <a:avLst/>
                    </a:prstGeom>
                    <a:noFill/>
                  </pic:spPr>
                </pic:pic>
              </a:graphicData>
            </a:graphic>
          </wp:anchor>
        </w:drawing>
        <w:t>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28" w:lineRule="exact"/>
        <w:rPr>
          <w:sz w:val="20"/>
          <w:szCs w:val="20"/>
          <w:color w:val="auto"/>
        </w:rPr>
      </w:pPr>
    </w:p>
    <w:p>
      <w:pPr>
        <w:ind w:right="100" w:firstLine="457"/>
        <w:spacing w:after="0" w:line="276" w:lineRule="auto"/>
        <w:rPr>
          <w:sz w:val="20"/>
          <w:szCs w:val="20"/>
          <w:color w:val="auto"/>
        </w:rPr>
      </w:pPr>
      <w:r>
        <w:rPr>
          <w:rFonts w:ascii="Arial" w:cs="Arial" w:eastAsia="Arial" w:hAnsi="Arial"/>
          <w:sz w:val="17"/>
          <w:szCs w:val="17"/>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24" w:lineRule="exact"/>
        <w:rPr>
          <w:sz w:val="20"/>
          <w:szCs w:val="20"/>
          <w:color w:val="auto"/>
        </w:rPr>
      </w:pPr>
    </w:p>
    <w:p>
      <w:pPr>
        <w:ind w:right="300" w:firstLine="457"/>
        <w:spacing w:after="0" w:line="291" w:lineRule="auto"/>
        <w:rPr>
          <w:sz w:val="20"/>
          <w:szCs w:val="20"/>
          <w:color w:val="auto"/>
        </w:rPr>
      </w:pPr>
      <w:r>
        <w:rPr>
          <w:rFonts w:ascii="Arial" w:cs="Arial" w:eastAsia="Arial" w:hAnsi="Arial"/>
          <w:sz w:val="17"/>
          <w:szCs w:val="17"/>
          <w:color w:val="auto"/>
        </w:rPr>
        <w:t>Notwithstanding the foregoing, transfers of shares of beneficial interest of the Trust will be subject in all respects to the Declaration of Trust and all of the terms and conditions contained therein.</w:t>
      </w:r>
    </w:p>
    <w:p>
      <w:pPr>
        <w:spacing w:after="0" w:line="11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132" w:lineRule="exact"/>
        <w:rPr>
          <w:sz w:val="20"/>
          <w:szCs w:val="20"/>
          <w:color w:val="auto"/>
        </w:rPr>
      </w:pPr>
    </w:p>
    <w:p>
      <w:pPr>
        <w:ind w:right="160" w:firstLine="457"/>
        <w:spacing w:after="0" w:line="289" w:lineRule="auto"/>
        <w:rPr>
          <w:sz w:val="20"/>
          <w:szCs w:val="20"/>
          <w:color w:val="auto"/>
        </w:rPr>
      </w:pPr>
      <w:r>
        <w:rPr>
          <w:rFonts w:ascii="Arial" w:cs="Arial" w:eastAsia="Arial" w:hAnsi="Arial"/>
          <w:sz w:val="16"/>
          <w:szCs w:val="16"/>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116"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24"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12</w:t>
      </w:r>
    </w:p>
    <w:p>
      <w:pPr>
        <w:sectPr>
          <w:pgSz w:w="11900" w:h="16838" w:orient="portrait"/>
          <w:cols w:equalWidth="0" w:num="1">
            <w:col w:w="11400"/>
          </w:cols>
          <w:pgMar w:left="240" w:top="277" w:right="259" w:bottom="1440" w:gutter="0" w:footer="0" w:header="0"/>
        </w:sectPr>
      </w:pPr>
    </w:p>
    <w:bookmarkStart w:id="114" w:name="page115"/>
    <w:bookmarkEnd w:id="114"/>
    <w:p>
      <w:pPr>
        <w:ind w:right="180" w:firstLine="457"/>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28" w:lineRule="exact"/>
        <w:rPr>
          <w:sz w:val="20"/>
          <w:szCs w:val="20"/>
          <w:color w:val="auto"/>
        </w:rPr>
      </w:pPr>
    </w:p>
    <w:p>
      <w:pPr>
        <w:ind w:right="540" w:firstLine="457"/>
        <w:spacing w:after="0" w:line="324" w:lineRule="auto"/>
        <w:rPr>
          <w:sz w:val="20"/>
          <w:szCs w:val="20"/>
          <w:color w:val="auto"/>
        </w:rPr>
      </w:pPr>
      <w:r>
        <w:rPr>
          <w:rFonts w:ascii="Arial" w:cs="Arial" w:eastAsia="Arial" w:hAnsi="Arial"/>
          <w:sz w:val="16"/>
          <w:szCs w:val="16"/>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89" w:lineRule="exact"/>
        <w:rPr>
          <w:sz w:val="20"/>
          <w:szCs w:val="20"/>
          <w:color w:val="auto"/>
        </w:rPr>
      </w:pPr>
    </w:p>
    <w:p>
      <w:pPr>
        <w:ind w:right="40" w:firstLine="457"/>
        <w:spacing w:after="0" w:line="318" w:lineRule="auto"/>
        <w:rPr>
          <w:sz w:val="20"/>
          <w:szCs w:val="20"/>
          <w:color w:val="auto"/>
        </w:rPr>
      </w:pPr>
      <w:r>
        <w:rPr>
          <w:rFonts w:ascii="Arial" w:cs="Arial" w:eastAsia="Arial" w:hAnsi="Arial"/>
          <w:sz w:val="15"/>
          <w:szCs w:val="15"/>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VIII</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ACCOUNTING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Trustees shall have the power, from time to time, to fix the fiscal year of the Trust by a duly adopted resolution.</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IX</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DISTRIBUTIONS</w:t>
      </w:r>
    </w:p>
    <w:p>
      <w:pPr>
        <w:spacing w:after="0" w:line="170"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124" w:lineRule="exact"/>
        <w:rPr>
          <w:sz w:val="20"/>
          <w:szCs w:val="20"/>
          <w:color w:val="auto"/>
        </w:rPr>
      </w:pPr>
    </w:p>
    <w:p>
      <w:pPr>
        <w:ind w:right="180" w:firstLine="457"/>
        <w:spacing w:after="0" w:line="293" w:lineRule="auto"/>
        <w:rPr>
          <w:sz w:val="20"/>
          <w:szCs w:val="20"/>
          <w:color w:val="auto"/>
        </w:rPr>
      </w:pPr>
      <w:r>
        <w:rPr>
          <w:rFonts w:ascii="Arial" w:cs="Arial" w:eastAsia="Arial" w:hAnsi="Arial"/>
          <w:sz w:val="16"/>
          <w:szCs w:val="16"/>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X</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INVESTMENT POLICY</w:t>
      </w:r>
    </w:p>
    <w:p>
      <w:pPr>
        <w:spacing w:after="0" w:line="170" w:lineRule="exact"/>
        <w:rPr>
          <w:sz w:val="20"/>
          <w:szCs w:val="20"/>
          <w:color w:val="auto"/>
        </w:rPr>
      </w:pPr>
    </w:p>
    <w:p>
      <w:pPr>
        <w:ind w:right="280" w:firstLine="457"/>
        <w:spacing w:after="0" w:line="291" w:lineRule="auto"/>
        <w:rPr>
          <w:sz w:val="20"/>
          <w:szCs w:val="20"/>
          <w:color w:val="auto"/>
        </w:rPr>
      </w:pPr>
      <w:r>
        <w:rPr>
          <w:rFonts w:ascii="Arial" w:cs="Arial" w:eastAsia="Arial" w:hAnsi="Arial"/>
          <w:sz w:val="17"/>
          <w:szCs w:val="17"/>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13</w:t>
      </w:r>
    </w:p>
    <w:p>
      <w:pPr>
        <w:sectPr>
          <w:pgSz w:w="11900" w:h="16838" w:orient="portrait"/>
          <w:cols w:equalWidth="0" w:num="1">
            <w:col w:w="11400"/>
          </w:cols>
          <w:pgMar w:left="240" w:top="277" w:right="2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ARTICLE XI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SEAL</w:t>
      </w:r>
    </w:p>
    <w:p>
      <w:pPr>
        <w:spacing w:after="0" w:line="170" w:lineRule="exact"/>
        <w:rPr>
          <w:sz w:val="20"/>
          <w:szCs w:val="20"/>
          <w:color w:val="auto"/>
        </w:rPr>
      </w:pPr>
    </w:p>
    <w:p>
      <w:pPr>
        <w:ind w:right="160" w:firstLine="457"/>
        <w:spacing w:after="0" w:line="291" w:lineRule="auto"/>
        <w:rPr>
          <w:sz w:val="20"/>
          <w:szCs w:val="20"/>
          <w:color w:val="auto"/>
        </w:rPr>
      </w:pPr>
      <w:r>
        <w:rPr>
          <w:rFonts w:ascii="Arial" w:cs="Arial" w:eastAsia="Arial" w:hAnsi="Arial"/>
          <w:sz w:val="17"/>
          <w:szCs w:val="17"/>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XII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INDEMNIFICATION AND ADVANCE OF EXPENSES</w:t>
      </w:r>
    </w:p>
    <w:p>
      <w:pPr>
        <w:spacing w:after="0" w:line="170" w:lineRule="exact"/>
        <w:rPr>
          <w:sz w:val="20"/>
          <w:szCs w:val="20"/>
          <w:color w:val="auto"/>
        </w:rPr>
      </w:pPr>
    </w:p>
    <w:p>
      <w:pPr>
        <w:ind w:right="60" w:firstLine="457"/>
        <w:spacing w:after="0" w:line="297" w:lineRule="auto"/>
        <w:rPr>
          <w:sz w:val="20"/>
          <w:szCs w:val="20"/>
          <w:color w:val="auto"/>
        </w:rPr>
      </w:pPr>
      <w:r>
        <w:rPr>
          <w:rFonts w:ascii="Arial" w:cs="Arial" w:eastAsia="Arial" w:hAnsi="Arial"/>
          <w:sz w:val="15"/>
          <w:szCs w:val="15"/>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w:t>
      </w:r>
    </w:p>
    <w:p>
      <w:pPr>
        <w:spacing w:after="0" w:line="1" w:lineRule="exact"/>
        <w:rPr>
          <w:sz w:val="20"/>
          <w:szCs w:val="20"/>
          <w:color w:val="auto"/>
        </w:rPr>
      </w:pPr>
    </w:p>
    <w:p>
      <w:pPr>
        <w:ind w:firstLine="6"/>
        <w:spacing w:after="0" w:line="263" w:lineRule="auto"/>
        <w:tabs>
          <w:tab w:leader="none" w:pos="2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138"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14</w:t>
      </w:r>
    </w:p>
    <w:p>
      <w:pPr>
        <w:sectPr>
          <w:pgSz w:w="11900" w:h="16838" w:orient="portrait"/>
          <w:cols w:equalWidth="0" w:num="1">
            <w:col w:w="11420"/>
          </w:cols>
          <w:pgMar w:left="240" w:top="277" w:right="2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9480" cy="27305"/>
                    </a:xfrm>
                    <a:prstGeom prst="rect">
                      <a:avLst/>
                    </a:prstGeom>
                    <a:noFill/>
                  </pic:spPr>
                </pic:pic>
              </a:graphicData>
            </a:graphic>
          </wp:anchor>
        </w:drawing>
        <w:t>ARTICLE XIII</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WAIVER OF NOTICE</w:t>
      </w:r>
    </w:p>
    <w:p>
      <w:pPr>
        <w:spacing w:after="0" w:line="170" w:lineRule="exact"/>
        <w:rPr>
          <w:sz w:val="20"/>
          <w:szCs w:val="20"/>
          <w:color w:val="auto"/>
        </w:rPr>
      </w:pPr>
    </w:p>
    <w:p>
      <w:pPr>
        <w:ind w:right="120" w:firstLine="457"/>
        <w:spacing w:after="0" w:line="289" w:lineRule="auto"/>
        <w:rPr>
          <w:sz w:val="20"/>
          <w:szCs w:val="20"/>
          <w:color w:val="auto"/>
        </w:rPr>
      </w:pPr>
      <w:r>
        <w:rPr>
          <w:rFonts w:ascii="Arial" w:cs="Arial" w:eastAsia="Arial" w:hAnsi="Arial"/>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XIV</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AMENDMENT OF BYLAWS</w:t>
      </w:r>
    </w:p>
    <w:p>
      <w:pPr>
        <w:spacing w:after="0" w:line="170" w:lineRule="exact"/>
        <w:rPr>
          <w:sz w:val="20"/>
          <w:szCs w:val="20"/>
          <w:color w:val="auto"/>
        </w:rPr>
      </w:pPr>
    </w:p>
    <w:p>
      <w:pPr>
        <w:ind w:firstLine="457"/>
        <w:spacing w:after="0" w:line="324" w:lineRule="auto"/>
        <w:rPr>
          <w:sz w:val="20"/>
          <w:szCs w:val="20"/>
          <w:color w:val="auto"/>
        </w:rPr>
      </w:pPr>
      <w:r>
        <w:rPr>
          <w:rFonts w:ascii="Arial" w:cs="Arial" w:eastAsia="Arial" w:hAnsi="Arial"/>
          <w:sz w:val="16"/>
          <w:szCs w:val="16"/>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89" w:lineRule="exact"/>
        <w:rPr>
          <w:sz w:val="20"/>
          <w:szCs w:val="20"/>
          <w:color w:val="auto"/>
        </w:rPr>
      </w:pPr>
    </w:p>
    <w:p>
      <w:pPr>
        <w:jc w:val="both"/>
        <w:ind w:right="140" w:firstLine="457"/>
        <w:spacing w:after="0" w:line="271" w:lineRule="auto"/>
        <w:rPr>
          <w:sz w:val="20"/>
          <w:szCs w:val="20"/>
          <w:color w:val="auto"/>
        </w:rPr>
      </w:pPr>
      <w:r>
        <w:rPr>
          <w:rFonts w:ascii="Arial" w:cs="Arial" w:eastAsia="Arial" w:hAnsi="Arial"/>
          <w:sz w:val="17"/>
          <w:szCs w:val="17"/>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XV</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MISCELLANEOUS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references to the Declaration of Trust shall include any amendments thereto.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Amended on October 29, 2003</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Amended on May 5, 2004</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Amended on February 17, 2006</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15</w:t>
      </w:r>
    </w:p>
    <w:p>
      <w:pPr>
        <w:sectPr>
          <w:pgSz w:w="11900" w:h="16838" w:orient="portrait"/>
          <w:cols w:equalWidth="0" w:num="1">
            <w:col w:w="11400"/>
          </w:cols>
          <w:pgMar w:left="240" w:top="277" w:right="2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10.32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COMBINED INCENTIVE AND NON-QUALIFIED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STOCK OPTION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(Award under the Federal Realty Investment Trust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2003 Long Term Incentive Award Program)</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-8255</wp:posOffset>
            </wp:positionV>
            <wp:extent cx="549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9275" cy="8255"/>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parties to this </w:t>
      </w:r>
      <w:r>
        <w:rPr>
          <w:rFonts w:ascii="Arial" w:cs="Arial" w:eastAsia="Arial" w:hAnsi="Arial"/>
          <w:sz w:val="16"/>
          <w:szCs w:val="16"/>
          <w:b w:val="1"/>
          <w:bCs w:val="1"/>
          <w:color w:val="auto"/>
        </w:rPr>
        <w:t>Combined Incentive and Non-Qualified Stock Option Agreement</w:t>
      </w:r>
      <w:r>
        <w:rPr>
          <w:rFonts w:ascii="Arial" w:cs="Arial" w:eastAsia="Arial" w:hAnsi="Arial"/>
          <w:sz w:val="16"/>
          <w:szCs w:val="16"/>
          <w:color w:val="auto"/>
        </w:rPr>
        <w:t xml:space="preserve"> (this “Agreement”) are </w:t>
      </w:r>
      <w:r>
        <w:rPr>
          <w:rFonts w:ascii="Arial" w:cs="Arial" w:eastAsia="Arial" w:hAnsi="Arial"/>
          <w:sz w:val="16"/>
          <w:szCs w:val="16"/>
          <w:b w:val="1"/>
          <w:bCs w:val="1"/>
          <w:color w:val="auto"/>
        </w:rPr>
        <w:t>Federal Realty Investment Trust</w:t>
      </w:r>
      <w:r>
        <w:rPr>
          <w:rFonts w:ascii="Arial" w:cs="Arial" w:eastAsia="Arial" w:hAnsi="Arial"/>
          <w:sz w:val="16"/>
          <w:szCs w:val="16"/>
          <w:color w:val="auto"/>
        </w:rPr>
        <w:t>, a</w:t>
      </w:r>
    </w:p>
    <w:p>
      <w:pPr>
        <w:spacing w:after="0" w:line="42" w:lineRule="exact"/>
        <w:rPr>
          <w:sz w:val="20"/>
          <w:szCs w:val="20"/>
          <w:color w:val="auto"/>
        </w:rPr>
      </w:pPr>
    </w:p>
    <w:p>
      <w:pPr>
        <w:spacing w:after="0"/>
        <w:tabs>
          <w:tab w:leader="none" w:pos="4720" w:val="left"/>
        </w:tabs>
        <w:rPr>
          <w:sz w:val="20"/>
          <w:szCs w:val="20"/>
          <w:color w:val="auto"/>
        </w:rPr>
      </w:pPr>
      <w:r>
        <w:rPr>
          <w:rFonts w:ascii="Arial" w:cs="Arial" w:eastAsia="Arial" w:hAnsi="Arial"/>
          <w:sz w:val="17"/>
          <w:szCs w:val="17"/>
          <w:color w:val="auto"/>
        </w:rPr>
        <w:t>Maryland real estate investment trust (the “Trust”), and</w:t>
      </w:r>
      <w:r>
        <w:rPr>
          <w:sz w:val="20"/>
          <w:szCs w:val="20"/>
          <w:color w:val="auto"/>
        </w:rPr>
        <w:tab/>
      </w:r>
      <w:r>
        <w:rPr>
          <w:rFonts w:ascii="Arial" w:cs="Arial" w:eastAsia="Arial" w:hAnsi="Arial"/>
          <w:sz w:val="16"/>
          <w:szCs w:val="16"/>
          <w:color w:val="auto"/>
        </w:rPr>
        <w:t>, an individual employee of the Trust (the “Key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-12700</wp:posOffset>
            </wp:positionV>
            <wp:extent cx="5492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9275" cy="8255"/>
                    </a:xfrm>
                    <a:prstGeom prst="rect">
                      <a:avLst/>
                    </a:prstGeom>
                    <a:noFill/>
                  </pic:spPr>
                </pic:pic>
              </a:graphicData>
            </a:graphic>
          </wp:anchor>
        </w:drawing>
      </w:r>
    </w:p>
    <w:p>
      <w:pPr>
        <w:spacing w:after="0" w:line="150"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The Board of Trustees of the Trust (the “Board of Trustees”) has authorized the award by the Trust to the Key Employee, under the Trust’s 2001 Long-Term Incentive Plan (the “Plan”): (a) options that qualify as “Incentive Stock Options” within the meaning of Section 422 or any successor provision of the Internal Revenue Code of 1986, as amended (“Code”), and/or (b) options not intended to qualify as Incentive Stock Options (“Non-Qualified Stock Options”), subject to certain restrictions and covenants on the part of Key Employee as set forth herein. The parties hereto desire to set forth in this Agreement their respective rights and obligations with respect to such Incentive Stock Options and Non-Qualified Stock Options.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Capitalized terms used in this Agreement, unless otherwise defined herein, have the respective meanings given to such terms in the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consideration of the covenants set forth in this Agreement, and intending to be legally bound hereby, the parties hereto agree as follows:</w:t>
      </w:r>
    </w:p>
    <w:p>
      <w:pPr>
        <w:spacing w:after="0" w:line="171" w:lineRule="exact"/>
        <w:rPr>
          <w:sz w:val="20"/>
          <w:szCs w:val="20"/>
          <w:color w:val="auto"/>
        </w:rPr>
      </w:pPr>
    </w:p>
    <w:p>
      <w:pPr>
        <w:ind w:left="640" w:hanging="177"/>
        <w:spacing w:after="0"/>
        <w:tabs>
          <w:tab w:leader="none" w:pos="64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Award of Options</w:t>
      </w:r>
      <w:r>
        <w:rPr>
          <w:rFonts w:ascii="Arial" w:cs="Arial" w:eastAsia="Arial" w:hAnsi="Arial"/>
          <w:sz w:val="17"/>
          <w:szCs w:val="17"/>
          <w:b w:val="1"/>
          <w:bCs w:val="1"/>
          <w:color w:val="auto"/>
        </w:rPr>
        <w:t>.</w:t>
      </w:r>
    </w:p>
    <w:p>
      <w:pPr>
        <w:spacing w:after="0" w:line="103" w:lineRule="exact"/>
        <w:rPr>
          <w:rFonts w:ascii="Arial" w:cs="Arial" w:eastAsia="Arial" w:hAnsi="Arial"/>
          <w:sz w:val="17"/>
          <w:szCs w:val="17"/>
          <w:b w:val="1"/>
          <w:bCs w:val="1"/>
          <w:color w:val="auto"/>
        </w:rPr>
      </w:pPr>
    </w:p>
    <w:p>
      <w:pPr>
        <w:ind w:left="460" w:right="40" w:firstLine="441"/>
        <w:spacing w:after="0" w:line="266" w:lineRule="auto"/>
        <w:tabs>
          <w:tab w:leader="none" w:pos="1133" w:val="left"/>
        </w:tabs>
        <w:numPr>
          <w:ilvl w:val="1"/>
          <w:numId w:val="73"/>
        </w:numPr>
        <w:rPr>
          <w:rFonts w:ascii="Arial" w:cs="Arial" w:eastAsia="Arial" w:hAnsi="Arial"/>
          <w:sz w:val="17"/>
          <w:szCs w:val="17"/>
          <w:color w:val="auto"/>
        </w:rPr>
      </w:pPr>
      <w:r>
        <w:rPr>
          <w:rFonts w:ascii="Arial" w:cs="Arial" w:eastAsia="Arial" w:hAnsi="Arial"/>
          <w:sz w:val="17"/>
          <w:szCs w:val="17"/>
          <w:i w:val="1"/>
          <w:iCs w:val="1"/>
          <w:u w:val="single" w:color="auto"/>
          <w:color w:val="auto"/>
        </w:rPr>
        <w:t>Number of Shares and Price</w:t>
      </w:r>
      <w:r>
        <w:rPr>
          <w:rFonts w:ascii="Arial" w:cs="Arial" w:eastAsia="Arial" w:hAnsi="Arial"/>
          <w:sz w:val="17"/>
          <w:szCs w:val="17"/>
          <w:color w:val="auto"/>
        </w:rPr>
        <w:t>. The Trust hereby grants to the Key Employee an option (“Option”) to purchase the number of Shares set forth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last page of this Agreement. The exercise price per Share of the Option shall be as is set forth on the last page of this Agreement, such price being the Fair Market Value per Share on the Grant Date of the Option. The portion of the Option indicated on the last page of this Agreement as an Incentive Stock Option is intended to be an Incentive Stock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but only to the extent, that the provisions of this Agreement or the nature of any actions taken by the Key Employee are inconsistent with the treatment of such portion of the Option as an Incentive Stock Option, such portion of the Option shall be deemed a Non-Qualified Stock Option. The other portion of the Option indicated on the last page of this Agreement is a Non-Qualified Stock Option.</w:t>
      </w:r>
    </w:p>
    <w:p>
      <w:pPr>
        <w:spacing w:after="0" w:line="53" w:lineRule="exact"/>
        <w:rPr>
          <w:rFonts w:ascii="Arial" w:cs="Arial" w:eastAsia="Arial" w:hAnsi="Arial"/>
          <w:sz w:val="17"/>
          <w:szCs w:val="17"/>
          <w:color w:val="auto"/>
        </w:rPr>
      </w:pPr>
    </w:p>
    <w:p>
      <w:pPr>
        <w:ind w:left="460" w:right="40" w:firstLine="441"/>
        <w:spacing w:after="0" w:line="291" w:lineRule="auto"/>
        <w:tabs>
          <w:tab w:leader="none" w:pos="1143" w:val="left"/>
        </w:tabs>
        <w:numPr>
          <w:ilvl w:val="1"/>
          <w:numId w:val="73"/>
        </w:numPr>
        <w:rPr>
          <w:rFonts w:ascii="Arial" w:cs="Arial" w:eastAsia="Arial" w:hAnsi="Arial"/>
          <w:sz w:val="17"/>
          <w:szCs w:val="17"/>
          <w:color w:val="auto"/>
        </w:rPr>
      </w:pPr>
      <w:r>
        <w:rPr>
          <w:rFonts w:ascii="Arial" w:cs="Arial" w:eastAsia="Arial" w:hAnsi="Arial"/>
          <w:sz w:val="17"/>
          <w:szCs w:val="17"/>
          <w:i w:val="1"/>
          <w:iCs w:val="1"/>
          <w:u w:val="single" w:color="auto"/>
          <w:color w:val="auto"/>
        </w:rPr>
        <w:t>Term and Exercise</w:t>
      </w:r>
      <w:r>
        <w:rPr>
          <w:rFonts w:ascii="Arial" w:cs="Arial" w:eastAsia="Arial" w:hAnsi="Arial"/>
          <w:sz w:val="17"/>
          <w:szCs w:val="17"/>
          <w:color w:val="auto"/>
        </w:rPr>
        <w:t>. The Option shall expire ten (10) years from the Grant Date, subject to earlier termination as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of </w:t>
      </w:r>
      <w:r>
        <w:rPr>
          <w:rFonts w:ascii="Arial" w:cs="Arial" w:eastAsia="Arial" w:hAnsi="Arial"/>
          <w:sz w:val="17"/>
          <w:szCs w:val="17"/>
          <w:u w:val="single" w:color="auto"/>
          <w:color w:val="auto"/>
        </w:rPr>
        <w:t>Sections 2 and 3</w:t>
      </w:r>
      <w:r>
        <w:rPr>
          <w:rFonts w:ascii="Arial" w:cs="Arial" w:eastAsia="Arial" w:hAnsi="Arial"/>
          <w:sz w:val="17"/>
          <w:szCs w:val="17"/>
          <w:color w:val="auto"/>
        </w:rPr>
        <w:t>, the Option shall become exercisable in installments as set forth on the last page of this Agreement.</w:t>
      </w:r>
    </w:p>
    <w:p>
      <w:pPr>
        <w:spacing w:after="0" w:line="105" w:lineRule="exact"/>
        <w:rPr>
          <w:rFonts w:ascii="Arial" w:cs="Arial" w:eastAsia="Arial" w:hAnsi="Arial"/>
          <w:sz w:val="17"/>
          <w:szCs w:val="17"/>
          <w:color w:val="auto"/>
        </w:rPr>
      </w:pPr>
    </w:p>
    <w:p>
      <w:pPr>
        <w:ind w:left="640" w:hanging="177"/>
        <w:spacing w:after="0"/>
        <w:tabs>
          <w:tab w:leader="none" w:pos="64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of Option Upon Termination of Service</w:t>
      </w:r>
      <w:r>
        <w:rPr>
          <w:rFonts w:ascii="Arial" w:cs="Arial" w:eastAsia="Arial" w:hAnsi="Arial"/>
          <w:sz w:val="17"/>
          <w:szCs w:val="17"/>
          <w:b w:val="1"/>
          <w:bCs w:val="1"/>
          <w:color w:val="auto"/>
        </w:rPr>
        <w:t>.</w:t>
      </w:r>
    </w:p>
    <w:p>
      <w:pPr>
        <w:spacing w:after="0" w:line="103" w:lineRule="exact"/>
        <w:rPr>
          <w:rFonts w:ascii="Arial" w:cs="Arial" w:eastAsia="Arial" w:hAnsi="Arial"/>
          <w:sz w:val="17"/>
          <w:szCs w:val="17"/>
          <w:b w:val="1"/>
          <w:bCs w:val="1"/>
          <w:color w:val="auto"/>
        </w:rPr>
      </w:pPr>
    </w:p>
    <w:p>
      <w:pPr>
        <w:ind w:left="460" w:right="20" w:firstLine="441"/>
        <w:spacing w:after="0" w:line="309" w:lineRule="auto"/>
        <w:tabs>
          <w:tab w:leader="none" w:pos="1133" w:val="left"/>
        </w:tabs>
        <w:numPr>
          <w:ilvl w:val="1"/>
          <w:numId w:val="73"/>
        </w:numPr>
        <w:rPr>
          <w:rFonts w:ascii="Arial" w:cs="Arial" w:eastAsia="Arial" w:hAnsi="Arial"/>
          <w:sz w:val="15"/>
          <w:szCs w:val="15"/>
          <w:color w:val="auto"/>
        </w:rPr>
      </w:pPr>
      <w:r>
        <w:rPr>
          <w:rFonts w:ascii="Arial" w:cs="Arial" w:eastAsia="Arial" w:hAnsi="Arial"/>
          <w:sz w:val="15"/>
          <w:szCs w:val="15"/>
          <w:i w:val="1"/>
          <w:iCs w:val="1"/>
          <w:u w:val="single" w:color="auto"/>
          <w:color w:val="auto"/>
        </w:rPr>
        <w:t>Retirement</w:t>
      </w:r>
      <w:r>
        <w:rPr>
          <w:rFonts w:ascii="Arial" w:cs="Arial" w:eastAsia="Arial" w:hAnsi="Arial"/>
          <w:sz w:val="15"/>
          <w:szCs w:val="15"/>
          <w:color w:val="auto"/>
        </w:rPr>
        <w:t>. Upon the Key Employee’s termination of Service by reason of retirement and notwithstanding anything to the contrary set forth in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some or all of the Options shall become immediately exercisable as follows: (i) 50% of the then unexercisable Options shall become immediately exercisable in the event of the Key Employee’s retirement on or after the Key Employee reaches the age of 58 (“Permitted Retirement Date”) but before the Key Employee reaches the age of 62; (ii) 75% of the then unexercisable Options shall become immediately exercisable in the event of the Key Employee’s retirement on or after the Key Employee reaches the age of 62 but before the Key Employee reaches the age of 65; and (iii) all of the then unexercisable Options shall become immediately exercisable in the event of the Key Employee’s retirement on or after the Key Employee reaches the age of 65. The Key</w:t>
      </w:r>
    </w:p>
    <w:p>
      <w:pPr>
        <w:sectPr>
          <w:pgSz w:w="11900" w:h="16838" w:orient="portrait"/>
          <w:cols w:equalWidth="0" w:num="1">
            <w:col w:w="11420"/>
          </w:cols>
          <w:pgMar w:left="240" w:top="125" w:right="239" w:bottom="1440" w:gutter="0" w:footer="0" w:header="0"/>
        </w:sectPr>
      </w:pPr>
    </w:p>
    <w:bookmarkStart w:id="118" w:name="page119"/>
    <w:bookmarkEnd w:id="118"/>
    <w:p>
      <w:pPr>
        <w:ind w:left="420"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9480" cy="27305"/>
                    </a:xfrm>
                    <a:prstGeom prst="rect">
                      <a:avLst/>
                    </a:prstGeom>
                    <a:noFill/>
                  </pic:spPr>
                </pic:pic>
              </a:graphicData>
            </a:graphic>
          </wp:anchor>
        </w:drawing>
        <w:t xml:space="preserve">Employee shall have a period of two years after such termination of Service by reason of retirement to exercise all or a part of the Option to the extent that it was exercisable upon or as a result of such termination of Service as aforesaid. In no event, however, may the Option be exercised later than the expiration date described in </w:t>
      </w:r>
      <w:r>
        <w:rPr>
          <w:rFonts w:ascii="Arial" w:cs="Arial" w:eastAsia="Arial" w:hAnsi="Arial"/>
          <w:sz w:val="17"/>
          <w:szCs w:val="17"/>
          <w:u w:val="single" w:color="auto"/>
          <w:color w:val="auto"/>
        </w:rPr>
        <w:t>Section 1(b)</w:t>
      </w:r>
      <w:r>
        <w:rPr>
          <w:rFonts w:ascii="Arial" w:cs="Arial" w:eastAsia="Arial" w:hAnsi="Arial"/>
          <w:sz w:val="17"/>
          <w:szCs w:val="17"/>
          <w:color w:val="auto"/>
        </w:rPr>
        <w:t>.</w:t>
      </w:r>
    </w:p>
    <w:p>
      <w:pPr>
        <w:spacing w:after="0" w:line="44" w:lineRule="exact"/>
        <w:rPr>
          <w:sz w:val="20"/>
          <w:szCs w:val="20"/>
          <w:color w:val="auto"/>
        </w:rPr>
      </w:pPr>
    </w:p>
    <w:p>
      <w:pPr>
        <w:ind w:left="420" w:right="60" w:firstLine="441"/>
        <w:spacing w:after="0" w:line="267" w:lineRule="auto"/>
        <w:tabs>
          <w:tab w:leader="none" w:pos="1103" w:val="left"/>
        </w:tabs>
        <w:numPr>
          <w:ilvl w:val="0"/>
          <w:numId w:val="74"/>
        </w:numPr>
        <w:rPr>
          <w:rFonts w:ascii="Arial" w:cs="Arial" w:eastAsia="Arial" w:hAnsi="Arial"/>
          <w:sz w:val="17"/>
          <w:szCs w:val="17"/>
          <w:color w:val="auto"/>
        </w:rPr>
      </w:pPr>
      <w:r>
        <w:rPr>
          <w:rFonts w:ascii="Arial" w:cs="Arial" w:eastAsia="Arial" w:hAnsi="Arial"/>
          <w:sz w:val="17"/>
          <w:szCs w:val="17"/>
          <w:i w:val="1"/>
          <w:iCs w:val="1"/>
          <w:u w:val="single" w:color="auto"/>
          <w:color w:val="auto"/>
        </w:rPr>
        <w:t>Death</w:t>
      </w:r>
      <w:r>
        <w:rPr>
          <w:rFonts w:ascii="Arial" w:cs="Arial" w:eastAsia="Arial" w:hAnsi="Arial"/>
          <w:sz w:val="17"/>
          <w:szCs w:val="17"/>
          <w:color w:val="auto"/>
        </w:rPr>
        <w:t>. In the event of the death of the Key Employee while employed by the Trust, all Options shall become immediately 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notwithstanding anything to the contrary set forth in this Agreement, and the Key Employee’s beneficiary shall have a period of two years after the Key Employee’s death to exercise all or a part of the Option to the extent that it was exercisable upon or as a result of the Key Employee’s death as aforesaid. In no event, however, may the Option be exercised later than the expiration date described in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Notwithstanding the foregoing, the provisions of this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shall not extend any of the times periods for a Key Employee to exercise all or part of the Option which have been established by any of </w:t>
      </w:r>
      <w:r>
        <w:rPr>
          <w:rFonts w:ascii="Arial" w:cs="Arial" w:eastAsia="Arial" w:hAnsi="Arial"/>
          <w:sz w:val="17"/>
          <w:szCs w:val="17"/>
          <w:u w:val="single" w:color="auto"/>
          <w:color w:val="auto"/>
        </w:rPr>
        <w:t>Sections 2(a), (c), (d), (e), (f) or (g)</w:t>
      </w:r>
      <w:r>
        <w:rPr>
          <w:rFonts w:ascii="Arial" w:cs="Arial" w:eastAsia="Arial" w:hAnsi="Arial"/>
          <w:sz w:val="17"/>
          <w:szCs w:val="17"/>
          <w:color w:val="auto"/>
        </w:rPr>
        <w:t>.</w:t>
      </w:r>
    </w:p>
    <w:p>
      <w:pPr>
        <w:spacing w:after="0" w:line="52" w:lineRule="exact"/>
        <w:rPr>
          <w:rFonts w:ascii="Arial" w:cs="Arial" w:eastAsia="Arial" w:hAnsi="Arial"/>
          <w:sz w:val="17"/>
          <w:szCs w:val="17"/>
          <w:color w:val="auto"/>
        </w:rPr>
      </w:pPr>
    </w:p>
    <w:p>
      <w:pPr>
        <w:ind w:left="420" w:firstLine="441"/>
        <w:spacing w:after="0" w:line="293" w:lineRule="auto"/>
        <w:tabs>
          <w:tab w:leader="none" w:pos="1093" w:val="left"/>
        </w:tabs>
        <w:numPr>
          <w:ilvl w:val="0"/>
          <w:numId w:val="74"/>
        </w:numPr>
        <w:rPr>
          <w:rFonts w:ascii="Arial" w:cs="Arial" w:eastAsia="Arial" w:hAnsi="Arial"/>
          <w:sz w:val="16"/>
          <w:szCs w:val="16"/>
          <w:color w:val="auto"/>
        </w:rPr>
      </w:pPr>
      <w:r>
        <w:rPr>
          <w:rFonts w:ascii="Arial" w:cs="Arial" w:eastAsia="Arial" w:hAnsi="Arial"/>
          <w:sz w:val="16"/>
          <w:szCs w:val="16"/>
          <w:i w:val="1"/>
          <w:iCs w:val="1"/>
          <w:u w:val="single" w:color="auto"/>
          <w:color w:val="auto"/>
        </w:rPr>
        <w:t>Disability</w:t>
      </w:r>
      <w:r>
        <w:rPr>
          <w:rFonts w:ascii="Arial" w:cs="Arial" w:eastAsia="Arial" w:hAnsi="Arial"/>
          <w:sz w:val="16"/>
          <w:szCs w:val="16"/>
          <w:color w:val="auto"/>
        </w:rPr>
        <w:t>. Upon the Key Employee’s termination of Service by reason of Disability, all Options shall become immediately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notwithstanding anything to the contrary set forth in this Agreement, and the Key Employee shall have a period of two years after such termination of Service to exercise all or a part of the Option to the extent that it was exercisable upon or became exercisable as a result of such termination of Service by reason of Disability. In no event, however, may the Option be exercised later than the expiration date described in </w:t>
      </w:r>
      <w:r>
        <w:rPr>
          <w:rFonts w:ascii="Arial" w:cs="Arial" w:eastAsia="Arial" w:hAnsi="Arial"/>
          <w:sz w:val="16"/>
          <w:szCs w:val="16"/>
          <w:u w:val="single" w:color="auto"/>
          <w:color w:val="auto"/>
        </w:rPr>
        <w:t>Section 1(b)</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20" w:right="160" w:firstLine="441"/>
        <w:spacing w:after="0" w:line="318" w:lineRule="auto"/>
        <w:tabs>
          <w:tab w:leader="none" w:pos="1103" w:val="left"/>
        </w:tabs>
        <w:numPr>
          <w:ilvl w:val="0"/>
          <w:numId w:val="74"/>
        </w:numPr>
        <w:rPr>
          <w:rFonts w:ascii="Arial" w:cs="Arial" w:eastAsia="Arial" w:hAnsi="Arial"/>
          <w:sz w:val="15"/>
          <w:szCs w:val="15"/>
          <w:color w:val="auto"/>
        </w:rPr>
      </w:pPr>
      <w:r>
        <w:rPr>
          <w:rFonts w:ascii="Arial" w:cs="Arial" w:eastAsia="Arial" w:hAnsi="Arial"/>
          <w:sz w:val="15"/>
          <w:szCs w:val="15"/>
          <w:i w:val="1"/>
          <w:iCs w:val="1"/>
          <w:u w:val="single" w:color="auto"/>
          <w:color w:val="auto"/>
        </w:rPr>
        <w:t>Termination without Cause</w:t>
      </w:r>
      <w:r>
        <w:rPr>
          <w:rFonts w:ascii="Arial" w:cs="Arial" w:eastAsia="Arial" w:hAnsi="Arial"/>
          <w:sz w:val="15"/>
          <w:szCs w:val="15"/>
          <w:color w:val="auto"/>
        </w:rPr>
        <w:t>. Upon the Key Employee’s termination of Service without Cause, all Options shall become immediately exercisable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notwithstanding anything to the contrary set forth in this Agreement, and the Key Employee shall have a period of </w:t>
      </w:r>
      <w:r>
        <w:rPr>
          <w:rFonts w:ascii="Arial" w:cs="Arial" w:eastAsia="Arial" w:hAnsi="Arial"/>
          <w:sz w:val="15"/>
          <w:szCs w:val="15"/>
          <w:b w:val="1"/>
          <w:bCs w:val="1"/>
          <w:color w:val="auto"/>
        </w:rPr>
        <w:t>[three months] [one year in the case of</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Form 4 reporting officers] </w:t>
      </w:r>
      <w:r>
        <w:rPr>
          <w:rFonts w:ascii="Arial" w:cs="Arial" w:eastAsia="Arial" w:hAnsi="Arial"/>
          <w:sz w:val="15"/>
          <w:szCs w:val="15"/>
          <w:color w:val="auto"/>
        </w:rPr>
        <w:t>after such termination of Service to exercise all or any part of the Option to the extent that it was exercisable upon or became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exercisable as a result of such termination of Service. In no event may the Option be exercised later than the expiration date described in </w:t>
      </w:r>
      <w:r>
        <w:rPr>
          <w:rFonts w:ascii="Arial" w:cs="Arial" w:eastAsia="Arial" w:hAnsi="Arial"/>
          <w:sz w:val="15"/>
          <w:szCs w:val="15"/>
          <w:u w:val="single" w:color="auto"/>
          <w:color w:val="auto"/>
        </w:rPr>
        <w:t>Section 1(b)</w:t>
      </w:r>
      <w:r>
        <w:rPr>
          <w:rFonts w:ascii="Arial" w:cs="Arial" w:eastAsia="Arial" w:hAnsi="Arial"/>
          <w:sz w:val="15"/>
          <w:szCs w:val="15"/>
          <w:color w:val="auto"/>
        </w:rPr>
        <w:t>.</w:t>
      </w:r>
    </w:p>
    <w:p>
      <w:pPr>
        <w:spacing w:after="0" w:line="17" w:lineRule="exact"/>
        <w:rPr>
          <w:rFonts w:ascii="Arial" w:cs="Arial" w:eastAsia="Arial" w:hAnsi="Arial"/>
          <w:sz w:val="15"/>
          <w:szCs w:val="15"/>
          <w:color w:val="auto"/>
        </w:rPr>
      </w:pPr>
    </w:p>
    <w:p>
      <w:pPr>
        <w:ind w:left="420" w:right="80" w:firstLine="441"/>
        <w:spacing w:after="0" w:line="276" w:lineRule="auto"/>
        <w:tabs>
          <w:tab w:leader="none" w:pos="1093" w:val="left"/>
        </w:tabs>
        <w:numPr>
          <w:ilvl w:val="0"/>
          <w:numId w:val="74"/>
        </w:numPr>
        <w:rPr>
          <w:rFonts w:ascii="Arial" w:cs="Arial" w:eastAsia="Arial" w:hAnsi="Arial"/>
          <w:sz w:val="17"/>
          <w:szCs w:val="17"/>
          <w:color w:val="auto"/>
        </w:rPr>
      </w:pPr>
      <w:r>
        <w:rPr>
          <w:rFonts w:ascii="Arial" w:cs="Arial" w:eastAsia="Arial" w:hAnsi="Arial"/>
          <w:sz w:val="17"/>
          <w:szCs w:val="17"/>
          <w:i w:val="1"/>
          <w:iCs w:val="1"/>
          <w:u w:val="single" w:color="auto"/>
          <w:color w:val="auto"/>
        </w:rPr>
        <w:t>Termination for Cause</w:t>
      </w:r>
      <w:r>
        <w:rPr>
          <w:rFonts w:ascii="Arial" w:cs="Arial" w:eastAsia="Arial" w:hAnsi="Arial"/>
          <w:sz w:val="17"/>
          <w:szCs w:val="17"/>
          <w:color w:val="auto"/>
        </w:rPr>
        <w:t>. Upon the Key Employee’s termination of Service for Cause, the Key Employee’s right to exercise all of any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Option, to the extent it was exercisable at the date of termination of Service, shall terminate at the date of termination of Service. In no event may the Option be exercised later than the expiration date described in </w:t>
      </w:r>
      <w:r>
        <w:rPr>
          <w:rFonts w:ascii="Arial" w:cs="Arial" w:eastAsia="Arial" w:hAnsi="Arial"/>
          <w:sz w:val="17"/>
          <w:szCs w:val="17"/>
          <w:u w:val="single" w:color="auto"/>
          <w:color w:val="auto"/>
        </w:rPr>
        <w:t>Section 1(b)</w:t>
      </w:r>
      <w:r>
        <w:rPr>
          <w:rFonts w:ascii="Arial" w:cs="Arial" w:eastAsia="Arial" w:hAnsi="Arial"/>
          <w:sz w:val="17"/>
          <w:szCs w:val="17"/>
          <w:color w:val="auto"/>
        </w:rPr>
        <w:t>.</w:t>
      </w:r>
    </w:p>
    <w:p>
      <w:pPr>
        <w:spacing w:after="0" w:line="44" w:lineRule="exact"/>
        <w:rPr>
          <w:rFonts w:ascii="Arial" w:cs="Arial" w:eastAsia="Arial" w:hAnsi="Arial"/>
          <w:sz w:val="17"/>
          <w:szCs w:val="17"/>
          <w:color w:val="auto"/>
        </w:rPr>
      </w:pPr>
    </w:p>
    <w:p>
      <w:pPr>
        <w:ind w:left="420" w:right="160" w:firstLine="441"/>
        <w:spacing w:after="0" w:line="267" w:lineRule="auto"/>
        <w:tabs>
          <w:tab w:leader="none" w:pos="1074" w:val="left"/>
        </w:tabs>
        <w:numPr>
          <w:ilvl w:val="0"/>
          <w:numId w:val="74"/>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 in Control</w:t>
      </w:r>
      <w:r>
        <w:rPr>
          <w:rFonts w:ascii="Arial" w:cs="Arial" w:eastAsia="Arial" w:hAnsi="Arial"/>
          <w:sz w:val="17"/>
          <w:szCs w:val="17"/>
          <w:color w:val="auto"/>
        </w:rPr>
        <w:t>. If the Key Employee incurs an Involuntary Termination within the one year period commencing with a Change in Control,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Option, to the extent it is outstanding and unexercised on the date of such Involuntary Termination, shall become immediately and fully exercisable for a period of </w:t>
      </w:r>
      <w:r>
        <w:rPr>
          <w:rFonts w:ascii="Arial" w:cs="Arial" w:eastAsia="Arial" w:hAnsi="Arial"/>
          <w:sz w:val="17"/>
          <w:szCs w:val="17"/>
          <w:b w:val="1"/>
          <w:bCs w:val="1"/>
          <w:color w:val="auto"/>
        </w:rPr>
        <w:t>[three months] [one year in the case of Form 4 reporting officers]</w:t>
      </w:r>
      <w:r>
        <w:rPr>
          <w:rFonts w:ascii="Arial" w:cs="Arial" w:eastAsia="Arial" w:hAnsi="Arial"/>
          <w:sz w:val="17"/>
          <w:szCs w:val="17"/>
          <w:color w:val="auto"/>
        </w:rPr>
        <w:t xml:space="preserve"> from the date of such termination of Service. In no event, however, may the Option be exercised later than the expiration date described in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shall not be applicable to the Option if such Change in Control results from the Key Employee’s beneficial ownership (within the meaning of Rule 13d-3 under the Exchange Act) of Shares or Trust Voting Securities.</w:t>
      </w:r>
    </w:p>
    <w:p>
      <w:pPr>
        <w:spacing w:after="0" w:line="52" w:lineRule="exact"/>
        <w:rPr>
          <w:rFonts w:ascii="Arial" w:cs="Arial" w:eastAsia="Arial" w:hAnsi="Arial"/>
          <w:sz w:val="17"/>
          <w:szCs w:val="17"/>
          <w:color w:val="auto"/>
        </w:rPr>
      </w:pPr>
    </w:p>
    <w:p>
      <w:pPr>
        <w:ind w:left="1100" w:hanging="239"/>
        <w:spacing w:after="0"/>
        <w:tabs>
          <w:tab w:leader="none" w:pos="1100" w:val="left"/>
        </w:tabs>
        <w:numPr>
          <w:ilvl w:val="0"/>
          <w:numId w:val="74"/>
        </w:numPr>
        <w:rPr>
          <w:rFonts w:ascii="Arial" w:cs="Arial" w:eastAsia="Arial" w:hAnsi="Arial"/>
          <w:sz w:val="16"/>
          <w:szCs w:val="16"/>
          <w:color w:val="auto"/>
        </w:rPr>
      </w:pPr>
      <w:r>
        <w:rPr>
          <w:rFonts w:ascii="Arial" w:cs="Arial" w:eastAsia="Arial" w:hAnsi="Arial"/>
          <w:sz w:val="16"/>
          <w:szCs w:val="16"/>
          <w:i w:val="1"/>
          <w:iCs w:val="1"/>
          <w:u w:val="single" w:color="auto"/>
          <w:color w:val="auto"/>
        </w:rPr>
        <w:t>Any other Termination of Service</w:t>
      </w:r>
      <w:r>
        <w:rPr>
          <w:rFonts w:ascii="Arial" w:cs="Arial" w:eastAsia="Arial" w:hAnsi="Arial"/>
          <w:sz w:val="16"/>
          <w:szCs w:val="16"/>
          <w:color w:val="auto"/>
        </w:rPr>
        <w:t>. Upon the Key Employee’s termination of Service for any reason other than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2(a)</w:t>
      </w:r>
    </w:p>
    <w:p>
      <w:pPr>
        <w:spacing w:after="0" w:line="36" w:lineRule="exact"/>
        <w:rPr>
          <w:sz w:val="20"/>
          <w:szCs w:val="20"/>
          <w:color w:val="auto"/>
        </w:rPr>
      </w:pPr>
    </w:p>
    <w:p>
      <w:pPr>
        <w:ind w:left="420" w:right="80"/>
        <w:spacing w:after="0" w:line="272" w:lineRule="auto"/>
        <w:rPr>
          <w:sz w:val="20"/>
          <w:szCs w:val="20"/>
          <w:color w:val="auto"/>
        </w:rPr>
      </w:pPr>
      <w:r>
        <w:rPr>
          <w:rFonts w:ascii="Arial" w:cs="Arial" w:eastAsia="Arial" w:hAnsi="Arial"/>
          <w:sz w:val="17"/>
          <w:szCs w:val="17"/>
          <w:u w:val="single" w:color="auto"/>
          <w:color w:val="auto"/>
        </w:rPr>
        <w:t>through (f)</w:t>
      </w:r>
      <w:r>
        <w:rPr>
          <w:rFonts w:ascii="Arial" w:cs="Arial" w:eastAsia="Arial" w:hAnsi="Arial"/>
          <w:sz w:val="17"/>
          <w:szCs w:val="17"/>
          <w:color w:val="auto"/>
        </w:rPr>
        <w:t xml:space="preserve">, the Key Employee shall have a period of </w:t>
      </w:r>
      <w:r>
        <w:rPr>
          <w:rFonts w:ascii="Arial" w:cs="Arial" w:eastAsia="Arial" w:hAnsi="Arial"/>
          <w:sz w:val="17"/>
          <w:szCs w:val="17"/>
          <w:b w:val="1"/>
          <w:bCs w:val="1"/>
          <w:color w:val="auto"/>
        </w:rPr>
        <w:t>[three months] [one year in the case of Form 4 reporting officers]</w:t>
      </w:r>
      <w:r>
        <w:rPr>
          <w:rFonts w:ascii="Arial" w:cs="Arial" w:eastAsia="Arial" w:hAnsi="Arial"/>
          <w:sz w:val="17"/>
          <w:szCs w:val="17"/>
          <w:color w:val="auto"/>
        </w:rPr>
        <w:t xml:space="preserve"> from the date of such termination of Service to exercise all or any part of the Option to the extent it was exercisable at the date of termination of Service. In no event may the Option be exercised later than the expiration date described in </w:t>
      </w:r>
      <w:r>
        <w:rPr>
          <w:rFonts w:ascii="Arial" w:cs="Arial" w:eastAsia="Arial" w:hAnsi="Arial"/>
          <w:sz w:val="17"/>
          <w:szCs w:val="17"/>
          <w:u w:val="single" w:color="auto"/>
          <w:color w:val="auto"/>
        </w:rPr>
        <w:t>Section 1(b)</w:t>
      </w:r>
      <w:r>
        <w:rPr>
          <w:rFonts w:ascii="Arial" w:cs="Arial" w:eastAsia="Arial" w:hAnsi="Arial"/>
          <w:sz w:val="17"/>
          <w:szCs w:val="17"/>
          <w:color w:val="auto"/>
        </w:rPr>
        <w:t>.</w:t>
      </w:r>
    </w:p>
    <w:p>
      <w:pPr>
        <w:spacing w:after="0" w:line="120" w:lineRule="exact"/>
        <w:rPr>
          <w:sz w:val="20"/>
          <w:szCs w:val="20"/>
          <w:color w:val="auto"/>
        </w:rPr>
      </w:pPr>
    </w:p>
    <w:p>
      <w:pPr>
        <w:ind w:left="-40" w:right="60" w:firstLine="463"/>
        <w:spacing w:after="0" w:line="332" w:lineRule="auto"/>
        <w:tabs>
          <w:tab w:leader="none" w:pos="589"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Forfeiture</w:t>
      </w:r>
      <w:r>
        <w:rPr>
          <w:rFonts w:ascii="Arial" w:cs="Arial" w:eastAsia="Arial" w:hAnsi="Arial"/>
          <w:sz w:val="16"/>
          <w:szCs w:val="16"/>
          <w:color w:val="auto"/>
        </w:rPr>
        <w:t>. To the extent all or any part of the Option was not exercisable as of the date of termination of Service or did not become exercisable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termination of Service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the unexercisable portion of the Option shall expire at the date of such termination of Service.</w:t>
      </w:r>
    </w:p>
    <w:p>
      <w:pPr>
        <w:spacing w:after="0" w:line="76" w:lineRule="exact"/>
        <w:rPr>
          <w:rFonts w:ascii="Arial" w:cs="Arial" w:eastAsia="Arial" w:hAnsi="Arial"/>
          <w:sz w:val="16"/>
          <w:szCs w:val="16"/>
          <w:b w:val="1"/>
          <w:bCs w:val="1"/>
          <w:color w:val="auto"/>
        </w:rPr>
      </w:pPr>
    </w:p>
    <w:p>
      <w:pPr>
        <w:ind w:left="600" w:hanging="177"/>
        <w:spacing w:after="0"/>
        <w:tabs>
          <w:tab w:leader="none" w:pos="60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Procedures</w:t>
      </w:r>
      <w:r>
        <w:rPr>
          <w:rFonts w:ascii="Arial" w:cs="Arial" w:eastAsia="Arial" w:hAnsi="Arial"/>
          <w:sz w:val="17"/>
          <w:szCs w:val="17"/>
          <w:b w:val="1"/>
          <w:bCs w:val="1"/>
          <w:color w:val="auto"/>
        </w:rPr>
        <w:t>.</w:t>
      </w:r>
    </w:p>
    <w:p>
      <w:pPr>
        <w:spacing w:after="0" w:line="103" w:lineRule="exact"/>
        <w:rPr>
          <w:rFonts w:ascii="Arial" w:cs="Arial" w:eastAsia="Arial" w:hAnsi="Arial"/>
          <w:sz w:val="17"/>
          <w:szCs w:val="17"/>
          <w:b w:val="1"/>
          <w:bCs w:val="1"/>
          <w:color w:val="auto"/>
        </w:rPr>
      </w:pPr>
    </w:p>
    <w:p>
      <w:pPr>
        <w:ind w:left="420" w:right="240" w:firstLine="441"/>
        <w:spacing w:after="0" w:line="291" w:lineRule="auto"/>
        <w:tabs>
          <w:tab w:leader="none" w:pos="1093" w:val="left"/>
        </w:tabs>
        <w:numPr>
          <w:ilvl w:val="1"/>
          <w:numId w:val="75"/>
        </w:numPr>
        <w:rPr>
          <w:rFonts w:ascii="Arial" w:cs="Arial" w:eastAsia="Arial" w:hAnsi="Arial"/>
          <w:sz w:val="17"/>
          <w:szCs w:val="17"/>
          <w:color w:val="auto"/>
        </w:rPr>
      </w:pPr>
      <w:r>
        <w:rPr>
          <w:rFonts w:ascii="Arial" w:cs="Arial" w:eastAsia="Arial" w:hAnsi="Arial"/>
          <w:sz w:val="17"/>
          <w:szCs w:val="17"/>
          <w:i w:val="1"/>
          <w:iCs w:val="1"/>
          <w:u w:val="single" w:color="auto"/>
          <w:color w:val="auto"/>
        </w:rPr>
        <w:t>Method of Exercise</w:t>
      </w:r>
      <w:r>
        <w:rPr>
          <w:rFonts w:ascii="Arial" w:cs="Arial" w:eastAsia="Arial" w:hAnsi="Arial"/>
          <w:sz w:val="17"/>
          <w:szCs w:val="17"/>
          <w:color w:val="auto"/>
        </w:rPr>
        <w:t>. The Option shall be exercisable by written notice to the Trust, which must be received by the Secretary of the Trust not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5:00 P.M. local time at the principal executive office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80" w:top="277" w:right="259" w:bottom="1440" w:gutter="0" w:footer="0" w:header="0"/>
        </w:sectPr>
      </w:pPr>
    </w:p>
    <w:bookmarkStart w:id="119" w:name="page120"/>
    <w:bookmarkEnd w:id="119"/>
    <w:p>
      <w:pPr>
        <w:ind w:left="440"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the Trust on the expiration date of the Option. Such written notice shall set forth: (i) the number of Shares being purchased and whether those Shares are issuable as a result of the exercise of the Incentive Stock Option portion of the Option or the Non-Qualified Stock Option portion of the Option; (ii) the total exercise price for the Shares being purchased; (iii) the exact name as it should appear on the stock certificate(s) to be issued for the Shares being purchased; and (iv) the address to which the stock certificate(s) should be sent.</w:t>
      </w:r>
    </w:p>
    <w:p>
      <w:pPr>
        <w:spacing w:after="0" w:line="48" w:lineRule="exact"/>
        <w:rPr>
          <w:sz w:val="20"/>
          <w:szCs w:val="20"/>
          <w:color w:val="auto"/>
        </w:rPr>
      </w:pPr>
    </w:p>
    <w:p>
      <w:pPr>
        <w:ind w:left="440" w:right="20" w:firstLine="441"/>
        <w:spacing w:after="0" w:line="268" w:lineRule="auto"/>
        <w:tabs>
          <w:tab w:leader="none" w:pos="1123" w:val="left"/>
        </w:tabs>
        <w:numPr>
          <w:ilvl w:val="0"/>
          <w:numId w:val="76"/>
        </w:numPr>
        <w:rPr>
          <w:rFonts w:ascii="Arial" w:cs="Arial" w:eastAsia="Arial" w:hAnsi="Arial"/>
          <w:sz w:val="17"/>
          <w:szCs w:val="17"/>
          <w:color w:val="auto"/>
        </w:rPr>
      </w:pPr>
      <w:r>
        <w:rPr>
          <w:rFonts w:ascii="Arial" w:cs="Arial" w:eastAsia="Arial" w:hAnsi="Arial"/>
          <w:sz w:val="17"/>
          <w:szCs w:val="17"/>
          <w:i w:val="1"/>
          <w:iCs w:val="1"/>
          <w:u w:val="single" w:color="auto"/>
          <w:color w:val="auto"/>
        </w:rPr>
        <w:t>Payment of Exercise Price</w:t>
      </w:r>
      <w:r>
        <w:rPr>
          <w:rFonts w:ascii="Arial" w:cs="Arial" w:eastAsia="Arial" w:hAnsi="Arial"/>
          <w:sz w:val="17"/>
          <w:szCs w:val="17"/>
          <w:color w:val="auto"/>
        </w:rPr>
        <w:t>. The exercise price of Shares purchased upon exercise of the Option shall be paid in full: (i) in cash; (ii) by delivery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Trust of Shares which if acquired from the Trust shall have been held by the Key Employee for at least six (6) months; (iii) in any combination of cash and Shares; or (iv) by delivery of such other consideration as the Committee deems appropriate and in compliance with applicable law (including payment in accordance with a cashless exercise program under which, if so instructed by the Key Employee, Shares may be issued directly to the Key Employee’s broker or dealer against receipt of the exercise price in cash from the broker or dealer).</w:t>
      </w:r>
    </w:p>
    <w:p>
      <w:pPr>
        <w:spacing w:after="0" w:line="53" w:lineRule="exact"/>
        <w:rPr>
          <w:sz w:val="20"/>
          <w:szCs w:val="20"/>
          <w:color w:val="auto"/>
        </w:rPr>
      </w:pPr>
    </w:p>
    <w:p>
      <w:pPr>
        <w:ind w:left="440" w:firstLine="438"/>
        <w:spacing w:after="0" w:line="287" w:lineRule="auto"/>
        <w:rPr>
          <w:sz w:val="20"/>
          <w:szCs w:val="20"/>
          <w:color w:val="auto"/>
        </w:rPr>
      </w:pPr>
      <w:r>
        <w:rPr>
          <w:rFonts w:ascii="Arial" w:cs="Arial" w:eastAsia="Arial" w:hAnsi="Arial"/>
          <w:sz w:val="16"/>
          <w:szCs w:val="16"/>
          <w:color w:val="auto"/>
        </w:rPr>
        <w:t>In the event that any Shares shall be transferred to the Trust to satisfy all or any part of the exercise price, the part of the exercise price deemed to have been satisfied by such transfer of Shares shall be equal to the product derived by multiplying the Fair Market Value as of the date of exercise times the number of Shares transferred to the Trust. The Key Employee may not transfer to the Trust in satisfaction of the exercise price any fraction of a Share, and any portion of the exercise price that would represent less than a full Share must be paid in cash by the Key Employee. If payment in full or part is to be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37" w:lineRule="exact"/>
        <w:rPr>
          <w:sz w:val="20"/>
          <w:szCs w:val="20"/>
          <w:color w:val="auto"/>
        </w:rPr>
      </w:pPr>
    </w:p>
    <w:p>
      <w:pPr>
        <w:ind w:left="440" w:right="20" w:firstLine="441"/>
        <w:spacing w:after="0" w:line="309" w:lineRule="auto"/>
        <w:tabs>
          <w:tab w:leader="none" w:pos="1113" w:val="left"/>
        </w:tabs>
        <w:numPr>
          <w:ilvl w:val="1"/>
          <w:numId w:val="77"/>
        </w:numPr>
        <w:rPr>
          <w:rFonts w:ascii="Arial" w:cs="Arial" w:eastAsia="Arial" w:hAnsi="Arial"/>
          <w:sz w:val="15"/>
          <w:szCs w:val="15"/>
          <w:color w:val="auto"/>
        </w:rPr>
      </w:pPr>
      <w:r>
        <w:rPr>
          <w:rFonts w:ascii="Arial" w:cs="Arial" w:eastAsia="Arial" w:hAnsi="Arial"/>
          <w:sz w:val="15"/>
          <w:szCs w:val="15"/>
          <w:i w:val="1"/>
          <w:iCs w:val="1"/>
          <w:u w:val="single" w:color="auto"/>
          <w:color w:val="auto"/>
        </w:rPr>
        <w:t>Delivery of Certificate</w:t>
      </w:r>
      <w:r>
        <w:rPr>
          <w:rFonts w:ascii="Arial" w:cs="Arial" w:eastAsia="Arial" w:hAnsi="Arial"/>
          <w:sz w:val="15"/>
          <w:szCs w:val="15"/>
          <w:color w:val="auto"/>
        </w:rPr>
        <w:t>. Subject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w:t>
      </w:r>
      <w:r>
        <w:rPr>
          <w:rFonts w:ascii="Arial" w:cs="Arial" w:eastAsia="Arial" w:hAnsi="Arial"/>
          <w:sz w:val="15"/>
          <w:szCs w:val="15"/>
          <w:i w:val="1"/>
          <w:iCs w:val="1"/>
          <w:color w:val="auto"/>
        </w:rPr>
        <w:t xml:space="preserve"> </w:t>
      </w:r>
      <w:r>
        <w:rPr>
          <w:rFonts w:ascii="Arial" w:cs="Arial" w:eastAsia="Arial" w:hAnsi="Arial"/>
          <w:sz w:val="15"/>
          <w:szCs w:val="15"/>
          <w:color w:val="auto"/>
        </w:rPr>
        <w:t>hereof, certificates for the purchased Shares will be issued and delivered to the Key Employee as soon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as practicable after the receipt of payment of the exercise price in accordance with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above;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delivery of any such Shares shall be deemed effected for all purposes when a stock transfer agent of the Trust shall have deposited such certificates in the United States mail, addressed to Key Employee, at the address set forth on the last page of this Agreement or to such other address as Key Employee may from time to time designate in a written notice to the Trust. The Key Employee shall not be deemed for any purpose to be a shareholder of the Trust in respect of any Shares as to which the Option shall not have been exercised, as herein provided, until such Shares have been issued to Key Employee by the Trust hereunder.</w:t>
      </w:r>
    </w:p>
    <w:p>
      <w:pPr>
        <w:spacing w:after="0" w:line="98" w:lineRule="exact"/>
        <w:rPr>
          <w:rFonts w:ascii="Arial" w:cs="Arial" w:eastAsia="Arial" w:hAnsi="Arial"/>
          <w:sz w:val="15"/>
          <w:szCs w:val="15"/>
          <w:color w:val="auto"/>
        </w:rPr>
      </w:pPr>
    </w:p>
    <w:p>
      <w:pPr>
        <w:ind w:left="-20" w:right="60" w:firstLine="463"/>
        <w:spacing w:after="0" w:line="270" w:lineRule="auto"/>
        <w:tabs>
          <w:tab w:leader="none" w:pos="609"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Provisions Control Option Terms; Modifications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is granted pursuant and subject to the terms and conditions of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which are incorporated herein by reference. In the event any provision of this Agreement shall conflict with any of the terms in the Plan as constituted on the Grant Date, the terms of the Plan as constituted on the Grant Date shall control. The Option shall not be modified after the Grant Date except by express written agreement between the Trust and the Key Employee;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modification: (a) shall not be inconsistent with the terms of the Plan; and (b) shall be approved by the Committee.</w:t>
      </w:r>
    </w:p>
    <w:p>
      <w:pPr>
        <w:spacing w:after="0" w:line="124" w:lineRule="exact"/>
        <w:rPr>
          <w:rFonts w:ascii="Arial" w:cs="Arial" w:eastAsia="Arial" w:hAnsi="Arial"/>
          <w:sz w:val="17"/>
          <w:szCs w:val="17"/>
          <w:b w:val="1"/>
          <w:bCs w:val="1"/>
          <w:color w:val="auto"/>
        </w:rPr>
      </w:pPr>
    </w:p>
    <w:p>
      <w:pPr>
        <w:ind w:left="-20" w:right="20" w:firstLine="463"/>
        <w:spacing w:after="0" w:line="266" w:lineRule="auto"/>
        <w:tabs>
          <w:tab w:leader="none" w:pos="609"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Limitations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the Option may not be assigned or transferred other than by will or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distribution. The Key Employee may transfer, in a not for value transfer, all or part of this Option that is a Non-Qualified Stock Option to any Family Member (as defined in the Plan). For the purpose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 “not for value” transfer is a transfer which is: (a) a gift; (b) a transfer under a domestic relations order in settlement of marital property rights; or (c) a transfer to an entity in which more than fifty percent of the voting interests are owned by Family Members (or the Key Employee) in exchange for an interest in that entity. Following a transfer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the Option shall continue to be subject to the same terms and conditions as were applicable immediately prior to transfer. Subsequent transfers of transferred Options are prohibited except to Family Members of the original Key Employee in accordance with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by will or the laws of descent and distribution. The Key Employee’s beneficiary may exercise the Key Employee’s rights hereunder only to the extent they were exercisable under this Agreement at the date of the death of the Key Employee and are otherwise currently exercisable.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60" w:top="277" w:right="259" w:bottom="1440" w:gutter="0" w:footer="0" w:header="0"/>
        </w:sectPr>
      </w:pPr>
    </w:p>
    <w:bookmarkStart w:id="120" w:name="page121"/>
    <w:bookmarkEnd w:id="120"/>
    <w:p>
      <w:pPr>
        <w:ind w:firstLine="463"/>
        <w:spacing w:after="0" w:line="284" w:lineRule="auto"/>
        <w:tabs>
          <w:tab w:leader="none" w:pos="629"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9480" cy="27305"/>
                    </a:xfrm>
                    <a:prstGeom prst="rect">
                      <a:avLst/>
                    </a:prstGeom>
                    <a:noFill/>
                  </pic:spPr>
                </pic:pic>
              </a:graphicData>
            </a:graphic>
          </wp:anchor>
        </w:drawing>
        <w:t>Taxes</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 shall be entitled to withhold (or secure payment from the Key Employee in lieu of withholding) the amount of any withholding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tax required by law to be withheld or paid by the Trust with respect to any Shares issuable under this Agreement, or upon a disqualifying disposition of Shares received pursuant to the exercise of the portion of the Option that is an Incentive Stock Option, and the Trust may defer issuance of Shares upon the exercise of the Option unless the Trust is indemnified to its satisfaction against any liability for any such tax. The amount of such withholding or tax payment shall be determined by the Committee or its delegate and shall be payable by the Key Employee at such time as the Committee determines. The Key Employee may satisfy his or her tax withholding obligation by the payment of cash to the Trust and/or by the withholding from the Option,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116" w:lineRule="exact"/>
        <w:rPr>
          <w:rFonts w:ascii="Arial" w:cs="Arial" w:eastAsia="Arial" w:hAnsi="Arial"/>
          <w:sz w:val="16"/>
          <w:szCs w:val="16"/>
          <w:b w:val="1"/>
          <w:bCs w:val="1"/>
          <w:color w:val="auto"/>
        </w:rPr>
      </w:pPr>
    </w:p>
    <w:p>
      <w:pPr>
        <w:ind w:right="120" w:firstLine="463"/>
        <w:spacing w:after="0" w:line="273" w:lineRule="auto"/>
        <w:tabs>
          <w:tab w:leader="none" w:pos="629"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Exercise in Violation of Law</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of the provisions of this Agreement, the Key Employee hereby agrees that he or she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Option granted hereby, and that the Trust will not be obligated to issue any Shares to the Key Employee hereunder, if the exercise thereof or the issuance of such Shares shall constitute a violation by the Key Employee or the Trust of any provision of any law or regulation of any governmental authority. Any determination in this connection by the Committee shall be final, binding and conclusive.</w:t>
      </w:r>
    </w:p>
    <w:p>
      <w:pPr>
        <w:spacing w:after="0" w:line="122" w:lineRule="exact"/>
        <w:rPr>
          <w:sz w:val="20"/>
          <w:szCs w:val="20"/>
          <w:color w:val="auto"/>
        </w:rPr>
      </w:pPr>
    </w:p>
    <w:p>
      <w:pPr>
        <w:ind w:right="20" w:firstLine="457"/>
        <w:spacing w:after="0" w:line="298"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Trust has caused this Agreement to be duly executed and the Key Employee has hereunto set his hand effective as of the day</w:t>
      </w:r>
      <w:r>
        <w:rPr>
          <w:rFonts w:ascii="Arial" w:cs="Arial" w:eastAsia="Arial" w:hAnsi="Arial"/>
          <w:sz w:val="17"/>
          <w:szCs w:val="17"/>
          <w:b w:val="1"/>
          <w:bCs w:val="1"/>
          <w:color w:val="auto"/>
        </w:rPr>
        <w:t xml:space="preserve"> </w:t>
      </w:r>
      <w:r>
        <w:rPr>
          <w:rFonts w:ascii="Arial" w:cs="Arial" w:eastAsia="Arial" w:hAnsi="Arial"/>
          <w:sz w:val="17"/>
          <w:szCs w:val="17"/>
          <w:color w:val="auto"/>
        </w:rPr>
        <w:t>and year first above written.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80" w:type="dxa"/>
            <w:vAlign w:val="bottom"/>
            <w:gridSpan w:val="2"/>
          </w:tcPr>
          <w:p>
            <w:pPr>
              <w:ind w:left="120"/>
              <w:spacing w:after="0"/>
              <w:rPr>
                <w:sz w:val="20"/>
                <w:szCs w:val="20"/>
                <w:color w:val="auto"/>
              </w:rPr>
            </w:pPr>
            <w:r>
              <w:rPr>
                <w:rFonts w:ascii="Arial" w:cs="Arial" w:eastAsia="Arial" w:hAnsi="Arial"/>
                <w:sz w:val="17"/>
                <w:szCs w:val="17"/>
                <w:b w:val="1"/>
                <w:bCs w:val="1"/>
                <w:color w:val="auto"/>
              </w:rPr>
              <w:t>FEDERAL REALTY INVESTMENT TRUST</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rPr>
              <w:t>By:</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vMerge w:val="restart"/>
          </w:tcPr>
          <w:p>
            <w:pPr>
              <w:ind w:left="120"/>
              <w:spacing w:after="0"/>
              <w:rPr>
                <w:sz w:val="20"/>
                <w:szCs w:val="20"/>
                <w:color w:val="auto"/>
              </w:rPr>
            </w:pPr>
            <w:r>
              <w:rPr>
                <w:rFonts w:ascii="Arial" w:cs="Arial" w:eastAsia="Arial" w:hAnsi="Arial"/>
                <w:sz w:val="17"/>
                <w:szCs w:val="17"/>
                <w:color w:val="auto"/>
              </w:rPr>
              <w:t>Name:</w:t>
            </w: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rPr>
              <w:t>Title:</w:t>
            </w:r>
          </w:p>
        </w:tc>
        <w:tc>
          <w:tcPr>
            <w:tcW w:w="4780" w:type="dxa"/>
            <w:vAlign w:val="bottom"/>
          </w:tcPr>
          <w:p>
            <w:pPr>
              <w:ind w:left="120"/>
              <w:spacing w:after="0"/>
              <w:rPr>
                <w:sz w:val="20"/>
                <w:szCs w:val="20"/>
                <w:color w:val="auto"/>
              </w:rPr>
            </w:pPr>
            <w:r>
              <w:rPr>
                <w:rFonts w:ascii="Arial" w:cs="Arial" w:eastAsia="Arial" w:hAnsi="Arial"/>
                <w:sz w:val="17"/>
                <w:szCs w:val="17"/>
                <w:color w:val="auto"/>
              </w:rPr>
              <w:t>Chair, Compensation Committee</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7"/>
                <w:szCs w:val="17"/>
                <w:b w:val="1"/>
                <w:bCs w:val="1"/>
                <w:color w:val="auto"/>
              </w:rPr>
              <w:t>WITNESS:</w:t>
            </w:r>
          </w:p>
        </w:tc>
        <w:tc>
          <w:tcPr>
            <w:tcW w:w="680" w:type="dxa"/>
            <w:vAlign w:val="bottom"/>
          </w:tcPr>
          <w:p>
            <w:pPr>
              <w:spacing w:after="0"/>
              <w:rPr>
                <w:sz w:val="24"/>
                <w:szCs w:val="24"/>
                <w:color w:val="auto"/>
              </w:rPr>
            </w:pPr>
          </w:p>
        </w:tc>
        <w:tc>
          <w:tcPr>
            <w:tcW w:w="5580" w:type="dxa"/>
            <w:vAlign w:val="bottom"/>
            <w:gridSpan w:val="2"/>
          </w:tcPr>
          <w:p>
            <w:pPr>
              <w:ind w:left="120"/>
              <w:spacing w:after="0"/>
              <w:rPr>
                <w:sz w:val="20"/>
                <w:szCs w:val="20"/>
                <w:color w:val="auto"/>
              </w:rPr>
            </w:pPr>
            <w:r>
              <w:rPr>
                <w:rFonts w:ascii="Arial" w:cs="Arial" w:eastAsia="Arial" w:hAnsi="Arial"/>
                <w:sz w:val="17"/>
                <w:szCs w:val="17"/>
                <w:b w:val="1"/>
                <w:bCs w:val="1"/>
                <w:color w:val="auto"/>
              </w:rPr>
              <w:t>KEY EMPLOYEE</w:t>
            </w:r>
          </w:p>
        </w:tc>
        <w:tc>
          <w:tcPr>
            <w:tcW w:w="0" w:type="dxa"/>
            <w:vAlign w:val="bottom"/>
          </w:tcPr>
          <w:p>
            <w:pPr>
              <w:spacing w:after="0"/>
              <w:rPr>
                <w:sz w:val="1"/>
                <w:szCs w:val="1"/>
                <w:color w:val="auto"/>
              </w:rPr>
            </w:pPr>
          </w:p>
        </w:tc>
      </w:tr>
      <w:tr>
        <w:trPr>
          <w:trHeight w:val="454"/>
        </w:trPr>
        <w:tc>
          <w:tcPr>
            <w:tcW w:w="5160" w:type="dxa"/>
            <w:vAlign w:val="bottom"/>
            <w:tcBorders>
              <w:bottom w:val="single" w:sz="8" w:color="auto"/>
            </w:tcBorders>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8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27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980" w:type="dxa"/>
            <w:vAlign w:val="bottom"/>
            <w:gridSpan w:val="2"/>
          </w:tcPr>
          <w:p>
            <w:pPr>
              <w:spacing w:after="0"/>
              <w:rPr>
                <w:sz w:val="20"/>
                <w:szCs w:val="20"/>
                <w:color w:val="auto"/>
              </w:rPr>
            </w:pPr>
            <w:r>
              <w:rPr>
                <w:rFonts w:ascii="Arial" w:cs="Arial" w:eastAsia="Arial" w:hAnsi="Arial"/>
                <w:sz w:val="17"/>
                <w:szCs w:val="17"/>
                <w:i w:val="1"/>
                <w:iCs w:val="1"/>
                <w:color w:val="auto"/>
              </w:rPr>
              <w:t>G</w:t>
            </w:r>
            <w:r>
              <w:rPr>
                <w:rFonts w:ascii="Arial" w:cs="Arial" w:eastAsia="Arial" w:hAnsi="Arial"/>
                <w:sz w:val="14"/>
                <w:szCs w:val="14"/>
                <w:i w:val="1"/>
                <w:iCs w:val="1"/>
                <w:color w:val="auto"/>
              </w:rPr>
              <w:t>RANT</w:t>
            </w:r>
            <w:r>
              <w:rPr>
                <w:rFonts w:ascii="Arial" w:cs="Arial" w:eastAsia="Arial" w:hAnsi="Arial"/>
                <w:sz w:val="17"/>
                <w:szCs w:val="17"/>
                <w:i w:val="1"/>
                <w:iCs w:val="1"/>
                <w:color w:val="auto"/>
              </w:rPr>
              <w:t xml:space="preserve"> D</w:t>
            </w:r>
            <w:r>
              <w:rPr>
                <w:rFonts w:ascii="Arial" w:cs="Arial" w:eastAsia="Arial" w:hAnsi="Arial"/>
                <w:sz w:val="14"/>
                <w:szCs w:val="14"/>
                <w:i w:val="1"/>
                <w:iCs w:val="1"/>
                <w:color w:val="auto"/>
              </w:rPr>
              <w:t>ATE</w:t>
            </w:r>
          </w:p>
        </w:tc>
        <w:tc>
          <w:tcPr>
            <w:tcW w:w="1220" w:type="dxa"/>
            <w:vAlign w:val="bottom"/>
            <w:gridSpan w:val="2"/>
          </w:tcPr>
          <w:p>
            <w:pPr>
              <w:jc w:val="right"/>
              <w:spacing w:after="0"/>
              <w:rPr>
                <w:sz w:val="20"/>
                <w:szCs w:val="20"/>
                <w:color w:val="auto"/>
              </w:rPr>
            </w:pPr>
            <w:r>
              <w:rPr>
                <w:rFonts w:ascii="Arial" w:cs="Arial" w:eastAsia="Arial" w:hAnsi="Arial"/>
                <w:sz w:val="17"/>
                <w:szCs w:val="17"/>
                <w:i w:val="1"/>
                <w:iCs w:val="1"/>
                <w:color w:val="auto"/>
              </w:rPr>
              <w:t>, 200</w:t>
            </w:r>
          </w:p>
        </w:tc>
        <w:tc>
          <w:tcPr>
            <w:tcW w:w="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7"/>
                <w:szCs w:val="17"/>
                <w:i w:val="1"/>
                <w:iCs w:val="1"/>
                <w:color w:val="auto"/>
              </w:rPr>
              <w:t>N</w:t>
            </w:r>
            <w:r>
              <w:rPr>
                <w:rFonts w:ascii="Arial" w:cs="Arial" w:eastAsia="Arial" w:hAnsi="Arial"/>
                <w:sz w:val="14"/>
                <w:szCs w:val="14"/>
                <w:i w:val="1"/>
                <w:iCs w:val="1"/>
                <w:color w:val="auto"/>
              </w:rPr>
              <w:t>UMBER OF</w:t>
            </w:r>
            <w:r>
              <w:rPr>
                <w:rFonts w:ascii="Arial" w:cs="Arial" w:eastAsia="Arial" w:hAnsi="Arial"/>
                <w:sz w:val="17"/>
                <w:szCs w:val="17"/>
                <w:i w:val="1"/>
                <w:iCs w:val="1"/>
                <w:color w:val="auto"/>
              </w:rPr>
              <w:t xml:space="preserve"> S</w:t>
            </w:r>
            <w:r>
              <w:rPr>
                <w:rFonts w:ascii="Arial" w:cs="Arial" w:eastAsia="Arial" w:hAnsi="Arial"/>
                <w:sz w:val="14"/>
                <w:szCs w:val="14"/>
                <w:i w:val="1"/>
                <w:iCs w:val="1"/>
                <w:color w:val="auto"/>
              </w:rPr>
              <w:t>HARES</w:t>
            </w:r>
            <w:r>
              <w:rPr>
                <w:rFonts w:ascii="Arial" w:cs="Arial" w:eastAsia="Arial" w:hAnsi="Arial"/>
                <w:sz w:val="17"/>
                <w:szCs w:val="17"/>
                <w:i w:val="1"/>
                <w:iCs w:val="1"/>
                <w:color w:val="auto"/>
              </w:rPr>
              <w:t xml:space="preserve"> S</w:t>
            </w:r>
            <w:r>
              <w:rPr>
                <w:rFonts w:ascii="Arial" w:cs="Arial" w:eastAsia="Arial" w:hAnsi="Arial"/>
                <w:sz w:val="14"/>
                <w:szCs w:val="14"/>
                <w:i w:val="1"/>
                <w:iCs w:val="1"/>
                <w:color w:val="auto"/>
              </w:rPr>
              <w:t>UBJECT TO THE</w:t>
            </w:r>
            <w:r>
              <w:rPr>
                <w:rFonts w:ascii="Arial" w:cs="Arial" w:eastAsia="Arial" w:hAnsi="Arial"/>
                <w:sz w:val="17"/>
                <w:szCs w:val="17"/>
                <w:i w:val="1"/>
                <w:iCs w:val="1"/>
                <w:color w:val="auto"/>
              </w:rPr>
              <w:t xml:space="preserve"> O</w:t>
            </w:r>
            <w:r>
              <w:rPr>
                <w:rFonts w:ascii="Arial" w:cs="Arial" w:eastAsia="Arial" w:hAnsi="Arial"/>
                <w:sz w:val="14"/>
                <w:szCs w:val="14"/>
                <w:i w:val="1"/>
                <w:iCs w:val="1"/>
                <w:color w:val="auto"/>
              </w:rPr>
              <w:t>PTION</w:t>
            </w:r>
            <w:r>
              <w:rPr>
                <w:rFonts w:ascii="Arial" w:cs="Arial" w:eastAsia="Arial" w:hAnsi="Arial"/>
                <w:sz w:val="17"/>
                <w:szCs w:val="17"/>
                <w:i w:val="1"/>
                <w:iCs w:val="1"/>
                <w:color w:val="auto"/>
              </w:rPr>
              <w:t>:</w:t>
            </w:r>
          </w:p>
        </w:tc>
        <w:tc>
          <w:tcPr>
            <w:tcW w:w="47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_______ S</w:t>
            </w:r>
            <w:r>
              <w:rPr>
                <w:rFonts w:ascii="Arial" w:cs="Arial" w:eastAsia="Arial" w:hAnsi="Arial"/>
                <w:sz w:val="14"/>
                <w:szCs w:val="14"/>
                <w:i w:val="1"/>
                <w:iCs w:val="1"/>
                <w:color w:val="auto"/>
              </w:rPr>
              <w:t>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gridSpan w:val="5"/>
          </w:tcPr>
          <w:p>
            <w:pPr>
              <w:ind w:left="420"/>
              <w:spacing w:after="0"/>
              <w:rPr>
                <w:sz w:val="20"/>
                <w:szCs w:val="20"/>
                <w:color w:val="auto"/>
              </w:rPr>
            </w:pPr>
            <w:r>
              <w:rPr>
                <w:rFonts w:ascii="Arial" w:cs="Arial" w:eastAsia="Arial" w:hAnsi="Arial"/>
                <w:sz w:val="17"/>
                <w:szCs w:val="17"/>
                <w:color w:val="auto"/>
              </w:rPr>
              <w:t>Incentive Stock Option</w:t>
            </w:r>
          </w:p>
        </w:tc>
        <w:tc>
          <w:tcPr>
            <w:tcW w:w="4700" w:type="dxa"/>
            <w:vAlign w:val="bottom"/>
          </w:tcPr>
          <w:p>
            <w:pPr>
              <w:jc w:val="right"/>
              <w:spacing w:after="0"/>
              <w:rPr>
                <w:sz w:val="20"/>
                <w:szCs w:val="20"/>
                <w:color w:val="auto"/>
              </w:rPr>
            </w:pPr>
            <w:r>
              <w:rPr>
                <w:rFonts w:ascii="Arial" w:cs="Arial" w:eastAsia="Arial" w:hAnsi="Arial"/>
                <w:sz w:val="17"/>
                <w:szCs w:val="17"/>
                <w:color w:val="auto"/>
              </w:rPr>
              <w:t>______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Non-Qualified Stock Option</w:t>
            </w:r>
          </w:p>
        </w:tc>
        <w:tc>
          <w:tcPr>
            <w:tcW w:w="4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______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720" w:type="dxa"/>
            <w:vAlign w:val="bottom"/>
            <w:gridSpan w:val="6"/>
          </w:tcPr>
          <w:p>
            <w:pPr>
              <w:spacing w:after="0"/>
              <w:rPr>
                <w:sz w:val="20"/>
                <w:szCs w:val="20"/>
                <w:color w:val="auto"/>
              </w:rPr>
            </w:pPr>
            <w:r>
              <w:rPr>
                <w:rFonts w:ascii="Arial" w:cs="Arial" w:eastAsia="Arial" w:hAnsi="Arial"/>
                <w:sz w:val="17"/>
                <w:szCs w:val="17"/>
                <w:i w:val="1"/>
                <w:iCs w:val="1"/>
                <w:color w:val="auto"/>
              </w:rPr>
              <w:t>E</w:t>
            </w:r>
            <w:r>
              <w:rPr>
                <w:rFonts w:ascii="Arial" w:cs="Arial" w:eastAsia="Arial" w:hAnsi="Arial"/>
                <w:sz w:val="14"/>
                <w:szCs w:val="14"/>
                <w:i w:val="1"/>
                <w:iCs w:val="1"/>
                <w:color w:val="auto"/>
              </w:rPr>
              <w:t>XERCISE</w:t>
            </w:r>
            <w:r>
              <w:rPr>
                <w:rFonts w:ascii="Arial" w:cs="Arial" w:eastAsia="Arial" w:hAnsi="Arial"/>
                <w:sz w:val="17"/>
                <w:szCs w:val="17"/>
                <w:i w:val="1"/>
                <w:iCs w:val="1"/>
                <w:color w:val="auto"/>
              </w:rPr>
              <w:t xml:space="preserve"> P</w:t>
            </w:r>
            <w:r>
              <w:rPr>
                <w:rFonts w:ascii="Arial" w:cs="Arial" w:eastAsia="Arial" w:hAnsi="Arial"/>
                <w:sz w:val="14"/>
                <w:szCs w:val="14"/>
                <w:i w:val="1"/>
                <w:iCs w:val="1"/>
                <w:color w:val="auto"/>
              </w:rPr>
              <w:t>RICE</w:t>
            </w:r>
            <w:r>
              <w:rPr>
                <w:rFonts w:ascii="Arial" w:cs="Arial" w:eastAsia="Arial" w:hAnsi="Arial"/>
                <w:sz w:val="17"/>
                <w:szCs w:val="17"/>
                <w:i w:val="1"/>
                <w:iCs w:val="1"/>
                <w:color w:val="auto"/>
              </w:rPr>
              <w:t xml:space="preserve"> P</w:t>
            </w:r>
            <w:r>
              <w:rPr>
                <w:rFonts w:ascii="Arial" w:cs="Arial" w:eastAsia="Arial" w:hAnsi="Arial"/>
                <w:sz w:val="14"/>
                <w:szCs w:val="14"/>
                <w:i w:val="1"/>
                <w:iCs w:val="1"/>
                <w:color w:val="auto"/>
              </w:rPr>
              <w:t>ER</w:t>
            </w:r>
            <w:r>
              <w:rPr>
                <w:rFonts w:ascii="Arial" w:cs="Arial" w:eastAsia="Arial" w:hAnsi="Arial"/>
                <w:sz w:val="17"/>
                <w:szCs w:val="17"/>
                <w:i w:val="1"/>
                <w:iCs w:val="1"/>
                <w:color w:val="auto"/>
              </w:rPr>
              <w:t xml:space="preserve"> S</w:t>
            </w:r>
            <w:r>
              <w:rPr>
                <w:rFonts w:ascii="Arial" w:cs="Arial" w:eastAsia="Arial" w:hAnsi="Arial"/>
                <w:sz w:val="14"/>
                <w:szCs w:val="14"/>
                <w:i w:val="1"/>
                <w:iCs w:val="1"/>
                <w:color w:val="auto"/>
              </w:rPr>
              <w:t>HARE</w:t>
            </w:r>
          </w:p>
        </w:tc>
        <w:tc>
          <w:tcPr>
            <w:tcW w:w="4700" w:type="dxa"/>
            <w:vAlign w:val="bottom"/>
          </w:tcPr>
          <w:p>
            <w:pPr>
              <w:jc w:val="right"/>
              <w:ind w:right="434"/>
              <w:spacing w:after="0"/>
              <w:rPr>
                <w:sz w:val="20"/>
                <w:szCs w:val="20"/>
                <w:color w:val="auto"/>
              </w:rPr>
            </w:pPr>
            <w:r>
              <w:rPr>
                <w:rFonts w:ascii="Arial" w:cs="Arial" w:eastAsia="Arial" w:hAnsi="Arial"/>
                <w:sz w:val="17"/>
                <w:szCs w:val="17"/>
                <w:i w:val="1"/>
                <w:iCs w:val="1"/>
                <w:color w:val="auto"/>
              </w:rPr>
              <w:t>$_______</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720" w:type="dxa"/>
            <w:vAlign w:val="bottom"/>
            <w:gridSpan w:val="6"/>
          </w:tcPr>
          <w:p>
            <w:pPr>
              <w:spacing w:after="0"/>
              <w:rPr>
                <w:sz w:val="20"/>
                <w:szCs w:val="20"/>
                <w:color w:val="auto"/>
              </w:rPr>
            </w:pPr>
            <w:r>
              <w:rPr>
                <w:rFonts w:ascii="Arial" w:cs="Arial" w:eastAsia="Arial" w:hAnsi="Arial"/>
                <w:sz w:val="17"/>
                <w:szCs w:val="17"/>
                <w:i w:val="1"/>
                <w:iCs w:val="1"/>
                <w:color w:val="auto"/>
              </w:rPr>
              <w:t>I</w:t>
            </w:r>
            <w:r>
              <w:rPr>
                <w:rFonts w:ascii="Arial" w:cs="Arial" w:eastAsia="Arial" w:hAnsi="Arial"/>
                <w:sz w:val="14"/>
                <w:szCs w:val="14"/>
                <w:i w:val="1"/>
                <w:iCs w:val="1"/>
                <w:color w:val="auto"/>
              </w:rPr>
              <w:t>NSTALLMENT</w:t>
            </w:r>
            <w:r>
              <w:rPr>
                <w:rFonts w:ascii="Arial" w:cs="Arial" w:eastAsia="Arial" w:hAnsi="Arial"/>
                <w:sz w:val="17"/>
                <w:szCs w:val="17"/>
                <w:i w:val="1"/>
                <w:iCs w:val="1"/>
                <w:color w:val="auto"/>
              </w:rPr>
              <w:t xml:space="preserve"> E</w:t>
            </w:r>
            <w:r>
              <w:rPr>
                <w:rFonts w:ascii="Arial" w:cs="Arial" w:eastAsia="Arial" w:hAnsi="Arial"/>
                <w:sz w:val="14"/>
                <w:szCs w:val="14"/>
                <w:i w:val="1"/>
                <w:iCs w:val="1"/>
                <w:color w:val="auto"/>
              </w:rPr>
              <w:t>XERCISE</w:t>
            </w:r>
            <w:r>
              <w:rPr>
                <w:rFonts w:ascii="Arial" w:cs="Arial" w:eastAsia="Arial" w:hAnsi="Arial"/>
                <w:sz w:val="17"/>
                <w:szCs w:val="17"/>
                <w:i w:val="1"/>
                <w:iCs w:val="1"/>
                <w:color w:val="auto"/>
              </w:rPr>
              <w:t xml:space="preserve"> S</w:t>
            </w:r>
            <w:r>
              <w:rPr>
                <w:rFonts w:ascii="Arial" w:cs="Arial" w:eastAsia="Arial" w:hAnsi="Arial"/>
                <w:sz w:val="14"/>
                <w:szCs w:val="14"/>
                <w:i w:val="1"/>
                <w:iCs w:val="1"/>
                <w:color w:val="auto"/>
              </w:rPr>
              <w:t>CHEDULE</w:t>
            </w: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Cumulative Number of</w:t>
      </w:r>
    </w:p>
    <w:p>
      <w:pPr>
        <w:spacing w:after="0" w:line="8"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Shares in Respect of</w:t>
      </w:r>
    </w:p>
    <w:p>
      <w:pPr>
        <w:jc w:val="center"/>
        <w:ind w:left="9280"/>
        <w:spacing w:after="0" w:line="234" w:lineRule="auto"/>
        <w:rPr>
          <w:sz w:val="20"/>
          <w:szCs w:val="20"/>
          <w:color w:val="auto"/>
        </w:rPr>
      </w:pPr>
      <w:r>
        <w:rPr>
          <w:rFonts w:ascii="Arial" w:cs="Arial" w:eastAsia="Arial" w:hAnsi="Arial"/>
          <w:sz w:val="13"/>
          <w:szCs w:val="13"/>
          <w:b w:val="1"/>
          <w:bCs w:val="1"/>
          <w:color w:val="auto"/>
        </w:rPr>
        <w:t>which Option is</w:t>
      </w:r>
    </w:p>
    <w:p>
      <w:pPr>
        <w:jc w:val="center"/>
        <w:ind w:left="9280"/>
        <w:spacing w:after="0" w:line="233" w:lineRule="auto"/>
        <w:rPr>
          <w:sz w:val="20"/>
          <w:szCs w:val="20"/>
          <w:color w:val="auto"/>
        </w:rPr>
      </w:pPr>
      <w:r>
        <w:rPr>
          <w:rFonts w:ascii="Arial" w:cs="Arial" w:eastAsia="Arial" w:hAnsi="Arial"/>
          <w:sz w:val="13"/>
          <w:szCs w:val="13"/>
          <w:b w:val="1"/>
          <w:bCs w:val="1"/>
          <w:color w:val="auto"/>
        </w:rPr>
        <w:t>Exercisable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60" w:type="dxa"/>
            <w:vAlign w:val="bottom"/>
            <w:vMerge w:val="restart"/>
          </w:tcPr>
          <w:p>
            <w:pPr>
              <w:spacing w:after="0"/>
              <w:rPr>
                <w:sz w:val="20"/>
                <w:szCs w:val="20"/>
                <w:color w:val="auto"/>
              </w:rPr>
            </w:pPr>
            <w:r>
              <w:rPr>
                <w:rFonts w:ascii="Arial" w:cs="Arial" w:eastAsia="Arial" w:hAnsi="Arial"/>
                <w:sz w:val="13"/>
                <w:szCs w:val="13"/>
                <w:b w:val="1"/>
                <w:bCs w:val="1"/>
                <w:color w:val="auto"/>
              </w:rPr>
              <w:t>Anniversary of Grant Date</w:t>
            </w:r>
          </w:p>
        </w:tc>
        <w:tc>
          <w:tcPr>
            <w:tcW w:w="1020" w:type="dxa"/>
            <w:vAlign w:val="bottom"/>
            <w:vMerge w:val="restart"/>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4"/>
              </w:rPr>
              <w:t>Non-</w:t>
            </w:r>
          </w:p>
        </w:tc>
        <w:tc>
          <w:tcPr>
            <w:tcW w:w="0" w:type="dxa"/>
            <w:vAlign w:val="bottom"/>
          </w:tcPr>
          <w:p>
            <w:pPr>
              <w:spacing w:after="0"/>
              <w:rPr>
                <w:sz w:val="1"/>
                <w:szCs w:val="1"/>
                <w:color w:val="auto"/>
              </w:rPr>
            </w:pPr>
          </w:p>
        </w:tc>
      </w:tr>
      <w:tr>
        <w:trPr>
          <w:trHeight w:val="152"/>
        </w:trPr>
        <w:tc>
          <w:tcPr>
            <w:tcW w:w="8260" w:type="dxa"/>
            <w:vAlign w:val="bottom"/>
            <w:tcBorders>
              <w:bottom w:val="single" w:sz="8" w:color="auto"/>
            </w:tcBorders>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540" w:type="dxa"/>
            <w:vAlign w:val="bottom"/>
            <w:tcBorders>
              <w:bottom w:val="single" w:sz="8" w:color="auto"/>
            </w:tcBorders>
          </w:tcPr>
          <w:p>
            <w:pPr>
              <w:spacing w:after="0" w:line="146" w:lineRule="exact"/>
              <w:rPr>
                <w:sz w:val="20"/>
                <w:szCs w:val="20"/>
                <w:color w:val="auto"/>
              </w:rPr>
            </w:pPr>
            <w:r>
              <w:rPr>
                <w:rFonts w:ascii="Arial" w:cs="Arial" w:eastAsia="Arial" w:hAnsi="Arial"/>
                <w:sz w:val="13"/>
                <w:szCs w:val="13"/>
                <w:b w:val="1"/>
                <w:bCs w:val="1"/>
                <w:color w:val="auto"/>
                <w:w w:val="92"/>
              </w:rPr>
              <w:t>Incentive</w:t>
            </w:r>
          </w:p>
        </w:tc>
        <w:tc>
          <w:tcPr>
            <w:tcW w:w="102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6"/>
              </w:rPr>
              <w:t>Qualified</w:t>
            </w:r>
          </w:p>
        </w:tc>
        <w:tc>
          <w:tcPr>
            <w:tcW w:w="0" w:type="dxa"/>
            <w:vAlign w:val="bottom"/>
          </w:tcPr>
          <w:p>
            <w:pPr>
              <w:spacing w:after="0"/>
              <w:rPr>
                <w:sz w:val="1"/>
                <w:szCs w:val="1"/>
                <w:color w:val="auto"/>
              </w:rPr>
            </w:pPr>
          </w:p>
        </w:tc>
      </w:tr>
    </w:tbl>
    <w:p>
      <w:pPr>
        <w:spacing w:after="0" w:line="207" w:lineRule="auto"/>
        <w:rPr>
          <w:sz w:val="20"/>
          <w:szCs w:val="20"/>
          <w:color w:val="auto"/>
        </w:rPr>
      </w:pPr>
      <w:r>
        <w:rPr>
          <w:rFonts w:ascii="Arial" w:cs="Arial" w:eastAsia="Arial" w:hAnsi="Arial"/>
          <w:sz w:val="17"/>
          <w:szCs w:val="17"/>
          <w:color w:val="auto"/>
        </w:rPr>
        <w:t>Prior to 1</w:t>
      </w:r>
      <w:r>
        <w:rPr>
          <w:rFonts w:ascii="Arial" w:cs="Arial" w:eastAsia="Arial" w:hAnsi="Arial"/>
          <w:sz w:val="22"/>
          <w:szCs w:val="22"/>
          <w:color w:val="auto"/>
          <w:vertAlign w:val="superscript"/>
        </w:rPr>
        <w:t>st</w:t>
      </w:r>
    </w:p>
    <w:p>
      <w:pPr>
        <w:spacing w:after="0" w:line="202" w:lineRule="auto"/>
        <w:rPr>
          <w:sz w:val="20"/>
          <w:szCs w:val="20"/>
          <w:color w:val="auto"/>
        </w:rPr>
      </w:pPr>
      <w:r>
        <w:rPr>
          <w:rFonts w:ascii="Arial" w:cs="Arial" w:eastAsia="Arial" w:hAnsi="Arial"/>
          <w:sz w:val="17"/>
          <w:szCs w:val="17"/>
          <w:color w:val="auto"/>
        </w:rPr>
        <w:t>On and After 1</w:t>
      </w:r>
      <w:r>
        <w:rPr>
          <w:rFonts w:ascii="Arial" w:cs="Arial" w:eastAsia="Arial" w:hAnsi="Arial"/>
          <w:sz w:val="22"/>
          <w:szCs w:val="22"/>
          <w:color w:val="auto"/>
          <w:vertAlign w:val="superscript"/>
        </w:rPr>
        <w:t>st</w:t>
      </w:r>
      <w:r>
        <w:rPr>
          <w:rFonts w:ascii="Arial" w:cs="Arial" w:eastAsia="Arial" w:hAnsi="Arial"/>
          <w:sz w:val="17"/>
          <w:szCs w:val="17"/>
          <w:color w:val="auto"/>
        </w:rPr>
        <w:t>-Prior to 2</w:t>
      </w:r>
      <w:r>
        <w:rPr>
          <w:rFonts w:ascii="Arial" w:cs="Arial" w:eastAsia="Arial" w:hAnsi="Arial"/>
          <w:sz w:val="22"/>
          <w:szCs w:val="22"/>
          <w:color w:val="auto"/>
          <w:vertAlign w:val="superscript"/>
        </w:rPr>
        <w:t>nd</w:t>
      </w:r>
    </w:p>
    <w:p>
      <w:pPr>
        <w:spacing w:after="0" w:line="202" w:lineRule="auto"/>
        <w:rPr>
          <w:sz w:val="20"/>
          <w:szCs w:val="20"/>
          <w:color w:val="auto"/>
        </w:rPr>
      </w:pPr>
      <w:r>
        <w:rPr>
          <w:rFonts w:ascii="Arial" w:cs="Arial" w:eastAsia="Arial" w:hAnsi="Arial"/>
          <w:sz w:val="17"/>
          <w:szCs w:val="17"/>
          <w:color w:val="auto"/>
        </w:rPr>
        <w:t>On and After 2</w:t>
      </w:r>
      <w:r>
        <w:rPr>
          <w:rFonts w:ascii="Arial" w:cs="Arial" w:eastAsia="Arial" w:hAnsi="Arial"/>
          <w:sz w:val="22"/>
          <w:szCs w:val="22"/>
          <w:color w:val="auto"/>
          <w:vertAlign w:val="superscript"/>
        </w:rPr>
        <w:t>nd</w:t>
      </w:r>
      <w:r>
        <w:rPr>
          <w:rFonts w:ascii="Arial" w:cs="Arial" w:eastAsia="Arial" w:hAnsi="Arial"/>
          <w:sz w:val="17"/>
          <w:szCs w:val="17"/>
          <w:color w:val="auto"/>
        </w:rPr>
        <w:t>-Prior to 3</w:t>
      </w:r>
      <w:r>
        <w:rPr>
          <w:rFonts w:ascii="Arial" w:cs="Arial" w:eastAsia="Arial" w:hAnsi="Arial"/>
          <w:sz w:val="22"/>
          <w:szCs w:val="22"/>
          <w:color w:val="auto"/>
          <w:vertAlign w:val="superscript"/>
        </w:rPr>
        <w:t>rd</w:t>
      </w:r>
    </w:p>
    <w:p>
      <w:pPr>
        <w:spacing w:after="0" w:line="202" w:lineRule="auto"/>
        <w:rPr>
          <w:sz w:val="20"/>
          <w:szCs w:val="20"/>
          <w:color w:val="auto"/>
        </w:rPr>
      </w:pPr>
      <w:r>
        <w:rPr>
          <w:rFonts w:ascii="Arial" w:cs="Arial" w:eastAsia="Arial" w:hAnsi="Arial"/>
          <w:sz w:val="17"/>
          <w:szCs w:val="17"/>
          <w:color w:val="auto"/>
        </w:rPr>
        <w:t>On and After 3</w:t>
      </w:r>
      <w:r>
        <w:rPr>
          <w:rFonts w:ascii="Arial" w:cs="Arial" w:eastAsia="Arial" w:hAnsi="Arial"/>
          <w:sz w:val="22"/>
          <w:szCs w:val="22"/>
          <w:color w:val="auto"/>
          <w:vertAlign w:val="superscript"/>
        </w:rPr>
        <w:t>rd</w:t>
      </w:r>
      <w:r>
        <w:rPr>
          <w:rFonts w:ascii="Arial" w:cs="Arial" w:eastAsia="Arial" w:hAnsi="Arial"/>
          <w:sz w:val="17"/>
          <w:szCs w:val="17"/>
          <w:color w:val="auto"/>
        </w:rPr>
        <w:t>-Prior to 4</w:t>
      </w:r>
      <w:r>
        <w:rPr>
          <w:rFonts w:ascii="Arial" w:cs="Arial" w:eastAsia="Arial" w:hAnsi="Arial"/>
          <w:sz w:val="22"/>
          <w:szCs w:val="22"/>
          <w:color w:val="auto"/>
          <w:vertAlign w:val="superscript"/>
        </w:rPr>
        <w:t>th</w:t>
      </w:r>
    </w:p>
    <w:p>
      <w:pPr>
        <w:spacing w:after="0" w:line="202" w:lineRule="auto"/>
        <w:rPr>
          <w:sz w:val="20"/>
          <w:szCs w:val="20"/>
          <w:color w:val="auto"/>
        </w:rPr>
      </w:pPr>
      <w:r>
        <w:rPr>
          <w:rFonts w:ascii="Arial" w:cs="Arial" w:eastAsia="Arial" w:hAnsi="Arial"/>
          <w:sz w:val="17"/>
          <w:szCs w:val="17"/>
          <w:color w:val="auto"/>
        </w:rPr>
        <w:t>On and After 4</w:t>
      </w:r>
      <w:r>
        <w:rPr>
          <w:rFonts w:ascii="Arial" w:cs="Arial" w:eastAsia="Arial" w:hAnsi="Arial"/>
          <w:sz w:val="22"/>
          <w:szCs w:val="22"/>
          <w:color w:val="auto"/>
          <w:vertAlign w:val="superscript"/>
        </w:rPr>
        <w:t>th</w:t>
      </w:r>
      <w:r>
        <w:rPr>
          <w:rFonts w:ascii="Arial" w:cs="Arial" w:eastAsia="Arial" w:hAnsi="Arial"/>
          <w:sz w:val="17"/>
          <w:szCs w:val="17"/>
          <w:color w:val="auto"/>
        </w:rPr>
        <w:t>-Prior to 5</w:t>
      </w:r>
      <w:r>
        <w:rPr>
          <w:rFonts w:ascii="Arial" w:cs="Arial" w:eastAsia="Arial" w:hAnsi="Arial"/>
          <w:sz w:val="22"/>
          <w:szCs w:val="22"/>
          <w:color w:val="auto"/>
          <w:vertAlign w:val="superscript"/>
        </w:rPr>
        <w:t>th</w:t>
      </w:r>
    </w:p>
    <w:p>
      <w:pPr>
        <w:spacing w:after="0"/>
        <w:rPr>
          <w:sz w:val="20"/>
          <w:szCs w:val="20"/>
          <w:color w:val="auto"/>
        </w:rPr>
      </w:pPr>
      <w:r>
        <w:rPr>
          <w:rFonts w:ascii="Arial" w:cs="Arial" w:eastAsia="Arial" w:hAnsi="Arial"/>
          <w:sz w:val="17"/>
          <w:szCs w:val="17"/>
          <w:color w:val="auto"/>
        </w:rPr>
        <w:t>On and After 5</w:t>
      </w:r>
      <w:r>
        <w:rPr>
          <w:rFonts w:ascii="Arial" w:cs="Arial" w:eastAsia="Arial" w:hAnsi="Arial"/>
          <w:sz w:val="22"/>
          <w:szCs w:val="22"/>
          <w:color w:val="auto"/>
          <w:vertAlign w:val="superscript"/>
        </w:rPr>
        <w:t>th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w:t>
      </w:r>
      <w:r>
        <w:rPr>
          <w:rFonts w:ascii="Arial" w:cs="Arial" w:eastAsia="Arial" w:hAnsi="Arial"/>
          <w:sz w:val="14"/>
          <w:szCs w:val="14"/>
          <w:i w:val="1"/>
          <w:iCs w:val="1"/>
          <w:color w:val="auto"/>
        </w:rPr>
        <w:t>OTICE</w:t>
      </w:r>
      <w:r>
        <w:rPr>
          <w:rFonts w:ascii="Arial" w:cs="Arial" w:eastAsia="Arial" w:hAnsi="Arial"/>
          <w:sz w:val="17"/>
          <w:szCs w:val="17"/>
          <w:i w:val="1"/>
          <w:iCs w:val="1"/>
          <w:color w:val="auto"/>
        </w:rPr>
        <w:t xml:space="preserve"> A</w:t>
      </w:r>
      <w:r>
        <w:rPr>
          <w:rFonts w:ascii="Arial" w:cs="Arial" w:eastAsia="Arial" w:hAnsi="Arial"/>
          <w:sz w:val="14"/>
          <w:szCs w:val="14"/>
          <w:i w:val="1"/>
          <w:iCs w:val="1"/>
          <w:color w:val="auto"/>
        </w:rPr>
        <w:t>DDRESSES</w:t>
      </w:r>
      <w:r>
        <w:rPr>
          <w:rFonts w:ascii="Arial" w:cs="Arial" w:eastAsia="Arial" w:hAnsi="Arial"/>
          <w:sz w:val="17"/>
          <w:szCs w:val="17"/>
          <w:i w:val="1"/>
          <w:iCs w:val="1"/>
          <w:color w:val="auto"/>
        </w:rPr>
        <w:t>:</w:t>
      </w:r>
    </w:p>
    <w:p>
      <w:pPr>
        <w:spacing w:after="0" w:line="217"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i w:val="1"/>
          <w:iCs w:val="1"/>
          <w:color w:val="auto"/>
        </w:rPr>
        <w:t>I</w:t>
      </w:r>
      <w:r>
        <w:rPr>
          <w:rFonts w:ascii="Arial" w:cs="Arial" w:eastAsia="Arial" w:hAnsi="Arial"/>
          <w:sz w:val="14"/>
          <w:szCs w:val="14"/>
          <w:i w:val="1"/>
          <w:iCs w:val="1"/>
          <w:color w:val="auto"/>
        </w:rPr>
        <w:t>F TO THE</w:t>
      </w:r>
      <w:r>
        <w:rPr>
          <w:rFonts w:ascii="Arial" w:cs="Arial" w:eastAsia="Arial" w:hAnsi="Arial"/>
          <w:sz w:val="17"/>
          <w:szCs w:val="17"/>
          <w:i w:val="1"/>
          <w:iCs w:val="1"/>
          <w:color w:val="auto"/>
        </w:rPr>
        <w:t xml:space="preserve"> T</w:t>
      </w:r>
      <w:r>
        <w:rPr>
          <w:rFonts w:ascii="Arial" w:cs="Arial" w:eastAsia="Arial" w:hAnsi="Arial"/>
          <w:sz w:val="14"/>
          <w:szCs w:val="14"/>
          <w:i w:val="1"/>
          <w:iCs w:val="1"/>
          <w:color w:val="auto"/>
        </w:rPr>
        <w:t>RUST</w:t>
      </w:r>
      <w:r>
        <w:rPr>
          <w:rFonts w:ascii="Arial" w:cs="Arial" w:eastAsia="Arial" w:hAnsi="Arial"/>
          <w:sz w:val="17"/>
          <w:szCs w:val="17"/>
          <w:i w:val="1"/>
          <w:iCs w:val="1"/>
          <w:color w:val="auto"/>
        </w:rPr>
        <w:t>:</w:t>
      </w:r>
      <w:r>
        <w:rPr>
          <w:sz w:val="20"/>
          <w:szCs w:val="20"/>
          <w:color w:val="auto"/>
        </w:rPr>
        <w:tab/>
      </w:r>
      <w:r>
        <w:rPr>
          <w:rFonts w:ascii="Arial" w:cs="Arial" w:eastAsia="Arial" w:hAnsi="Arial"/>
          <w:sz w:val="16"/>
          <w:szCs w:val="16"/>
          <w:i w:val="1"/>
          <w:iCs w:val="1"/>
          <w:color w:val="auto"/>
        </w:rPr>
        <w:t>I</w:t>
      </w:r>
      <w:r>
        <w:rPr>
          <w:rFonts w:ascii="Arial" w:cs="Arial" w:eastAsia="Arial" w:hAnsi="Arial"/>
          <w:sz w:val="13"/>
          <w:szCs w:val="13"/>
          <w:i w:val="1"/>
          <w:iCs w:val="1"/>
          <w:color w:val="auto"/>
        </w:rPr>
        <w:t>F TO THE</w:t>
      </w:r>
      <w:r>
        <w:rPr>
          <w:rFonts w:ascii="Arial" w:cs="Arial" w:eastAsia="Arial" w:hAnsi="Arial"/>
          <w:sz w:val="16"/>
          <w:szCs w:val="16"/>
          <w:i w:val="1"/>
          <w:iCs w:val="1"/>
          <w:color w:val="auto"/>
        </w:rPr>
        <w:t xml:space="preserve"> K</w:t>
      </w:r>
      <w:r>
        <w:rPr>
          <w:rFonts w:ascii="Arial" w:cs="Arial" w:eastAsia="Arial" w:hAnsi="Arial"/>
          <w:sz w:val="13"/>
          <w:szCs w:val="13"/>
          <w:i w:val="1"/>
          <w:iCs w:val="1"/>
          <w:color w:val="auto"/>
        </w:rPr>
        <w:t>EY</w:t>
      </w:r>
      <w:r>
        <w:rPr>
          <w:rFonts w:ascii="Arial" w:cs="Arial" w:eastAsia="Arial" w:hAnsi="Arial"/>
          <w:sz w:val="16"/>
          <w:szCs w:val="16"/>
          <w:i w:val="1"/>
          <w:iCs w:val="1"/>
          <w:color w:val="auto"/>
        </w:rPr>
        <w:t xml:space="preserve"> E</w:t>
      </w:r>
      <w:r>
        <w:rPr>
          <w:rFonts w:ascii="Arial" w:cs="Arial" w:eastAsia="Arial" w:hAnsi="Arial"/>
          <w:sz w:val="13"/>
          <w:szCs w:val="13"/>
          <w:i w:val="1"/>
          <w:iCs w:val="1"/>
          <w:color w:val="auto"/>
        </w:rPr>
        <w:t>MPLOYEE</w:t>
      </w:r>
      <w:r>
        <w:rPr>
          <w:rFonts w:ascii="Arial" w:cs="Arial" w:eastAsia="Arial" w:hAnsi="Arial"/>
          <w:sz w:val="16"/>
          <w:szCs w:val="16"/>
          <w:i w:val="1"/>
          <w:iCs w:val="1"/>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1626 East Jefferson Street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Rockville, Maryland 20852-4041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Attention: Secretary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3"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6"/>
        </w:trPr>
        <w:tc>
          <w:tcPr>
            <w:tcW w:w="2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840" w:type="dxa"/>
            <w:vAlign w:val="bottom"/>
            <w:gridSpan w:val="2"/>
          </w:tcPr>
          <w:p>
            <w:pPr>
              <w:ind w:left="740"/>
              <w:spacing w:after="0"/>
              <w:rPr>
                <w:sz w:val="20"/>
                <w:szCs w:val="20"/>
                <w:color w:val="auto"/>
              </w:rPr>
            </w:pPr>
            <w:r>
              <w:rPr>
                <w:rFonts w:ascii="Arial" w:cs="Arial" w:eastAsia="Arial" w:hAnsi="Arial"/>
                <w:sz w:val="17"/>
                <w:szCs w:val="17"/>
                <w:b w:val="1"/>
                <w:bCs w:val="1"/>
                <w:color w:val="auto"/>
              </w:rPr>
              <w:t>EXHIBIT 21.1</w:t>
            </w:r>
          </w:p>
        </w:tc>
      </w:tr>
      <w:tr>
        <w:trPr>
          <w:trHeight w:val="293"/>
        </w:trPr>
        <w:tc>
          <w:tcPr>
            <w:tcW w:w="2940" w:type="dxa"/>
            <w:vAlign w:val="bottom"/>
          </w:tcPr>
          <w:p>
            <w:pPr>
              <w:spacing w:after="0"/>
              <w:rPr>
                <w:sz w:val="24"/>
                <w:szCs w:val="24"/>
                <w:color w:val="auto"/>
              </w:rPr>
            </w:pPr>
          </w:p>
        </w:tc>
        <w:tc>
          <w:tcPr>
            <w:tcW w:w="8500" w:type="dxa"/>
            <w:vAlign w:val="bottom"/>
            <w:gridSpan w:val="4"/>
          </w:tcPr>
          <w:p>
            <w:pPr>
              <w:ind w:left="240"/>
              <w:spacing w:after="0"/>
              <w:rPr>
                <w:sz w:val="20"/>
                <w:szCs w:val="20"/>
                <w:color w:val="auto"/>
              </w:rPr>
            </w:pPr>
            <w:r>
              <w:rPr>
                <w:rFonts w:ascii="Arial" w:cs="Arial" w:eastAsia="Arial" w:hAnsi="Arial"/>
                <w:sz w:val="17"/>
                <w:szCs w:val="17"/>
                <w:b w:val="1"/>
                <w:bCs w:val="1"/>
                <w:color w:val="auto"/>
              </w:rPr>
              <w:t>FEDERAL REALTY INVESTMENT TRUST AND SUBSIDIARIES</w:t>
            </w:r>
          </w:p>
        </w:tc>
      </w:tr>
      <w:tr>
        <w:trPr>
          <w:trHeight w:val="334"/>
        </w:trPr>
        <w:tc>
          <w:tcPr>
            <w:tcW w:w="2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STATE OF INCORPORATION</w:t>
            </w:r>
          </w:p>
        </w:tc>
      </w:tr>
      <w:tr>
        <w:trPr>
          <w:trHeight w:val="166"/>
        </w:trPr>
        <w:tc>
          <w:tcPr>
            <w:tcW w:w="2940" w:type="dxa"/>
            <w:vAlign w:val="bottom"/>
          </w:tcPr>
          <w:p>
            <w:pPr>
              <w:jc w:val="center"/>
              <w:ind w:left="659"/>
              <w:spacing w:after="0"/>
              <w:rPr>
                <w:sz w:val="20"/>
                <w:szCs w:val="20"/>
                <w:color w:val="auto"/>
              </w:rPr>
            </w:pPr>
            <w:r>
              <w:rPr>
                <w:rFonts w:ascii="Arial" w:cs="Arial" w:eastAsia="Arial" w:hAnsi="Arial"/>
                <w:sz w:val="13"/>
                <w:szCs w:val="13"/>
                <w:b w:val="1"/>
                <w:bCs w:val="1"/>
                <w:color w:val="auto"/>
              </w:rPr>
              <w:t>NAME OF SUBSIDIARY</w:t>
            </w:r>
          </w:p>
        </w:tc>
        <w:tc>
          <w:tcPr>
            <w:tcW w:w="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OR ORGANIZATION</w:t>
            </w:r>
          </w:p>
        </w:tc>
      </w:tr>
      <w:tr>
        <w:trPr>
          <w:trHeight w:val="213"/>
        </w:trPr>
        <w:tc>
          <w:tcPr>
            <w:tcW w:w="2940" w:type="dxa"/>
            <w:vAlign w:val="bottom"/>
            <w:tcBorders>
              <w:top w:val="single" w:sz="8" w:color="auto"/>
            </w:tcBorders>
            <w:shd w:val="clear" w:color="auto" w:fill="CCEEFF"/>
          </w:tcPr>
          <w:p>
            <w:pPr>
              <w:jc w:val="center"/>
              <w:ind w:left="659"/>
              <w:spacing w:after="0"/>
              <w:rPr>
                <w:sz w:val="20"/>
                <w:szCs w:val="20"/>
                <w:color w:val="auto"/>
              </w:rPr>
            </w:pPr>
            <w:r>
              <w:rPr>
                <w:rFonts w:ascii="Arial" w:cs="Arial" w:eastAsia="Arial" w:hAnsi="Arial"/>
                <w:sz w:val="17"/>
                <w:szCs w:val="17"/>
                <w:color w:val="auto"/>
                <w:w w:val="92"/>
              </w:rPr>
              <w:t>Street Retail, Inc</w:t>
            </w:r>
          </w:p>
        </w:tc>
        <w:tc>
          <w:tcPr>
            <w:tcW w:w="740" w:type="dxa"/>
            <w:vAlign w:val="bottom"/>
            <w:tcBorders>
              <w:top w:val="single" w:sz="8" w:color="auto"/>
            </w:tcBorders>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Maryland</w:t>
            </w:r>
          </w:p>
        </w:tc>
        <w:tc>
          <w:tcPr>
            <w:tcW w:w="20" w:type="dxa"/>
            <w:vAlign w:val="bottom"/>
          </w:tcPr>
          <w:p>
            <w:pPr>
              <w:spacing w:after="0"/>
              <w:rPr>
                <w:sz w:val="18"/>
                <w:szCs w:val="18"/>
                <w:color w:val="auto"/>
              </w:rPr>
            </w:pPr>
          </w:p>
        </w:tc>
      </w:tr>
      <w:tr>
        <w:trPr>
          <w:trHeight w:val="204"/>
        </w:trPr>
        <w:tc>
          <w:tcPr>
            <w:tcW w:w="2940" w:type="dxa"/>
            <w:vAlign w:val="bottom"/>
          </w:tcPr>
          <w:p>
            <w:pPr>
              <w:jc w:val="center"/>
              <w:ind w:left="659"/>
              <w:spacing w:after="0"/>
              <w:rPr>
                <w:sz w:val="20"/>
                <w:szCs w:val="20"/>
                <w:color w:val="auto"/>
              </w:rPr>
            </w:pPr>
            <w:r>
              <w:rPr>
                <w:rFonts w:ascii="Arial" w:cs="Arial" w:eastAsia="Arial" w:hAnsi="Arial"/>
                <w:sz w:val="17"/>
                <w:szCs w:val="17"/>
                <w:color w:val="auto"/>
                <w:w w:val="91"/>
              </w:rPr>
              <w:t>FRIT San Jose Town and</w:t>
            </w:r>
          </w:p>
        </w:tc>
        <w:tc>
          <w:tcPr>
            <w:tcW w:w="7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2940" w:type="dxa"/>
            <w:vAlign w:val="bottom"/>
          </w:tcPr>
          <w:p>
            <w:pPr>
              <w:jc w:val="center"/>
              <w:ind w:left="659"/>
              <w:spacing w:after="0"/>
              <w:rPr>
                <w:sz w:val="20"/>
                <w:szCs w:val="20"/>
                <w:color w:val="auto"/>
              </w:rPr>
            </w:pPr>
            <w:r>
              <w:rPr>
                <w:rFonts w:ascii="Arial" w:cs="Arial" w:eastAsia="Arial" w:hAnsi="Arial"/>
                <w:sz w:val="17"/>
                <w:szCs w:val="17"/>
                <w:color w:val="auto"/>
                <w:w w:val="97"/>
              </w:rPr>
              <w:t>Country Village, LLC</w:t>
            </w:r>
          </w:p>
        </w:tc>
        <w:tc>
          <w:tcPr>
            <w:tcW w:w="7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7"/>
                <w:szCs w:val="17"/>
                <w:color w:val="auto"/>
                <w:w w:val="97"/>
              </w:rPr>
              <w:t>California</w:t>
            </w:r>
          </w:p>
        </w:tc>
      </w:tr>
    </w:tbl>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3"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We have issued our report dated February 27, 2006 accompanying the consolidated financial statements and schedules included in the Annual Report of Federal Realty Investment Trust on Form 10-K for the year ended December 31, 2005. We hereby consent to the incorporation by reference of said report in the Registration Statements of Federal Realty Investment Trust on Form S-3 (File No. 333-100819, 333-84210, 333-97945, 333-63619, File No. 33-63687, File No. 33-63955, File No. 33-15264 and File No. 33-55111).</w:t>
      </w:r>
    </w:p>
    <w:p>
      <w:pPr>
        <w:spacing w:after="0" w:line="12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GRANT THORNTON LLP</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Vienna, VA</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27, 2006</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Donald C. Wood, certify that:</w:t>
      </w:r>
    </w:p>
    <w:p>
      <w:pPr>
        <w:spacing w:after="0" w:line="97" w:lineRule="exact"/>
        <w:rPr>
          <w:sz w:val="20"/>
          <w:szCs w:val="20"/>
          <w:color w:val="auto"/>
        </w:rPr>
      </w:pPr>
    </w:p>
    <w:p>
      <w:pPr>
        <w:ind w:left="920" w:hanging="461"/>
        <w:spacing w:after="0"/>
        <w:tabs>
          <w:tab w:leader="none" w:pos="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7" w:lineRule="exact"/>
        <w:rPr>
          <w:rFonts w:ascii="Arial" w:cs="Arial" w:eastAsia="Arial" w:hAnsi="Arial"/>
          <w:sz w:val="17"/>
          <w:szCs w:val="17"/>
          <w:color w:val="auto"/>
        </w:rPr>
      </w:pPr>
    </w:p>
    <w:p>
      <w:pPr>
        <w:jc w:val="both"/>
        <w:ind w:left="920" w:right="440" w:hanging="461"/>
        <w:spacing w:after="0" w:line="276" w:lineRule="auto"/>
        <w:tabs>
          <w:tab w:leader="none" w:pos="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7"/>
          <w:szCs w:val="17"/>
          <w:color w:val="auto"/>
        </w:rPr>
      </w:pPr>
    </w:p>
    <w:p>
      <w:pPr>
        <w:ind w:left="920" w:right="420" w:hanging="461"/>
        <w:spacing w:after="0" w:line="324" w:lineRule="auto"/>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6"/>
          <w:szCs w:val="16"/>
          <w:color w:val="auto"/>
        </w:rPr>
      </w:pPr>
    </w:p>
    <w:p>
      <w:pPr>
        <w:jc w:val="both"/>
        <w:ind w:left="920" w:right="640" w:hanging="461"/>
        <w:spacing w:after="0" w:line="276" w:lineRule="auto"/>
        <w:tabs>
          <w:tab w:leader="none" w:pos="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 -15(e) and 15d-15(e)) and internal control over financial reporting (as defined in Exchange Act Rules 13a—15(f) and 15(d)-15 (f)) for the registrant and have:</w:t>
      </w:r>
    </w:p>
    <w:p>
      <w:pPr>
        <w:spacing w:after="0" w:line="44" w:lineRule="exact"/>
        <w:rPr>
          <w:rFonts w:ascii="Arial" w:cs="Arial" w:eastAsia="Arial" w:hAnsi="Arial"/>
          <w:sz w:val="17"/>
          <w:szCs w:val="17"/>
          <w:color w:val="auto"/>
        </w:rPr>
      </w:pPr>
    </w:p>
    <w:p>
      <w:pPr>
        <w:ind w:left="1480" w:right="140" w:hanging="569"/>
        <w:spacing w:after="0" w:line="276" w:lineRule="auto"/>
        <w:tabs>
          <w:tab w:leader="none" w:pos="14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7"/>
          <w:szCs w:val="17"/>
          <w:color w:val="auto"/>
        </w:rPr>
      </w:pPr>
    </w:p>
    <w:p>
      <w:pPr>
        <w:ind w:left="1480" w:right="440" w:hanging="569"/>
        <w:spacing w:after="0" w:line="276" w:lineRule="auto"/>
        <w:tabs>
          <w:tab w:leader="none" w:pos="14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jc w:val="both"/>
        <w:ind w:left="1480" w:right="600" w:hanging="569"/>
        <w:spacing w:after="0" w:line="351" w:lineRule="auto"/>
        <w:tabs>
          <w:tab w:leader="none" w:pos="1480" w:val="left"/>
        </w:tabs>
        <w:numPr>
          <w:ilvl w:val="1"/>
          <w:numId w:val="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480" w:right="100" w:hanging="569"/>
        <w:spacing w:after="0" w:line="351" w:lineRule="auto"/>
        <w:tabs>
          <w:tab w:leader="none" w:pos="1480" w:val="left"/>
        </w:tabs>
        <w:numPr>
          <w:ilvl w:val="1"/>
          <w:numId w:val="8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left="920" w:right="340" w:hanging="461"/>
        <w:spacing w:after="0" w:line="324" w:lineRule="auto"/>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8" w:lineRule="exact"/>
        <w:rPr>
          <w:rFonts w:ascii="Arial" w:cs="Arial" w:eastAsia="Arial" w:hAnsi="Arial"/>
          <w:sz w:val="16"/>
          <w:szCs w:val="16"/>
          <w:color w:val="auto"/>
        </w:rPr>
      </w:pPr>
    </w:p>
    <w:p>
      <w:pPr>
        <w:ind w:left="1480" w:right="40" w:hanging="569"/>
        <w:spacing w:after="0" w:line="291" w:lineRule="auto"/>
        <w:tabs>
          <w:tab w:leader="none" w:pos="14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7"/>
          <w:szCs w:val="17"/>
          <w:color w:val="auto"/>
        </w:rPr>
      </w:pPr>
    </w:p>
    <w:p>
      <w:pPr>
        <w:ind w:left="1480" w:hanging="569"/>
        <w:spacing w:after="0" w:line="291" w:lineRule="auto"/>
        <w:tabs>
          <w:tab w:leader="none" w:pos="14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jc w:val="center"/>
        <w:ind w:left="8400"/>
        <w:spacing w:after="0"/>
        <w:tabs>
          <w:tab w:leader="none" w:pos="140" w:val="left"/>
        </w:tabs>
        <w:rPr>
          <w:sz w:val="20"/>
          <w:szCs w:val="20"/>
          <w:color w:val="auto"/>
        </w:rPr>
      </w:pPr>
      <w:r>
        <w:rPr>
          <w:rFonts w:ascii="Arial" w:cs="Arial" w:eastAsia="Arial" w:hAnsi="Arial"/>
          <w:sz w:val="17"/>
          <w:szCs w:val="17"/>
          <w:color w:val="auto"/>
        </w:rPr>
        <w:t>/s/</w:t>
        <w:tab/>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16510</wp:posOffset>
            </wp:positionV>
            <wp:extent cx="28975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 w:lineRule="exact"/>
        <w:rPr>
          <w:sz w:val="20"/>
          <w:szCs w:val="20"/>
          <w:color w:val="auto"/>
        </w:rPr>
      </w:pPr>
    </w:p>
    <w:p>
      <w:pPr>
        <w:jc w:val="center"/>
        <w:ind w:left="6860"/>
        <w:spacing w:after="0"/>
        <w:rPr>
          <w:sz w:val="20"/>
          <w:szCs w:val="20"/>
          <w:color w:val="auto"/>
        </w:rPr>
      </w:pPr>
      <w:r>
        <w:rPr>
          <w:rFonts w:ascii="Arial" w:cs="Arial" w:eastAsia="Arial" w:hAnsi="Arial"/>
          <w:sz w:val="13"/>
          <w:szCs w:val="13"/>
          <w:b w:val="1"/>
          <w:bCs w:val="1"/>
          <w:color w:val="auto"/>
        </w:rPr>
        <w:t>Donald C. Wood, President, Chief Executive Officer</w:t>
      </w:r>
    </w:p>
    <w:p>
      <w:pPr>
        <w:spacing w:after="0" w:line="11" w:lineRule="exact"/>
        <w:rPr>
          <w:sz w:val="20"/>
          <w:szCs w:val="20"/>
          <w:color w:val="auto"/>
        </w:rPr>
      </w:pPr>
    </w:p>
    <w:p>
      <w:pPr>
        <w:jc w:val="center"/>
        <w:ind w:left="6860"/>
        <w:spacing w:after="0"/>
        <w:rPr>
          <w:sz w:val="20"/>
          <w:szCs w:val="20"/>
          <w:color w:val="auto"/>
        </w:rPr>
      </w:pPr>
      <w:r>
        <w:rPr>
          <w:rFonts w:ascii="Arial" w:cs="Arial" w:eastAsia="Arial" w:hAnsi="Arial"/>
          <w:sz w:val="13"/>
          <w:szCs w:val="13"/>
          <w:b w:val="1"/>
          <w:bCs w:val="1"/>
          <w:color w:val="auto"/>
        </w:rPr>
        <w:t>(Principal Executive Officer)</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2, 2006</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 Larry E. Finger, certify that:</w:t>
      </w:r>
    </w:p>
    <w:p>
      <w:pPr>
        <w:spacing w:after="0" w:line="97" w:lineRule="exact"/>
        <w:rPr>
          <w:sz w:val="20"/>
          <w:szCs w:val="20"/>
          <w:color w:val="auto"/>
        </w:rPr>
      </w:pPr>
    </w:p>
    <w:p>
      <w:pPr>
        <w:ind w:left="920" w:hanging="461"/>
        <w:spacing w:after="0"/>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7" w:lineRule="exact"/>
        <w:rPr>
          <w:rFonts w:ascii="Arial" w:cs="Arial" w:eastAsia="Arial" w:hAnsi="Arial"/>
          <w:sz w:val="17"/>
          <w:szCs w:val="17"/>
          <w:color w:val="auto"/>
        </w:rPr>
      </w:pPr>
    </w:p>
    <w:p>
      <w:pPr>
        <w:jc w:val="both"/>
        <w:ind w:left="920" w:right="440" w:hanging="461"/>
        <w:spacing w:after="0" w:line="276" w:lineRule="auto"/>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7"/>
          <w:szCs w:val="17"/>
          <w:color w:val="auto"/>
        </w:rPr>
      </w:pPr>
    </w:p>
    <w:p>
      <w:pPr>
        <w:ind w:left="920" w:right="420" w:hanging="461"/>
        <w:spacing w:after="0" w:line="324" w:lineRule="auto"/>
        <w:tabs>
          <w:tab w:leader="none" w:pos="9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6"/>
          <w:szCs w:val="16"/>
          <w:color w:val="auto"/>
        </w:rPr>
      </w:pPr>
    </w:p>
    <w:p>
      <w:pPr>
        <w:ind w:left="920" w:right="220" w:hanging="461"/>
        <w:spacing w:after="0" w:line="276" w:lineRule="auto"/>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4" w:lineRule="exact"/>
        <w:rPr>
          <w:rFonts w:ascii="Arial" w:cs="Arial" w:eastAsia="Arial" w:hAnsi="Arial"/>
          <w:sz w:val="17"/>
          <w:szCs w:val="17"/>
          <w:color w:val="auto"/>
        </w:rPr>
      </w:pPr>
    </w:p>
    <w:p>
      <w:pPr>
        <w:ind w:left="1480" w:right="140" w:hanging="569"/>
        <w:spacing w:after="0" w:line="276" w:lineRule="auto"/>
        <w:tabs>
          <w:tab w:leader="none" w:pos="14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7"/>
          <w:szCs w:val="17"/>
          <w:color w:val="auto"/>
        </w:rPr>
      </w:pPr>
    </w:p>
    <w:p>
      <w:pPr>
        <w:ind w:left="1480" w:right="440" w:hanging="569"/>
        <w:spacing w:after="0" w:line="276" w:lineRule="auto"/>
        <w:tabs>
          <w:tab w:leader="none" w:pos="14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jc w:val="both"/>
        <w:ind w:left="1480" w:right="600" w:hanging="569"/>
        <w:spacing w:after="0" w:line="351" w:lineRule="auto"/>
        <w:tabs>
          <w:tab w:leader="none" w:pos="1480" w:val="left"/>
        </w:tabs>
        <w:numPr>
          <w:ilvl w:val="1"/>
          <w:numId w:val="8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480" w:right="100" w:hanging="569"/>
        <w:spacing w:after="0" w:line="351" w:lineRule="auto"/>
        <w:tabs>
          <w:tab w:leader="none" w:pos="1480" w:val="left"/>
        </w:tabs>
        <w:numPr>
          <w:ilvl w:val="1"/>
          <w:numId w:val="8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left="920" w:right="340" w:hanging="461"/>
        <w:spacing w:after="0" w:line="324" w:lineRule="auto"/>
        <w:tabs>
          <w:tab w:leader="none" w:pos="9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8" w:lineRule="exact"/>
        <w:rPr>
          <w:rFonts w:ascii="Arial" w:cs="Arial" w:eastAsia="Arial" w:hAnsi="Arial"/>
          <w:sz w:val="16"/>
          <w:szCs w:val="16"/>
          <w:color w:val="auto"/>
        </w:rPr>
      </w:pPr>
    </w:p>
    <w:p>
      <w:pPr>
        <w:ind w:left="1480" w:right="40" w:hanging="569"/>
        <w:spacing w:after="0" w:line="291" w:lineRule="auto"/>
        <w:tabs>
          <w:tab w:leader="none" w:pos="14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7"/>
          <w:szCs w:val="17"/>
          <w:color w:val="auto"/>
        </w:rPr>
      </w:pPr>
    </w:p>
    <w:p>
      <w:pPr>
        <w:ind w:left="1480" w:hanging="569"/>
        <w:spacing w:after="0" w:line="291" w:lineRule="auto"/>
        <w:tabs>
          <w:tab w:leader="none" w:pos="14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60" w:type="dxa"/>
            <w:vAlign w:val="bottom"/>
          </w:tcPr>
          <w:p>
            <w:pPr>
              <w:spacing w:after="0"/>
              <w:rPr>
                <w:sz w:val="19"/>
                <w:szCs w:val="19"/>
                <w:color w:val="auto"/>
              </w:rPr>
            </w:pPr>
          </w:p>
        </w:tc>
        <w:tc>
          <w:tcPr>
            <w:tcW w:w="5460" w:type="dxa"/>
            <w:vAlign w:val="bottom"/>
            <w:tcBorders>
              <w:bottom w:val="single" w:sz="8" w:color="auto"/>
            </w:tcBorders>
          </w:tcPr>
          <w:p>
            <w:pPr>
              <w:ind w:left="1860"/>
              <w:spacing w:after="0"/>
              <w:rPr>
                <w:sz w:val="20"/>
                <w:szCs w:val="20"/>
                <w:color w:val="auto"/>
              </w:rPr>
            </w:pPr>
            <w:r>
              <w:rPr>
                <w:rFonts w:ascii="Arial" w:cs="Arial" w:eastAsia="Arial" w:hAnsi="Arial"/>
                <w:sz w:val="17"/>
                <w:szCs w:val="17"/>
                <w:color w:val="auto"/>
              </w:rPr>
              <w:t>/s/  Larry E. Finger</w:t>
            </w:r>
          </w:p>
        </w:tc>
      </w:tr>
      <w:tr>
        <w:trPr>
          <w:trHeight w:val="155"/>
        </w:trPr>
        <w:tc>
          <w:tcPr>
            <w:tcW w:w="5960" w:type="dxa"/>
            <w:vAlign w:val="bottom"/>
          </w:tcPr>
          <w:p>
            <w:pPr>
              <w:spacing w:after="0" w:line="155" w:lineRule="exact"/>
              <w:rPr>
                <w:sz w:val="20"/>
                <w:szCs w:val="20"/>
                <w:color w:val="auto"/>
              </w:rPr>
            </w:pPr>
            <w:r>
              <w:rPr>
                <w:rFonts w:ascii="Arial" w:cs="Arial" w:eastAsia="Arial" w:hAnsi="Arial"/>
                <w:sz w:val="17"/>
                <w:szCs w:val="17"/>
                <w:color w:val="auto"/>
              </w:rPr>
              <w:t>March 2, 2006</w:t>
            </w:r>
          </w:p>
        </w:tc>
        <w:tc>
          <w:tcPr>
            <w:tcW w:w="5460" w:type="dxa"/>
            <w:vAlign w:val="bottom"/>
          </w:tcPr>
          <w:p>
            <w:pPr>
              <w:jc w:val="center"/>
              <w:spacing w:after="0"/>
              <w:rPr>
                <w:sz w:val="20"/>
                <w:szCs w:val="20"/>
                <w:color w:val="auto"/>
              </w:rPr>
            </w:pPr>
            <w:r>
              <w:rPr>
                <w:rFonts w:ascii="Arial" w:cs="Arial" w:eastAsia="Arial" w:hAnsi="Arial"/>
                <w:sz w:val="13"/>
                <w:szCs w:val="13"/>
                <w:b w:val="1"/>
                <w:bCs w:val="1"/>
                <w:color w:val="auto"/>
                <w:w w:val="93"/>
              </w:rPr>
              <w:t>Larry E. Finger, Executive Vice President and Chief Financial</w:t>
            </w:r>
          </w:p>
        </w:tc>
      </w:tr>
      <w:tr>
        <w:trPr>
          <w:trHeight w:val="173"/>
        </w:trPr>
        <w:tc>
          <w:tcPr>
            <w:tcW w:w="596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3"/>
                <w:szCs w:val="13"/>
                <w:b w:val="1"/>
                <w:bCs w:val="1"/>
                <w:color w:val="auto"/>
                <w:w w:val="94"/>
              </w:rPr>
              <w:t>Officer (Principal Accounting Officer)</w:t>
            </w:r>
          </w:p>
        </w:tc>
      </w:tr>
    </w:tbl>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32.1</w:t>
      </w:r>
    </w:p>
    <w:p>
      <w:pPr>
        <w:spacing w:after="0" w:line="177"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CERTIFICATION</w:t>
      </w:r>
    </w:p>
    <w:p>
      <w:pPr>
        <w:spacing w:after="0" w:line="177"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0"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7"/>
          <w:szCs w:val="17"/>
          <w:color w:val="auto"/>
        </w:rPr>
        <w:t>The undersigned, Donald C. Wood, the President and Chief Executive Officer of Federal Realty Investment Trust (the “Trust”), has executed this certification in connection with the filing with the Securities and Exchange Commission of the Trust’s Annual Report on Form 10-K for the year ended December 31, 2005 (the “Report”). The undersigned hereby certifies that:</w:t>
      </w:r>
    </w:p>
    <w:p>
      <w:pPr>
        <w:spacing w:after="0" w:line="44" w:lineRule="exact"/>
        <w:rPr>
          <w:sz w:val="20"/>
          <w:szCs w:val="20"/>
          <w:color w:val="auto"/>
        </w:rPr>
      </w:pPr>
    </w:p>
    <w:p>
      <w:pPr>
        <w:ind w:left="920" w:hanging="461"/>
        <w:spacing w:after="0"/>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7" w:lineRule="exact"/>
        <w:rPr>
          <w:rFonts w:ascii="Arial" w:cs="Arial" w:eastAsia="Arial" w:hAnsi="Arial"/>
          <w:sz w:val="17"/>
          <w:szCs w:val="17"/>
          <w:color w:val="auto"/>
        </w:rPr>
      </w:pPr>
    </w:p>
    <w:p>
      <w:pPr>
        <w:ind w:left="920" w:hanging="461"/>
        <w:spacing w:after="0"/>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Trust.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Donald C. Wood</w:t>
            </w:r>
          </w:p>
        </w:tc>
      </w:tr>
      <w:tr>
        <w:trPr>
          <w:trHeight w:val="212"/>
        </w:trPr>
        <w:tc>
          <w:tcPr>
            <w:tcW w:w="3600" w:type="dxa"/>
            <w:vAlign w:val="bottom"/>
          </w:tcPr>
          <w:p>
            <w:pPr>
              <w:spacing w:after="0"/>
              <w:rPr>
                <w:sz w:val="20"/>
                <w:szCs w:val="20"/>
                <w:color w:val="auto"/>
              </w:rPr>
            </w:pPr>
            <w:r>
              <w:rPr>
                <w:rFonts w:ascii="Arial" w:cs="Arial" w:eastAsia="Arial" w:hAnsi="Arial"/>
                <w:sz w:val="17"/>
                <w:szCs w:val="17"/>
                <w:color w:val="auto"/>
              </w:rPr>
              <w:t>Date:  March 2, 2006</w:t>
            </w:r>
          </w:p>
        </w:tc>
        <w:tc>
          <w:tcPr>
            <w:tcW w:w="3160" w:type="dxa"/>
            <w:vAlign w:val="bottom"/>
          </w:tcPr>
          <w:p>
            <w:pPr>
              <w:jc w:val="right"/>
              <w:ind w:right="494"/>
              <w:spacing w:after="0"/>
              <w:rPr>
                <w:sz w:val="20"/>
                <w:szCs w:val="20"/>
                <w:color w:val="auto"/>
              </w:rPr>
            </w:pPr>
            <w:r>
              <w:rPr>
                <w:rFonts w:ascii="Arial" w:cs="Arial" w:eastAsia="Arial" w:hAnsi="Arial"/>
                <w:sz w:val="17"/>
                <w:szCs w:val="17"/>
                <w:color w:val="auto"/>
              </w:rPr>
              <w:t>NAME:</w:t>
            </w:r>
          </w:p>
        </w:tc>
        <w:tc>
          <w:tcPr>
            <w:tcW w:w="466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20"/>
        </w:trPr>
        <w:tc>
          <w:tcPr>
            <w:tcW w:w="3600" w:type="dxa"/>
            <w:vAlign w:val="bottom"/>
          </w:tcPr>
          <w:p>
            <w:pPr>
              <w:spacing w:after="0"/>
              <w:rPr>
                <w:sz w:val="19"/>
                <w:szCs w:val="19"/>
                <w:color w:val="auto"/>
              </w:rPr>
            </w:pPr>
          </w:p>
        </w:tc>
        <w:tc>
          <w:tcPr>
            <w:tcW w:w="3160" w:type="dxa"/>
            <w:vAlign w:val="bottom"/>
          </w:tcPr>
          <w:p>
            <w:pPr>
              <w:jc w:val="right"/>
              <w:ind w:right="494"/>
              <w:spacing w:after="0"/>
              <w:rPr>
                <w:sz w:val="20"/>
                <w:szCs w:val="20"/>
                <w:color w:val="auto"/>
              </w:rPr>
            </w:pPr>
            <w:r>
              <w:rPr>
                <w:rFonts w:ascii="Arial" w:cs="Arial" w:eastAsia="Arial" w:hAnsi="Arial"/>
                <w:sz w:val="17"/>
                <w:szCs w:val="17"/>
                <w:color w:val="auto"/>
              </w:rPr>
              <w:t>TITLE:</w:t>
            </w:r>
          </w:p>
        </w:tc>
        <w:tc>
          <w:tcPr>
            <w:tcW w:w="466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 TO SECTION 906 OF THE SARBANES-OXLEY ACT OF 2002</w:t>
      </w:r>
    </w:p>
    <w:p>
      <w:pPr>
        <w:spacing w:after="0" w:line="183"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The undersigned, Larry E. Finger, the Executive Vice President—Chief Financial Officer and Treasurer of Federal Realty Investment Trust (the “Trust”), has executed this certification in connection with the filing with the Securities and Exchange Commission of the Trust’s Annual Report on Form 10-K for the year ended December 31, 2005 (the “Report”). The undersigned hereby certifies that:</w:t>
      </w:r>
    </w:p>
    <w:p>
      <w:pPr>
        <w:spacing w:after="0" w:line="44" w:lineRule="exact"/>
        <w:rPr>
          <w:sz w:val="20"/>
          <w:szCs w:val="20"/>
          <w:color w:val="auto"/>
        </w:rPr>
      </w:pPr>
    </w:p>
    <w:p>
      <w:pPr>
        <w:ind w:left="920" w:hanging="461"/>
        <w:spacing w:after="0"/>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7" w:lineRule="exact"/>
        <w:rPr>
          <w:rFonts w:ascii="Arial" w:cs="Arial" w:eastAsia="Arial" w:hAnsi="Arial"/>
          <w:sz w:val="17"/>
          <w:szCs w:val="17"/>
          <w:color w:val="auto"/>
        </w:rPr>
      </w:pPr>
    </w:p>
    <w:p>
      <w:pPr>
        <w:ind w:left="920" w:hanging="461"/>
        <w:spacing w:after="0"/>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Trust.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Larry E. Finger</w:t>
            </w:r>
          </w:p>
        </w:tc>
      </w:tr>
      <w:tr>
        <w:trPr>
          <w:trHeight w:val="212"/>
        </w:trPr>
        <w:tc>
          <w:tcPr>
            <w:tcW w:w="3420" w:type="dxa"/>
            <w:vAlign w:val="bottom"/>
          </w:tcPr>
          <w:p>
            <w:pPr>
              <w:spacing w:after="0"/>
              <w:rPr>
                <w:sz w:val="20"/>
                <w:szCs w:val="20"/>
                <w:color w:val="auto"/>
              </w:rPr>
            </w:pPr>
            <w:r>
              <w:rPr>
                <w:rFonts w:ascii="Arial" w:cs="Arial" w:eastAsia="Arial" w:hAnsi="Arial"/>
                <w:sz w:val="17"/>
                <w:szCs w:val="17"/>
                <w:color w:val="auto"/>
              </w:rPr>
              <w:t>Date:  March 2, 2006</w:t>
            </w:r>
          </w:p>
        </w:tc>
        <w:tc>
          <w:tcPr>
            <w:tcW w:w="8000" w:type="dxa"/>
            <w:vAlign w:val="bottom"/>
            <w:gridSpan w:val="2"/>
          </w:tcPr>
          <w:p>
            <w:pPr>
              <w:ind w:left="1880"/>
              <w:spacing w:after="0"/>
              <w:rPr>
                <w:sz w:val="20"/>
                <w:szCs w:val="20"/>
                <w:color w:val="auto"/>
              </w:rPr>
            </w:pPr>
            <w:r>
              <w:rPr>
                <w:rFonts w:ascii="Arial" w:cs="Arial" w:eastAsia="Arial" w:hAnsi="Arial"/>
                <w:sz w:val="17"/>
                <w:szCs w:val="17"/>
                <w:color w:val="auto"/>
              </w:rPr>
              <w:t>NAME:  Larry E. Finger</w:t>
            </w:r>
          </w:p>
        </w:tc>
      </w:tr>
      <w:tr>
        <w:trPr>
          <w:trHeight w:val="220"/>
        </w:trPr>
        <w:tc>
          <w:tcPr>
            <w:tcW w:w="3420" w:type="dxa"/>
            <w:vAlign w:val="bottom"/>
          </w:tcPr>
          <w:p>
            <w:pPr>
              <w:spacing w:after="0"/>
              <w:rPr>
                <w:sz w:val="19"/>
                <w:szCs w:val="19"/>
                <w:color w:val="auto"/>
              </w:rPr>
            </w:pPr>
          </w:p>
        </w:tc>
        <w:tc>
          <w:tcPr>
            <w:tcW w:w="8000" w:type="dxa"/>
            <w:vAlign w:val="bottom"/>
            <w:gridSpan w:val="2"/>
          </w:tcPr>
          <w:p>
            <w:pPr>
              <w:ind w:left="1900"/>
              <w:spacing w:after="0"/>
              <w:rPr>
                <w:sz w:val="20"/>
                <w:szCs w:val="20"/>
                <w:color w:val="auto"/>
              </w:rPr>
            </w:pPr>
            <w:r>
              <w:rPr>
                <w:rFonts w:ascii="Arial" w:cs="Arial" w:eastAsia="Arial" w:hAnsi="Arial"/>
                <w:sz w:val="17"/>
                <w:szCs w:val="17"/>
                <w:color w:val="auto"/>
              </w:rPr>
              <w:t>TITLE:  Executive Vice President—Chief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lvl w:ilvl="1">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4"/>
    </w:lvl>
  </w:abstractNum>
  <w:abstractNum w:abstractNumId="26">
    <w:nsid w:val="23F9C13C"/>
    <w:multiLevelType w:val="hybridMultilevel"/>
    <w:lvl w:ilvl="0">
      <w:lvlJc w:val="left"/>
      <w:lvlText w:val="%1)"/>
      <w:numFmt w:val="decimal"/>
      <w:start w:val="6"/>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6"/>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2"/>
    </w:lvl>
  </w:abstractNum>
  <w:abstractNum w:abstractNumId="56">
    <w:nsid w:val="5F5E7FD0"/>
    <w:multiLevelType w:val="hybridMultilevel"/>
    <w:lvl w:ilvl="0">
      <w:lvlJc w:val="left"/>
      <w:lvlText w:val="(%1)"/>
      <w:numFmt w:val="lowerLetter"/>
      <w:start w:val="2"/>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1)"/>
      <w:numFmt w:val="lowerLetter"/>
      <w:start w:val="1"/>
    </w:lvl>
    <w:lvl w:ilvl="1">
      <w:lvlJc w:val="left"/>
      <w:lvlText w:val="(%2)"/>
      <w:numFmt w:val="decimal"/>
      <w:start w:val="1"/>
    </w:lvl>
  </w:abstractNum>
  <w:abstractNum w:abstractNumId="64">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65">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3"/>
    </w:lvl>
  </w:abstractNum>
  <w:abstractNum w:abstractNumId="66">
    <w:nsid w:val="7BD3EE7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decimal"/>
      <w:start w:val="1"/>
    </w:lvl>
  </w:abstractNum>
  <w:abstractNum w:abstractNumId="67">
    <w:nsid w:val="51D9C564"/>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68">
    <w:nsid w:val="613EFDC5"/>
    <w:multiLevelType w:val="hybridMultilevel"/>
    <w:lvl w:ilvl="0">
      <w:lvlJc w:val="left"/>
      <w:lvlText w:val="(%1)"/>
      <w:numFmt w:val="lowerLetter"/>
      <w:start w:val="3"/>
    </w:lvl>
    <w:lvl w:ilvl="1">
      <w:lvlJc w:val="left"/>
      <w:lvlText w:val="(%2)"/>
      <w:numFmt w:val="decimal"/>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3"/>
    </w:lvl>
  </w:abstractNum>
  <w:abstractNum w:abstractNumId="72">
    <w:nsid w:val="A0382C5"/>
    <w:multiLevelType w:val="hybridMultilevel"/>
    <w:lvl w:ilvl="0">
      <w:lvlJc w:val="left"/>
      <w:lvlText w:val="%1."/>
      <w:numFmt w:val="decimal"/>
      <w:start w:val="1"/>
    </w:lvl>
    <w:lvl w:ilvl="1">
      <w:lvlJc w:val="left"/>
      <w:lvlText w:val="(%2)"/>
      <w:numFmt w:val="lowerLetter"/>
      <w:start w:val="1"/>
    </w:lvl>
  </w:abstractNum>
  <w:abstractNum w:abstractNumId="73">
    <w:nsid w:val="8F2B15E"/>
    <w:multiLevelType w:val="hybridMultilevel"/>
    <w:lvl w:ilvl="0">
      <w:lvlJc w:val="left"/>
      <w:lvlText w:val="(%1)"/>
      <w:numFmt w:val="lowerLetter"/>
      <w:start w:val="2"/>
    </w:lvl>
  </w:abstractNum>
  <w:abstractNum w:abstractNumId="74">
    <w:nsid w:val="1A32234B"/>
    <w:multiLevelType w:val="hybridMultilevel"/>
    <w:lvl w:ilvl="0">
      <w:lvlJc w:val="left"/>
      <w:lvlText w:val="%1."/>
      <w:numFmt w:val="decimal"/>
      <w:start w:val="3"/>
    </w:lvl>
    <w:lvl w:ilvl="1">
      <w:lvlJc w:val="left"/>
      <w:lvlText w:val="(%2)"/>
      <w:numFmt w:val="lowerLetter"/>
      <w:start w:val="1"/>
    </w:lvl>
  </w:abstractNum>
  <w:abstractNum w:abstractNumId="75">
    <w:nsid w:val="3B0FD379"/>
    <w:multiLevelType w:val="hybridMultilevel"/>
    <w:lvl w:ilvl="0">
      <w:lvlJc w:val="left"/>
      <w:lvlText w:val="(%1)"/>
      <w:numFmt w:val="lowerLetter"/>
      <w:start w:val="2"/>
    </w:lvl>
  </w:abstractNum>
  <w:abstractNum w:abstractNumId="76">
    <w:nsid w:val="68EB2F63"/>
    <w:multiLevelType w:val="hybridMultilevel"/>
    <w:lvl w:ilvl="0">
      <w:lvlJc w:val="left"/>
      <w:lvlText w:val="%1"/>
      <w:numFmt w:val="decimal"/>
      <w:start w:val="1"/>
    </w:lvl>
    <w:lvl w:ilvl="1">
      <w:lvlJc w:val="left"/>
      <w:lvlText w:val="(%2)"/>
      <w:numFmt w:val="lowerLetter"/>
      <w:start w:val="3"/>
    </w:lvl>
  </w:abstractNum>
  <w:abstractNum w:abstractNumId="77">
    <w:nsid w:val="4962813B"/>
    <w:multiLevelType w:val="hybridMultilevel"/>
    <w:lvl w:ilvl="0">
      <w:lvlJc w:val="left"/>
      <w:lvlText w:val="%1."/>
      <w:numFmt w:val="decimal"/>
      <w:start w:val="5"/>
    </w:lvl>
    <w:lvl w:ilvl="1">
      <w:lvlJc w:val="left"/>
      <w:lvlText w:val="%2"/>
      <w:numFmt w:val="lowerLetter"/>
      <w:start w:val="1"/>
    </w:lvl>
  </w:abstractNum>
  <w:abstractNum w:abstractNumId="78">
    <w:nsid w:val="60B6DF70"/>
    <w:multiLevelType w:val="hybridMultilevel"/>
    <w:lvl w:ilvl="0">
      <w:lvlJc w:val="left"/>
      <w:lvlText w:val="%1."/>
      <w:numFmt w:val="decimal"/>
      <w:start w:val="7"/>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2019-12-13T00:58:49Z</dcterms:created>
  <dcterms:modified xsi:type="dcterms:W3CDTF">2019-12-13T00:58:49Z</dcterms:modified>
</cp:coreProperties>
</file>