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Courier New" w:cs="Courier New" w:eastAsia="Courier New" w:hAnsi="Courier New"/>
          <w:sz w:val="18"/>
          <w:szCs w:val="18"/>
          <w:color w:val="auto"/>
        </w:rPr>
        <w:t>PURSUANT TO RULE NO. 424(b)(2)</w:t>
      </w:r>
    </w:p>
    <w:p>
      <w:pPr>
        <w:ind w:left="5060"/>
        <w:spacing w:after="0" w:line="238" w:lineRule="auto"/>
        <w:rPr>
          <w:sz w:val="20"/>
          <w:szCs w:val="20"/>
          <w:color w:val="auto"/>
        </w:rPr>
      </w:pPr>
      <w:r>
        <w:rPr>
          <w:rFonts w:ascii="Courier New" w:cs="Courier New" w:eastAsia="Courier New" w:hAnsi="Courier New"/>
          <w:sz w:val="18"/>
          <w:szCs w:val="18"/>
          <w:color w:val="auto"/>
        </w:rPr>
        <w:t>REGISTRATION NO. 33-63687</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PROSPECTUS SUPPLEMENT TO PROSPECTUS DATED NOVEMBER 7, 1995</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7.48% DEBENTURES DUE AUGUST 15, 2026</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Interest on the Debentures is payable on February 15 and August 15 of each year, commencing February 15, 1997. The Debentures are redeemable, in whole or in part, at the option of the Trust at any time after August 15, 2008 at a redemption price equal to the greater of (i) 100% of the principal amount of such Debentures or (ii) as determined by a Quotation Agent (as defined herein), the sum of the present values of the remaining scheduled payments of principal and interest thereon discounted to the date of redemption on a semiannual basis (assuming a 360-day year consisting of twelve 30-day months) at the Adjusted Treasury Rate (as defined herein), plus, in each case, accrued interest thereon to the date of redemption.</w:t>
      </w:r>
    </w:p>
    <w:p>
      <w:pPr>
        <w:spacing w:after="0" w:line="215"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holder of each Debenture may elect to have that Debenture, or any portion of the principal amount thereof that is a multiple of $1,000, repaid on August 15, 2008 at 100% of the principal amount thereof, together with accrued interest to August 15, 2008. Such election, which is irrevocable when made, must be made within the period commencing on May 15, 2008 and ending at the close of business on June 15, 2008.</w:t>
      </w:r>
    </w:p>
    <w:p>
      <w:pPr>
        <w:spacing w:after="0" w:line="210"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Debentures offered hereby will be represented by a single Global Security (as defined herein) registered in the name of The Depository Trust Company ("DTC") or its nominee. Beneficial interests in the Global Security will be shown on, and transfers thereof will be effected only through, records maintained by DTC and its participants. Except as described herein, Debentures in definitive form will not be issued. The Debentures will be issued only in registered form in denominations of $1,000 and integral multiples thereof. See "Description of Debentures."</w:t>
      </w:r>
    </w:p>
    <w:p>
      <w:pPr>
        <w:spacing w:after="0" w:line="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20" w:right="1999" w:hanging="104"/>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w:t>
      </w:r>
    </w:p>
    <w:p>
      <w:pPr>
        <w:ind w:left="320" w:right="1779" w:hanging="104"/>
        <w:spacing w:after="0" w:line="268" w:lineRule="auto"/>
        <w:rPr>
          <w:sz w:val="20"/>
          <w:szCs w:val="20"/>
          <w:color w:val="auto"/>
        </w:rPr>
      </w:pPr>
      <w:r>
        <w:rPr>
          <w:rFonts w:ascii="Courier New" w:cs="Courier New" w:eastAsia="Courier New" w:hAnsi="Courier New"/>
          <w:sz w:val="16"/>
          <w:szCs w:val="16"/>
          <w:color w:val="auto"/>
        </w:rPr>
        <w:t>AND EXCHANGE COMMISSION OR ANY STATE SECURITIES COMMISSION PASSED UPON THE ACCURACY OR ADEQUACY OF THIS PROSPECTUS SUPPLEMENT OR THE PROSPECTUS TO WHICH</w:t>
      </w:r>
    </w:p>
    <w:p>
      <w:pPr>
        <w:jc w:val="center"/>
        <w:ind w:right="2099"/>
        <w:spacing w:after="0" w:line="233" w:lineRule="auto"/>
        <w:rPr>
          <w:sz w:val="20"/>
          <w:szCs w:val="20"/>
          <w:color w:val="auto"/>
        </w:rPr>
      </w:pPr>
      <w:r>
        <w:rPr>
          <w:rFonts w:ascii="Courier New" w:cs="Courier New" w:eastAsia="Courier New" w:hAnsi="Courier New"/>
          <w:sz w:val="18"/>
          <w:szCs w:val="18"/>
          <w:color w:val="auto"/>
        </w:rPr>
        <w:t>IT RELATES. ANY REPRESENTATION TO THE CONTRARY IS A CRIMINAL OFFENSE.</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320" w:right="1879" w:hanging="315"/>
        <w:spacing w:after="0" w:line="268"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tbl>
      <w:tblPr>
        <w:tblLayout w:type="fixed"/>
        <w:tblInd w:w="0" w:type="dxa"/>
        <w:tblCellMar>
          <w:top w:w="0" w:type="dxa"/>
          <w:left w:w="0" w:type="dxa"/>
          <w:bottom w:w="0" w:type="dxa"/>
          <w:right w:w="0" w:type="dxa"/>
        </w:tblCellMar>
      </w:tblPr>
      <w:tr>
        <w:trPr>
          <w:trHeight w:val="199"/>
        </w:trPr>
        <w:tc>
          <w:tcPr>
            <w:tcW w:w="1380" w:type="dxa"/>
            <w:vAlign w:val="bottom"/>
          </w:tcPr>
          <w:p>
            <w:pPr>
              <w:spacing w:after="0"/>
              <w:rPr>
                <w:sz w:val="17"/>
                <w:szCs w:val="17"/>
                <w:color w:val="auto"/>
              </w:rPr>
            </w:pPr>
          </w:p>
        </w:tc>
        <w:tc>
          <w:tcPr>
            <w:tcW w:w="4480" w:type="dxa"/>
            <w:vAlign w:val="bottom"/>
          </w:tcPr>
          <w:p>
            <w:pPr>
              <w:jc w:val="right"/>
              <w:ind w:right="923"/>
              <w:spacing w:after="0" w:line="198"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1380" w:type="dxa"/>
            <w:vAlign w:val="bottom"/>
          </w:tcPr>
          <w:p>
            <w:pPr>
              <w:spacing w:after="0"/>
              <w:rPr>
                <w:sz w:val="24"/>
                <w:szCs w:val="24"/>
                <w:color w:val="auto"/>
              </w:rPr>
            </w:pPr>
          </w:p>
        </w:tc>
        <w:tc>
          <w:tcPr>
            <w:tcW w:w="4480" w:type="dxa"/>
            <w:vAlign w:val="bottom"/>
          </w:tcPr>
          <w:p>
            <w:pPr>
              <w:jc w:val="right"/>
              <w:ind w:right="183"/>
              <w:spacing w:after="0"/>
              <w:rPr>
                <w:sz w:val="20"/>
                <w:szCs w:val="20"/>
                <w:color w:val="auto"/>
              </w:rPr>
            </w:pPr>
            <w:r>
              <w:rPr>
                <w:rFonts w:ascii="Courier New" w:cs="Courier New" w:eastAsia="Courier New" w:hAnsi="Courier New"/>
                <w:sz w:val="18"/>
                <w:szCs w:val="18"/>
                <w:color w:val="auto"/>
              </w:rPr>
              <w:t>INITIAL PUBLIC</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8"/>
              </w:rPr>
              <w:t>UNDERWRITING</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PROCEEDS TO</w:t>
            </w:r>
          </w:p>
        </w:tc>
      </w:tr>
      <w:tr>
        <w:trPr>
          <w:trHeight w:val="203"/>
        </w:trPr>
        <w:tc>
          <w:tcPr>
            <w:tcW w:w="1380" w:type="dxa"/>
            <w:vAlign w:val="bottom"/>
          </w:tcPr>
          <w:p>
            <w:pPr>
              <w:spacing w:after="0"/>
              <w:rPr>
                <w:sz w:val="17"/>
                <w:szCs w:val="17"/>
                <w:color w:val="auto"/>
              </w:rPr>
            </w:pPr>
          </w:p>
        </w:tc>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OFFERING PRICE(1)</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DISCOUNT(2)</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TRUST(1)(3)</w:t>
            </w:r>
          </w:p>
        </w:tc>
      </w:tr>
      <w:tr>
        <w:trPr>
          <w:trHeight w:val="203"/>
        </w:trPr>
        <w:tc>
          <w:tcPr>
            <w:tcW w:w="1380" w:type="dxa"/>
            <w:vAlign w:val="bottom"/>
          </w:tcPr>
          <w:p>
            <w:pPr>
              <w:spacing w:after="0"/>
              <w:rPr>
                <w:sz w:val="17"/>
                <w:szCs w:val="17"/>
                <w:color w:val="auto"/>
              </w:rPr>
            </w:pPr>
          </w:p>
        </w:tc>
        <w:tc>
          <w:tcPr>
            <w:tcW w:w="4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Per Debenture</w:t>
            </w:r>
          </w:p>
        </w:tc>
        <w:tc>
          <w:tcPr>
            <w:tcW w:w="4480" w:type="dxa"/>
            <w:vAlign w:val="bottom"/>
          </w:tcPr>
          <w:p>
            <w:pPr>
              <w:jc w:val="right"/>
              <w:ind w:right="623"/>
              <w:spacing w:after="0"/>
              <w:rPr>
                <w:sz w:val="20"/>
                <w:szCs w:val="20"/>
                <w:color w:val="auto"/>
              </w:rPr>
            </w:pPr>
            <w:r>
              <w:rPr>
                <w:rFonts w:ascii="Courier New" w:cs="Courier New" w:eastAsia="Courier New" w:hAnsi="Courier New"/>
                <w:sz w:val="18"/>
                <w:szCs w:val="18"/>
                <w:color w:val="auto"/>
                <w:w w:val="95"/>
              </w:rPr>
              <w:t>........................99.96%</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0.70%</w:t>
            </w: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rPr>
              <w:t>99.26%</w:t>
            </w:r>
          </w:p>
        </w:tc>
      </w:tr>
      <w:tr>
        <w:trPr>
          <w:trHeight w:val="203"/>
        </w:trPr>
        <w:tc>
          <w:tcPr>
            <w:tcW w:w="1380" w:type="dxa"/>
            <w:vAlign w:val="bottom"/>
          </w:tcPr>
          <w:p>
            <w:pPr>
              <w:spacing w:after="0"/>
              <w:rPr>
                <w:sz w:val="20"/>
                <w:szCs w:val="20"/>
                <w:color w:val="auto"/>
              </w:rPr>
            </w:pPr>
            <w:r>
              <w:rPr>
                <w:rFonts w:ascii="Courier New" w:cs="Courier New" w:eastAsia="Courier New" w:hAnsi="Courier New"/>
                <w:sz w:val="8"/>
                <w:szCs w:val="8"/>
                <w:color w:val="auto"/>
                <w:w w:val="76"/>
              </w:rPr>
              <w:t>Total................................</w:t>
            </w:r>
          </w:p>
        </w:tc>
        <w:tc>
          <w:tcPr>
            <w:tcW w:w="4480" w:type="dxa"/>
            <w:vAlign w:val="bottom"/>
          </w:tcPr>
          <w:p>
            <w:pPr>
              <w:jc w:val="right"/>
              <w:ind w:right="303"/>
              <w:spacing w:after="0" w:line="203" w:lineRule="exact"/>
              <w:rPr>
                <w:sz w:val="20"/>
                <w:szCs w:val="20"/>
                <w:color w:val="auto"/>
              </w:rPr>
            </w:pPr>
            <w:r>
              <w:rPr>
                <w:rFonts w:ascii="Courier New" w:cs="Courier New" w:eastAsia="Courier New" w:hAnsi="Courier New"/>
                <w:sz w:val="18"/>
                <w:szCs w:val="18"/>
                <w:color w:val="auto"/>
              </w:rPr>
              <w:t>$49,980,000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$350,000</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$49,630,000</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accrued interest from August 15, 1996.</w:t>
      </w:r>
    </w:p>
    <w:p>
      <w:pPr>
        <w:spacing w:after="0" w:line="4" w:lineRule="exact"/>
        <w:rPr>
          <w:rFonts w:ascii="Courier New" w:cs="Courier New" w:eastAsia="Courier New" w:hAnsi="Courier New"/>
          <w:sz w:val="18"/>
          <w:szCs w:val="18"/>
          <w:color w:val="auto"/>
        </w:rPr>
      </w:pPr>
    </w:p>
    <w:p>
      <w:pPr>
        <w:ind w:left="420" w:right="2619" w:hanging="412"/>
        <w:spacing w:after="0" w:line="268"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agreed to indemnify the Underwriters against certain liabilities, including liabilities under the Securities Act of 1933.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estimated expenses of $60,000 payable by the Trust.</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Debentures offered hereby are offered by Goldman, Sachs &amp; Co., as specified herein, subject to receipt and acceptance by them and subject to their right to reject any order in whole or in part. It is expected that the Debentures will be ready for delivery in book-entry form only through the facilities of DTC in New York, New York, on or about August 16, 1996, against payment therefor in immediately available funds.</w:t>
      </w: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The date of this Prospectus Supplement is August 13, 1996.</w:t>
      </w:r>
    </w:p>
    <w:p>
      <w:pPr>
        <w:sectPr>
          <w:pgSz w:w="11900" w:h="16838" w:orient="portrait"/>
          <w:cols w:equalWidth="0" w:num="1">
            <w:col w:w="9159"/>
          </w:cols>
          <w:pgMar w:left="1300" w:top="344" w:right="1440" w:bottom="1440" w:gutter="0" w:footer="0" w:header="0"/>
        </w:sectPr>
      </w:pPr>
    </w:p>
    <w:bookmarkStart w:id="2" w:name="page3"/>
    <w:bookmarkEnd w:id="2"/>
    <w:p>
      <w:pPr>
        <w:ind w:right="1999" w:firstLine="211"/>
        <w:spacing w:after="0" w:line="275" w:lineRule="auto"/>
        <w:rPr>
          <w:sz w:val="20"/>
          <w:szCs w:val="20"/>
          <w:color w:val="auto"/>
        </w:rPr>
      </w:pPr>
      <w:r>
        <w:rPr>
          <w:rFonts w:ascii="Courier New" w:cs="Courier New" w:eastAsia="Courier New" w:hAnsi="Courier New"/>
          <w:sz w:val="16"/>
          <w:szCs w:val="16"/>
          <w:color w:val="auto"/>
        </w:rPr>
        <w:t>IN CONNECTION WITH THIS OFFERING, THE UNDERWRITER MAY OVER-ALLOT OR EFFECT TRANSACTIONS WHICH STABILIZE OR MAINTAIN THE MARKET PRICE OF THE DEBENTURES OFFERED HEREBY AT A LEVEL ABOVE THAT WHICH MIGHT OTHERWISE PREVAIL IN THE OPEN MARKET. SUCH STABILIZING, IF COMMENCED, MAY BE DISCONTINUED AT ANY TIME.</w:t>
      </w:r>
    </w:p>
    <w:p>
      <w:pPr>
        <w:spacing w:after="0" w:line="17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retail properties, principally community and neighborhood shopping centers. Founded in 1962, the Trust is a self-administered real estate investment trust that manages, leases and supervises renovation of its properties. At June 30, 1996, the Trust owned 74 retail properties. At June 30, 1996, the occupancy rate of the core retail portfolio (which excludes properties acquired in the previous twelve months and centers under redevelopment) was 95%. Including all retail properties owned at June 30, 1996, the occupancy rate was 94%.</w:t>
      </w:r>
    </w:p>
    <w:p>
      <w:pPr>
        <w:spacing w:after="0" w:line="214"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net proceeds to the Trust from the sale of the Debentures offered hereby are estimated to be $49,570,000, plus accrued interest from August 15, 1996. The Trust intends to use the proceeds to repay debt, principally the Trust's revolving credit facilities.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723" w:right="1440" w:bottom="1440" w:gutter="0" w:footer="0" w:header="0"/>
        </w:sectPr>
      </w:pPr>
    </w:p>
    <w:bookmarkStart w:id="3" w:name="page4"/>
    <w:bookmarkEnd w:id="3"/>
    <w:p>
      <w:pPr>
        <w:jc w:val="center"/>
        <w:ind w:right="1879"/>
        <w:spacing w:after="0"/>
        <w:rPr>
          <w:sz w:val="20"/>
          <w:szCs w:val="20"/>
          <w:color w:val="auto"/>
        </w:rPr>
      </w:pPr>
      <w:r>
        <w:rPr>
          <w:rFonts w:ascii="Courier New" w:cs="Courier New" w:eastAsia="Courier New" w:hAnsi="Courier New"/>
          <w:sz w:val="18"/>
          <w:szCs w:val="18"/>
          <w:color w:val="auto"/>
        </w:rPr>
        <w:t>DESCRIPTION OF DEBENTURES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description of the particular terms of the Debentures offered hereby (referred to in the accompanying Prospectus as the "Debt Securities") supplements, and to the extent inconsistent therewith replaces, the description of the general terms and provisions of Debt Securities set forth in the Prospectus, to which description reference is hereby made. The following statements relating to the Debentures and the Senior Indenture are summaries of provisions contained therein and do not purport to be complete. Such statements are qualified by reference to the provisions of the Debentures and the Senior Indenture, including the definitions therein of certain terms. The Senior Indenture is an exhibit to the registration statement of which the Prospectus accompanying this Prospectus Supplement is a part. Capitalized terms not otherwise defined herein shall have the meanings given to them in the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Debentures will be issued as Senior Securities under the Senior Indenture dated as of December 1, 1993, which is more fully described in the accompanying Prospectus. The Debentures will be issued as unsecured obligations of the Trust in an aggregate principal amount of $50,000,000 and will mature on August 15, 2026. The Debentures will bear interest from August 15, 1996, payable semi-annually in arrears on each February 15 and August 15, commencing February 15, 1997, at the rate set forth on the cover page of this Prospectus Supplement, to the persons in whose names the Debentures are registered on the preceding February 1 and August 1, respectively.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Debentures will be redeemable, in whole or in part, at the option of the Trust at any time after August 15, 2008 at a redemption price equal to the greater of (i) 100% of the principal amount of such Debentures or (ii) as determined by a Quotation Agent (as defined), the sum of the present values of the remaining scheduled payments of principal and interest thereon discounted to the redemption date on a semiannual basis (assuming a 360-day year consisting of twelve 30-day months) at the Adjusted Treasury Rate, plus, in each case, accrued interest thereon to the date of redemption.</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.20%.</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a Quotation Agent as having a maturity comparable to the remaining term of the Debentures to be redeemed that would be utilized, at the time of selection and in accordance with customary financial practice, in pricing new issues of corporate debt securities of comparable maturity to the remaining term of such Debentures.</w:t>
      </w:r>
    </w:p>
    <w:p>
      <w:pPr>
        <w:spacing w:after="0" w:line="210"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"Quotation Agent" means the Reference Treasury Dealer appointed by the Trustee after consultation with the Trust. "Reference Treasury Dealer" means</w:t>
      </w:r>
    </w:p>
    <w:p>
      <w:pPr>
        <w:ind w:right="219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Goldman, Sachs &amp; Co. and their respective successors; provided, however, that if the foregoing shall cease to be a primary U.S. Government securities dealer in New York City (a "Primary Treasury Dealer"), the Trust shall substitute therefor another Primary Treasury Dealer; and (ii) any other Primary Treasury Dealer selected by the Trustee after consultation with the Trust.</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"Comparable Treasury Price" means, with respect to any redemption date, (i) the average of the bid and asked prices for the Comparable Treasury Issue (expressed in each case as a percentage of its principal amount) on the third Business Day preceding such redemption date, as set forth in the daily statistical release (or any successor release) published by the Federal Reserve Bank of New York</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and designated "Composite 3:30 p.m. Quotations for U.S. Government Securities" or (ii) if such release (or any successor release) is not published or does not contain such prices on such Business Day, (A) 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redemption date.</w:t>
      </w:r>
    </w:p>
    <w:p>
      <w:pPr>
        <w:spacing w:after="0" w:line="210"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Notice of any redemption will be mailed at least 30 days but not more than 60 days before the redemption date to each holder of the Debentures to be redeemed.</w:t>
      </w: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Unless the Trust defaults in payment of the redemption price, on and after the redemption date, interest will cease to accrue on the Debentures or portions thereof called for redemption.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Debentures will not be entitled to the benefit of a sinking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Debentures may be repaid on August 15, 2008, at the option of the holders of the Debentures, at 100% of their principal amount, together with accrued interest to August 15, 2008. In order for a holder to exercise this option, the Trust must receive at its office or agency in New York, New York, during the period beginning on May 15, 2008 and ending at 5:00 p.m. (New York City time) on June 15, 2008 (or, if June 15, 2008 is not a Business Day, the next succeeding Business Day), the Debentures with the form entitled "Option to Elect Repayment on August 15, 2008" on the reverse of the Debentures duly completed. Any such notice received by the Trust during the period beginning on May 15, 2008 and ending at 5:00 p.m. (New York City time) on June 15, 2008 shall be irrevocable. See "--Book-Entry System." The repayment option may be exercised by a holder of Debentures for less than the entire principal amount of the Debentures held by such holder, so long as the principal amount that is to be repaid is equal to $1,000 or an integral multiple of $1,000. All questions as to the validity, form, eligibility (including time of receipt) and acceptance of any Debentures for repayment will be determined by the Trust, whose determination will be final and binding.</w:t>
      </w:r>
    </w:p>
    <w:p>
      <w:pPr>
        <w:spacing w:after="0" w:line="396"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Failure by the Trust to repay the Debentures when required as described in the preceding paragraph will result in an Event of Default under the Senior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long as the Debentures are represented by a Global Security, DTC or DTC's nominee will be the registered holder of the Debentures and therefore will be the only entity that can exercise a right to repayment. See "--Book-Entry System."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Debentures will bear interest at the rate set forth on the cover page of this Prospectus Supplement from August 15, 1996, or the most recent Interest Payment Date (as defined below) to which interest has been paid or provided for, payable semi-annually on February 15 and August 15 of each year, beginning February 15, 1997 (each, an "Interest Payment Date"), to the person in whose name a Debenture (or any predecessor Debenture) is registered at the close of business on the February 1 or August 1, as the case may be, next preceding such Interest Payment 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Limitations on Incurrence of Debt. The Debentures will provide that the Trust will not, and will not permit any Subsidiary to, incur any Debt (as defined below) if, immediately after giving effect to the incurrence of such Debt and the application of the proceeds thereof, the aggregate principal amount of all outstanding Debt of the Trust and its Subsidiaries on a consolidated basis determined in accordance with generally accepted accounting principles is greater than 65% of the sum of (without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23" w:right="1440" w:bottom="159" w:gutter="0" w:footer="0" w:header="0"/>
        </w:sectPr>
      </w:pPr>
    </w:p>
    <w:bookmarkStart w:id="5" w:name="page6"/>
    <w:bookmarkEnd w:id="5"/>
    <w:p>
      <w:pPr>
        <w:ind w:right="1999"/>
        <w:spacing w:after="0" w:line="270" w:lineRule="auto"/>
        <w:rPr>
          <w:sz w:val="20"/>
          <w:szCs w:val="20"/>
          <w:color w:val="auto"/>
        </w:rPr>
      </w:pPr>
      <w:r>
        <w:rPr>
          <w:rFonts w:ascii="Courier New" w:cs="Courier New" w:eastAsia="Courier New" w:hAnsi="Courier New"/>
          <w:sz w:val="16"/>
          <w:szCs w:val="16"/>
          <w:color w:val="auto"/>
        </w:rPr>
        <w:t>duplication) (i) the Trust's Total Assets as of the end of the calendar quarter covered in the Trust's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Trust or any Subsidiary since the end of such calendar quarter, including those proceeds obtained in connection with the incurrence of such additional Debt.</w:t>
      </w:r>
    </w:p>
    <w:p>
      <w:pPr>
        <w:spacing w:after="0" w:line="39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addition to the foregoing limitation on the incurrence of Debt, the Debentures will provide that the Trust will not, and will not permit any Subsidiary to, incur any Debt secured by any mortgage, lien, charge, pledge, encumbrance or security interest of any kind upon any of the property of the Trust or any Subsidiary if, immediately after giving effect to the incurrence of such Debt and the application of the proceeds thereof, the aggregate principal amount of all outstanding Debt of the Trust and its Subsidiaries on a consolidated basis which is secured by any mortgage, lien, charge, pledge, encumbrance or security interest on property of the Trust or any Subsidiary is greater than 40% of the Trust's Total Assets; provided that for purposes of this limitation, the amount of obligations under capital leases shown as a liability on the Trust's consolidated balance sheet shall be deducted from Debt and from Total Assets.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addition to the foregoing limitations on the incurrence of Debt, the Debentures will provide that the Trust will not and will not permit any Subsidiary to, incur any Senior Debt if the ratio of Consolidated Income Available for Senior Debt Service (as defined below) to the Annual Senior Debt Service Charge (as defined below) for the four consecutive fiscal quarters most recently ended prior to the date on which such Senior Debt is to be incurred shall have been less than 1.5, on an unaudited pro forma basis after giving effect thereto and to the application of the proceeds therefrom, and calculated on the assumption that (i) such Senior Debt and any other Senior Debt incurred by the Trust and its Subsidiaries since the first day of such four-quarter period and the application of the proceeds therefrom, including to refinance other Senior Debt, had occurred at the beginning of such period;</w:t>
      </w:r>
    </w:p>
    <w:p>
      <w:pPr>
        <w:spacing w:after="0" w:line="188" w:lineRule="exact"/>
        <w:rPr>
          <w:sz w:val="20"/>
          <w:szCs w:val="20"/>
          <w:color w:val="auto"/>
        </w:rPr>
      </w:pPr>
    </w:p>
    <w:p>
      <w:pPr>
        <w:ind w:right="1999" w:firstLine="8"/>
        <w:spacing w:after="0" w:line="238"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repayment or retirement of any other Senior Debt by the Trust and its Subsidiaries since the first day of such four-quarter period had been incurred, repaid or retired at the beginning of such period (except that, in making such computation, the amount of Senior Debt under any revolving credit facility shall be computed based upon the average daily balance of such Senior Debt during such period); (iii) in the case of Acquired Debt (as defined below) or Senior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Senior Debt had occurred as of the first day of such period with the appropriate adjustments with respect to such acquisition or disposition being included in such unaudited pro forma calculation.</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Furthermore, the Debentures also will provide that the Trust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1.3, on an unaudited pro forma basis after giving effect thereto and to the application of the proceeds therefrom, and calculated on the assumption that (i) such Debt and any other Debt incurred by the Trust and its Subsidiaries since the first day of such four-quarter period and the application of the proceeds therefrom, including to refinance other Debt, had occurred at the beginning of such period; (ii) the repayment or retirement of any other Debt by the Trust and its Subsidiaries since the</w:t>
      </w:r>
    </w:p>
    <w:p>
      <w:pPr>
        <w:spacing w:after="0" w:line="1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723" w:right="1440" w:bottom="1440" w:gutter="0" w:footer="0" w:header="0"/>
        </w:sectPr>
      </w:pPr>
    </w:p>
    <w:bookmarkStart w:id="6" w:name="page7"/>
    <w:bookmarkEnd w:id="6"/>
    <w:p>
      <w:pPr>
        <w:ind w:right="2099"/>
        <w:spacing w:after="0" w:line="270" w:lineRule="auto"/>
        <w:rPr>
          <w:sz w:val="20"/>
          <w:szCs w:val="20"/>
          <w:color w:val="auto"/>
        </w:rPr>
      </w:pPr>
      <w:r>
        <w:rPr>
          <w:rFonts w:ascii="Courier New" w:cs="Courier New" w:eastAsia="Courier New" w:hAnsi="Courier New"/>
          <w:sz w:val="16"/>
          <w:szCs w:val="16"/>
          <w:color w:val="auto"/>
        </w:rPr>
        <w:t>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Trust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used herein,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"Acquired Debt" means Debt (or Senior Debt, as the case may be) of a Person</w:t>
      </w:r>
    </w:p>
    <w:p>
      <w:pPr>
        <w:spacing w:after="0" w:line="21" w:lineRule="exact"/>
        <w:rPr>
          <w:sz w:val="20"/>
          <w:szCs w:val="20"/>
          <w:color w:val="auto"/>
        </w:rPr>
      </w:pPr>
    </w:p>
    <w:p>
      <w:pPr>
        <w:ind w:right="209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existing at the time such Person becomes a Subsidiary or (ii) assumed in connection with the acquisition of assets from such Person, in each case, other than Debt (or Senior Debt, as the case may be)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"Annual Debt Service Charge" as of any date means the maximum amount which is payable in any period for interest on, and original issue discount of, Debt of the Trust and its Subsidiaries and the amount of dividends which are payable in respect of any Disqualified Stock (as defined below).</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"Annual Senior Debt Service Charge" as of any date means the maximum amount which is payable in any period for interest on, and original issue discount of, Senior Debt of the Trust and its Subsidiaries.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"Consolidated Income Available for Debt Service" and "Consolidated Income Available for Senior Debt Service" for any period means Funds from Operations (as defined below) of the Trust and its Subsidiaries plus amounts which have been deducted for interest on Debt of the Trust and its Subsidiaries.</w:t>
      </w:r>
    </w:p>
    <w:p>
      <w:pPr>
        <w:spacing w:after="0" w:line="18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"Debt" means any indebtedness of the Trust, or any Subsidiary, whether or not contingent, in respect of (without duplication) (i) borrowed money or evidenced by bonds, notes, debentures or similar instruments, (ii) indebtedness secured by any mortgage, pledge, lien, charge, encumbrance or any security interest existing on property owned by the Trust or any Subsidiary,</w:t>
      </w:r>
    </w:p>
    <w:p>
      <w:pPr>
        <w:spacing w:after="0" w:line="1" w:lineRule="exact"/>
        <w:rPr>
          <w:sz w:val="20"/>
          <w:szCs w:val="20"/>
          <w:color w:val="auto"/>
        </w:rPr>
      </w:pPr>
    </w:p>
    <w:p>
      <w:pPr>
        <w:ind w:right="1999" w:firstLine="8"/>
        <w:spacing w:after="0" w:line="269" w:lineRule="auto"/>
        <w:tabs>
          <w:tab w:leader="none" w:pos="6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Trust or any Subsidiary with respect to redemption, repayment or other repurchase of any Disqualified Stock or (v) any lease of property by the Trust or any Subsidiary as lessee which is reflected on the Trust's consolidated balance sheet as a capitalized lease in accordance with generally accepted accounting principles to the extent, in the case of items of indebtedness under (i) through (iii) above, that any such items (other than letters of credit) would appear as a liability on the Trust's consolidated balance sheet in accordance with generally accepted accounting principles, and also includes, to the extent not otherwise included, any obligation of the Trust or any Subsidiary to be liable for, or to pay, as obligor, guarantor or otherwise (other than for purposes of collection in the ordinary</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723" w:right="1440" w:bottom="144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course of business or for the purposes of guaranteeing the payment of all amounts due and owing pursuant to leases to which the Trust is a party and has assigned its interest, provided that such assignee of the Trust is not in default of any amounts due and owing under such leases), Debt of another Person (other than the Trust or any Subsidiary) (it being understood that Debt shall be deemed to be incurred by the Trust or any Subsidiary whenever the Trust or such Subsidiary shall create, assume, guarantee or otherwise become liable in respect thereof).</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(i) matures or is mandatorily redeemable, pursuant to a sinking fund obligation or otherwise,</w:t>
      </w:r>
    </w:p>
    <w:p>
      <w:pPr>
        <w:spacing w:after="0" w:line="6" w:lineRule="exact"/>
        <w:rPr>
          <w:sz w:val="20"/>
          <w:szCs w:val="20"/>
          <w:color w:val="auto"/>
        </w:rPr>
      </w:pPr>
    </w:p>
    <w:p>
      <w:pPr>
        <w:ind w:right="1999" w:firstLine="8"/>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convertible into or exchangeable or exercisable for Debt or Disqualified Stock or (iii) is redeemable at the option of the holder thereof, in whole or in part, in each case on or prior to the Stated Maturity of the Debentures.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"Funds from Operations" for any period means income before depreciation and amortization and extraordinary items less gain on sale of real estate.</w:t>
      </w:r>
    </w:p>
    <w:p>
      <w:pPr>
        <w:spacing w:after="0" w:line="208"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"Senior Debt" means Debt other than subordinated Debt and payments under Disqualified Stock of the Trust.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"Total Assets" as of any date means the sum of (i) the Trust's Undepreciated Real Estate Assets and (ii) all other assets of the Trust determined in accordance with generally accepted accounting principles (but excluding goodwill).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"Undepreciated Real Estate Assets" as of any date means the cost (original cost plus capital improvements) of real estate assets of the Trust and its Subsidiaries on such date, before depreciation and amortization determined on a consolidated basis in accordance with generally accepted accounting principles.</w:t>
      </w:r>
    </w:p>
    <w:p>
      <w:pPr>
        <w:spacing w:after="0" w:line="209"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See "Description of Debt Securities--Certain Covenants" in the Prospectus for a description of additional covenants applicable to the Trust.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The provisions of Article 14 of the Senior Indenture relating to defeasance and covenant defeasance, which are described in the accompanying Prospectus, will apply to the Debentures.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Debentures will be represented by a single global security (the "Global Security") and registered in the name of DTC or its nominee. Upon the issuance of the Global Security, DTC or its nominee will credit, on its book-entry registration and transfer system, the respective principal amounts of the Debentures represented by the Global Security to the accounts designated by the Underwriter. Ownership of beneficial interests in the Global Security will be limited to institutions that have accounts with DTC or its nominee ("Participants") and to persons that may hold interests through Participants. Ownership of beneficial interests in the Global Security will be shown only on, and the transfer of those ownership interests will be effected only through, records maintained by such Participants. The laws of some jurisdictions may require that certain purchasers of securities take physical delivery of such securities in definitive form. Such limits and laws may impair the ability to transfer beneficial interests in the Global Security.</w:t>
      </w:r>
    </w:p>
    <w:p>
      <w:pPr>
        <w:spacing w:after="0" w:line="38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Notwithstanding any provision of the Senior Indenture or the Debentures, the Global Security may not be exchanged in whole or in part for Debentures registered, and no transfer of the Global Security in whole or in part may be registered, in the name of any Person other than DTC or any nominee of DTC unless (i) DTC has notified the Trust that it is unwilling or unable to continue as depositary for the Global Security or has ceased to be qualified to act as such as required by the Senior Indenture or (ii) there shall have occurred and be continuing an Event of Default with respect to the Debentures.</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23" w:right="1440" w:bottom="970" w:gutter="0" w:footer="0" w:header="0"/>
        </w:sectPr>
      </w:pPr>
    </w:p>
    <w:bookmarkStart w:id="8" w:name="page9"/>
    <w:bookmarkEnd w:id="8"/>
    <w:p>
      <w:pPr>
        <w:ind w:right="2619"/>
        <w:spacing w:after="0" w:line="235" w:lineRule="auto"/>
        <w:rPr>
          <w:sz w:val="20"/>
          <w:szCs w:val="20"/>
          <w:color w:val="auto"/>
        </w:rPr>
      </w:pPr>
      <w:r>
        <w:rPr>
          <w:rFonts w:ascii="Courier New" w:cs="Courier New" w:eastAsia="Courier New" w:hAnsi="Courier New"/>
          <w:sz w:val="18"/>
          <w:szCs w:val="18"/>
          <w:color w:val="auto"/>
        </w:rPr>
        <w:t>All Debentures issued in exchange for the Global Security or any portion thereof will be registered in such names as DTC may direct.</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long as DTC or its nominee is the registered holder and owner of the Global Security, DTC or such nominee, as the case may be, will be considered the sole owner and holder of the Debentures for all purposes of such Debentures and for all purposes under the Senior Indenture. Except in the limited circumstances referred to above, owners of beneficial interests in the Global Security will not be entitled to have the Debentures registered in their names, will not receive or be entitled to receive physical delivery of certificated Debentures in definitive form and will not be considered to be the owners or holders of any Debentures under the Senior Indenture or the Debentures. Payment of principal of, and interest and premium, if any, on the Debentures will be made to DTC or its nominee, as the case may be, as the registered owner or holder of the Global Security.</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Payments, transfers, exchanges and other matters relating to beneficial interests in the Global Security may be subject to various policies and procedures adopted by DTC from time to time. Neither the Trust nor the Trustee will have any responsibility or liability for any aspect of the records relating to, or payments made on account of, beneficial ownership interests in the Global Security for any Debentures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Security owning through such Participants.</w:t>
      </w: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is based on information furnished by DTC:</w:t>
      </w:r>
    </w:p>
    <w:p>
      <w:pPr>
        <w:spacing w:after="0" w:line="207" w:lineRule="exact"/>
        <w:rPr>
          <w:sz w:val="20"/>
          <w:szCs w:val="20"/>
          <w:color w:val="auto"/>
        </w:rPr>
      </w:pPr>
    </w:p>
    <w:p>
      <w:pPr>
        <w:ind w:left="220" w:right="2099" w:firstLine="211"/>
        <w:spacing w:after="0" w:line="238" w:lineRule="auto"/>
        <w:rPr>
          <w:sz w:val="20"/>
          <w:szCs w:val="20"/>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 DTC holds securities that its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include securities brokers and dealers (including the Underwriter), banks, trust companies, clearing corporations, and certain other organizations ("Direct Participants"). DTC is owned by a number of its Direct Participants and by the New York Stock Exchange, Inc., the American Stock Exchange, Inc. and the National Association of Securities Dealers, Inc. Access to the DTC system is also available to others such as securities brokers and dealers, banks and trust companies that clear through or maintain a custodial relationship with a Direct Participant, either directly or indirectly. The rules applicable to DTC and its Participants are on file with the Securities and Exchange Commission.</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So long as the Debentures are represented by a Global Security, DTC or DTC's nominee will be the only entity that can exercise a right to repayment pursuant to the holder's option to elect repayment of its Debentures. Notice by Participants or by owners of beneficial interests in a Global Security held through such Participants of the exercise of the option to elect repayment of beneficial interests in Debentures represented by a Global Security must be transmitted to DTC in accordance with its procedures on a form required by DTC and provided to Participants. In order to ensure that DTC or DTC's nominee will timely exercise a right to repayment with respect to a particular Debenture, the beneficial owner of such Debenture must instruct the broker or other Participant through which it holds an interest in such Debenture to notify DTC of its desire to exercise a right to repayment. Different firms have different cut-off times for accepting instructions from their customers and, accordingly, each beneficial owner should consult the broker or other Participant through which it holds an interest in a Debenture in order to ascertain the cut-off time by which such an instruction must be given in order for timely notice to be delivered to DTC. The Trust will not be liable for any delay in delivery of such notice to DTC.</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23" w:right="1440" w:bottom="1440" w:gutter="0" w:footer="0" w:header="0"/>
        </w:sectPr>
      </w:pPr>
    </w:p>
    <w:bookmarkStart w:id="9" w:name="page10"/>
    <w:bookmarkEnd w:id="9"/>
    <w:p>
      <w:pPr>
        <w:jc w:val="center"/>
        <w:ind w:right="199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Subject to the terms and conditions set forth in the Underwriting Agreement and the Pricing Agreement, the Trust has agreed to sell to Goldman, Sachs &amp; Co. ("Goldman Sachs"), and Goldman Sachs have agreed to purchase, the entire principal amount of the Debentures.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 the terms and conditions of the Underwriting Agreement and the Pricing Agreement, Goldman Sachs are committed to take and pay for all of the Debentures, if any are taken.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Goldman Sachs propose to offer the Debentures in part directly to the public at the initial public offering price set forth on the cover page of this Prospectus Supplement and in part to certain securities dealers at such price less a concession of 0.40% of the principal amount of the Debentures. Goldman Sachs may allow, and such dealers may reallow, a concession not to exceed 0.25% of the principal amount of the Debentures to certain brokers and dealers. After the Debentures are released for sale to the public, the offering price and other selling terms may from time to time be varied by Goldman Sachs.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Debentures are a new issue of securities with no established trading market. The Trust has been advised by Goldman Sachs that they intend to make a market in the Debentures but are not obligated to do so and may discontinue market making at any time without notice. No assurance can be given as to the liquidity of the trading market for the Debentures.</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Trust has agreed to indemnify Goldman Sachs against certain liabilities, including liabilities under the Securities Act of 1933.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717" w:right="1440" w:bottom="1440" w:gutter="0" w:footer="0" w:header="0"/>
        </w:sectPr>
      </w:pPr>
    </w:p>
    <w:bookmarkStart w:id="10" w:name="page11"/>
    <w:bookmarkEnd w:id="10"/>
    <w:p>
      <w:pPr>
        <w:jc w:val="center"/>
        <w:ind w:right="199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$480,000,000</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20" w:right="1999" w:hanging="104"/>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w:t>
      </w:r>
    </w:p>
    <w:p>
      <w:pPr>
        <w:ind w:left="320" w:right="1999" w:hanging="104"/>
        <w:spacing w:after="0" w:line="268" w:lineRule="auto"/>
        <w:rPr>
          <w:sz w:val="20"/>
          <w:szCs w:val="20"/>
          <w:color w:val="auto"/>
        </w:rPr>
      </w:pPr>
      <w:r>
        <w:rPr>
          <w:rFonts w:ascii="Courier New" w:cs="Courier New" w:eastAsia="Courier New" w:hAnsi="Courier New"/>
          <w:sz w:val="16"/>
          <w:szCs w:val="16"/>
          <w:color w:val="auto"/>
        </w:rPr>
        <w:t>AND EXCHANGE COMMISSION OR ANY STATE SECURITIES COMMISSION PASSED UPON THE ACCURACY OR ADEQUACY OF THIS PROSPECTUS. ANY REPRESENTATION TO THE CONTRARY</w:t>
      </w:r>
    </w:p>
    <w:p>
      <w:pPr>
        <w:ind w:left="420"/>
        <w:spacing w:after="0" w:line="233" w:lineRule="auto"/>
        <w:rPr>
          <w:sz w:val="20"/>
          <w:szCs w:val="20"/>
          <w:color w:val="auto"/>
        </w:rPr>
      </w:pPr>
      <w:r>
        <w:rPr>
          <w:rFonts w:ascii="Courier New" w:cs="Courier New" w:eastAsia="Courier New" w:hAnsi="Courier New"/>
          <w:sz w:val="18"/>
          <w:szCs w:val="18"/>
          <w:color w:val="auto"/>
        </w:rPr>
        <w:t>IS A CRIMINAL OFFENSE.</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right="1879" w:hanging="315"/>
        <w:spacing w:after="0" w:line="268"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ind w:left="328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7, 1995.</w:t>
      </w:r>
    </w:p>
    <w:p>
      <w:pPr>
        <w:sectPr>
          <w:pgSz w:w="11900" w:h="16838" w:orient="portrait"/>
          <w:cols w:equalWidth="0" w:num="1">
            <w:col w:w="10219"/>
          </w:cols>
          <w:pgMar w:left="240" w:top="717" w:right="1440" w:bottom="1440" w:gutter="0" w:footer="0" w:header="0"/>
        </w:sectPr>
      </w:pPr>
    </w:p>
    <w:bookmarkStart w:id="11" w:name="page12"/>
    <w:bookmarkEnd w:id="11"/>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90" w:lineRule="auto"/>
        <w:tabs>
          <w:tab w:leader="none" w:pos="74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4"/>
              </w:rPr>
              <w:t>SIX MONTHS</w:t>
            </w:r>
          </w:p>
        </w:tc>
      </w:tr>
      <w:tr>
        <w:trPr>
          <w:trHeight w:val="203"/>
        </w:trPr>
        <w:tc>
          <w:tcPr>
            <w:tcW w:w="1160" w:type="dxa"/>
            <w:vAlign w:val="bottom"/>
          </w:tcPr>
          <w:p>
            <w:pPr>
              <w:spacing w:after="0"/>
              <w:rPr>
                <w:sz w:val="17"/>
                <w:szCs w:val="17"/>
                <w:color w:val="auto"/>
              </w:rPr>
            </w:pPr>
          </w:p>
        </w:tc>
        <w:tc>
          <w:tcPr>
            <w:tcW w:w="29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YEARS ENDED DECEMBER 31,</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ENDED JUNE 30,</w:t>
            </w:r>
          </w:p>
        </w:tc>
      </w:t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8"/>
                <w:szCs w:val="8"/>
                <w:color w:val="auto"/>
                <w:w w:val="75"/>
              </w:rPr>
              <w:t>-----------------------------------------------------------</w:t>
            </w: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1991</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1994</w:t>
            </w:r>
          </w:p>
        </w:tc>
        <w:tc>
          <w:tcPr>
            <w:tcW w:w="1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1.06X</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1.09X</w:t>
            </w:r>
          </w:p>
        </w:tc>
        <w:tc>
          <w:tcPr>
            <w:tcW w:w="1940" w:type="dxa"/>
            <w:vAlign w:val="bottom"/>
          </w:tcPr>
          <w:p>
            <w:pPr>
              <w:ind w:left="460"/>
              <w:spacing w:after="0"/>
              <w:rPr>
                <w:sz w:val="20"/>
                <w:szCs w:val="20"/>
                <w:color w:val="auto"/>
              </w:rPr>
            </w:pPr>
            <w:r>
              <w:rPr>
                <w:rFonts w:ascii="Courier New" w:cs="Courier New" w:eastAsia="Courier New" w:hAnsi="Courier New"/>
                <w:sz w:val="18"/>
                <w:szCs w:val="18"/>
                <w:color w:val="auto"/>
              </w:rPr>
              <w:t>1.19X</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1.50X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1.61X</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1.56X</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1.61X</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4" w:name="page15"/>
    <w:bookmarkEnd w:id="14"/>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15" w:name="page16"/>
    <w:bookmarkEnd w:id="15"/>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59"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w:t>
      </w:r>
    </w:p>
    <w:p>
      <w:pPr>
        <w:sectPr>
          <w:pgSz w:w="11900" w:h="16838" w:orient="portrait"/>
          <w:cols w:equalWidth="0" w:num="1">
            <w:col w:w="10219"/>
          </w:cols>
          <w:pgMar w:left="240" w:top="717" w:right="1440" w:bottom="0" w:gutter="0" w:footer="0" w:header="0"/>
        </w:sectPr>
      </w:pPr>
    </w:p>
    <w:bookmarkStart w:id="19" w:name="page20"/>
    <w:bookmarkEnd w:id="19"/>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20" w:name="page21"/>
    <w:bookmarkEnd w:id="20"/>
    <w:p>
      <w:pPr>
        <w:ind w:right="2419"/>
        <w:spacing w:after="0" w:line="237" w:lineRule="auto"/>
        <w:rPr>
          <w:sz w:val="20"/>
          <w:szCs w:val="20"/>
          <w:color w:val="auto"/>
        </w:rPr>
      </w:pPr>
      <w:r>
        <w:rPr>
          <w:rFonts w:ascii="Courier New" w:cs="Courier New" w:eastAsia="Courier New" w:hAnsi="Courier New"/>
          <w:sz w:val="18"/>
          <w:szCs w:val="18"/>
          <w:color w:val="auto"/>
        </w:rPr>
        <w:t>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21" w:name="page22"/>
    <w:bookmarkEnd w:id="21"/>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w:t>
      </w:r>
    </w:p>
    <w:p>
      <w:pPr>
        <w:spacing w:after="0" w:line="187" w:lineRule="exact"/>
        <w:rPr>
          <w:sz w:val="20"/>
          <w:szCs w:val="20"/>
          <w:color w:val="auto"/>
        </w:rPr>
      </w:pPr>
    </w:p>
    <w:p>
      <w:pPr>
        <w:ind w:right="2099" w:firstLine="8"/>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22" w:name="page23"/>
    <w:bookmarkEnd w:id="22"/>
    <w:p>
      <w:pPr>
        <w:ind w:right="1999"/>
        <w:spacing w:after="0" w:line="238" w:lineRule="auto"/>
        <w:rPr>
          <w:sz w:val="20"/>
          <w:szCs w:val="20"/>
          <w:color w:val="auto"/>
        </w:rPr>
      </w:pPr>
      <w:r>
        <w:rPr>
          <w:rFonts w:ascii="Courier New" w:cs="Courier New" w:eastAsia="Courier New" w:hAnsi="Courier New"/>
          <w:sz w:val="18"/>
          <w:szCs w:val="18"/>
          <w:color w:val="auto"/>
        </w:rPr>
        <w:t>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09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2" w:right="1440" w:bottom="767" w:gutter="0" w:footer="0" w:header="0"/>
        </w:sectPr>
      </w:pPr>
    </w:p>
    <w:bookmarkStart w:id="23" w:name="page24"/>
    <w:bookmarkEnd w:id="23"/>
    <w:p>
      <w:pPr>
        <w:ind w:right="2099"/>
        <w:spacing w:after="0" w:line="268" w:lineRule="auto"/>
        <w:rPr>
          <w:sz w:val="20"/>
          <w:szCs w:val="20"/>
          <w:color w:val="auto"/>
        </w:rPr>
      </w:pPr>
      <w:r>
        <w:rPr>
          <w:rFonts w:ascii="Courier New" w:cs="Courier New" w:eastAsia="Courier New" w:hAnsi="Courier New"/>
          <w:sz w:val="16"/>
          <w:szCs w:val="16"/>
          <w:color w:val="auto"/>
        </w:rPr>
        <w:t>obligation or liability is not superior in right of payment to the Subordinated Securities or ranks pari passu with the Subordinated Securities,</w:t>
      </w:r>
    </w:p>
    <w:p>
      <w:pPr>
        <w:ind w:right="209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24" w:name="page25"/>
    <w:bookmarkEnd w:id="24"/>
    <w:p>
      <w:pPr>
        <w:ind w:right="1999"/>
        <w:spacing w:after="0" w:line="238" w:lineRule="auto"/>
        <w:rPr>
          <w:sz w:val="20"/>
          <w:szCs w:val="20"/>
          <w:color w:val="auto"/>
        </w:rPr>
      </w:pPr>
      <w:r>
        <w:rPr>
          <w:rFonts w:ascii="Courier New" w:cs="Courier New" w:eastAsia="Courier New" w:hAnsi="Courier New"/>
          <w:sz w:val="18"/>
          <w:szCs w:val="18"/>
          <w:color w:val="auto"/>
        </w:rPr>
        <w:t>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w:t>
      </w:r>
    </w:p>
    <w:p>
      <w:pPr>
        <w:spacing w:after="0" w:line="393" w:lineRule="exact"/>
        <w:rPr>
          <w:sz w:val="20"/>
          <w:szCs w:val="20"/>
          <w:color w:val="auto"/>
        </w:rPr>
      </w:pPr>
    </w:p>
    <w:p>
      <w:pPr>
        <w:ind w:right="1999" w:firstLine="8"/>
        <w:spacing w:after="0" w:line="237" w:lineRule="auto"/>
        <w:tabs>
          <w:tab w:leader="none" w:pos="6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10"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564"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of which no Preferred Shares are outstanding.</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564" w:gutter="0" w:footer="0" w:header="0"/>
        </w:sectPr>
      </w:pPr>
    </w:p>
    <w:bookmarkStart w:id="26" w:name="page27"/>
    <w:bookmarkEnd w:id="26"/>
    <w:p>
      <w:pPr>
        <w:ind w:left="220" w:right="2839" w:firstLine="209"/>
        <w:spacing w:after="0" w:line="235" w:lineRule="auto"/>
        <w:tabs>
          <w:tab w:leader="none" w:pos="95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8" w:lineRule="exact"/>
        <w:rPr>
          <w:rFonts w:ascii="Courier New" w:cs="Courier New" w:eastAsia="Courier New" w:hAnsi="Courier New"/>
          <w:sz w:val="18"/>
          <w:szCs w:val="18"/>
          <w:color w:val="auto"/>
        </w:rPr>
      </w:pPr>
    </w:p>
    <w:p>
      <w:pPr>
        <w:jc w:val="both"/>
        <w:ind w:left="220" w:right="2319" w:firstLine="209"/>
        <w:spacing w:after="0" w:line="236" w:lineRule="auto"/>
        <w:tabs>
          <w:tab w:leader="none" w:pos="95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59" w:gutter="0" w:footer="0" w:header="0"/>
        </w:sectPr>
      </w:pPr>
    </w:p>
    <w:bookmarkStart w:id="27" w:name="page28"/>
    <w:bookmarkEnd w:id="27"/>
    <w:p>
      <w:pPr>
        <w:ind w:right="1999"/>
        <w:spacing w:after="0" w:line="237" w:lineRule="auto"/>
        <w:rPr>
          <w:sz w:val="20"/>
          <w:szCs w:val="20"/>
          <w:color w:val="auto"/>
        </w:rPr>
      </w:pPr>
      <w:r>
        <w:rPr>
          <w:rFonts w:ascii="Courier New" w:cs="Courier New" w:eastAsia="Courier New" w:hAnsi="Courier New"/>
          <w:sz w:val="18"/>
          <w:szCs w:val="18"/>
          <w:color w:val="auto"/>
        </w:rPr>
        <w:t>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362" w:gutter="0" w:footer="0" w:header="0"/>
        </w:sectPr>
      </w:pPr>
    </w:p>
    <w:bookmarkStart w:id="28" w:name="page29"/>
    <w:bookmarkEnd w:id="28"/>
    <w:p>
      <w:pPr>
        <w:ind w:right="1999"/>
        <w:spacing w:after="0" w:line="269" w:lineRule="auto"/>
        <w:rPr>
          <w:sz w:val="20"/>
          <w:szCs w:val="20"/>
          <w:color w:val="auto"/>
        </w:rPr>
      </w:pPr>
      <w:r>
        <w:rPr>
          <w:rFonts w:ascii="Courier New" w:cs="Courier New" w:eastAsia="Courier New" w:hAnsi="Courier New"/>
          <w:sz w:val="16"/>
          <w:szCs w:val="16"/>
          <w:color w:val="auto"/>
        </w:rPr>
        <w:t>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0" w:lineRule="exact"/>
        <w:rPr>
          <w:sz w:val="20"/>
          <w:szCs w:val="20"/>
          <w:color w:val="auto"/>
        </w:rPr>
      </w:pPr>
    </w:p>
    <w:p>
      <w:pPr>
        <w:spacing w:after="0" w:line="39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970" w:gutter="0" w:footer="0" w:header="0"/>
        </w:sectPr>
      </w:pPr>
    </w:p>
    <w:bookmarkStart w:id="29" w:name="page30"/>
    <w:bookmarkEnd w:id="29"/>
    <w:p>
      <w:pPr>
        <w:ind w:right="1999"/>
        <w:spacing w:after="0" w:line="237" w:lineRule="auto"/>
        <w:rPr>
          <w:sz w:val="20"/>
          <w:szCs w:val="20"/>
          <w:color w:val="auto"/>
        </w:rPr>
      </w:pPr>
      <w:r>
        <w:rPr>
          <w:rFonts w:ascii="Courier New" w:cs="Courier New" w:eastAsia="Courier New" w:hAnsi="Courier New"/>
          <w:sz w:val="18"/>
          <w:szCs w:val="18"/>
          <w:color w:val="auto"/>
        </w:rPr>
        <w:t>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30" w:name="page31"/>
    <w:bookmarkEnd w:id="30"/>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31" w:name="page32"/>
    <w:bookmarkEnd w:id="31"/>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564" w:gutter="0" w:footer="0" w:header="0"/>
        </w:sectPr>
      </w:pPr>
    </w:p>
    <w:bookmarkStart w:id="32" w:name="page33"/>
    <w:bookmarkEnd w:id="32"/>
    <w:p>
      <w:pPr>
        <w:ind w:right="2099"/>
        <w:spacing w:after="0" w:line="237" w:lineRule="auto"/>
        <w:rPr>
          <w:sz w:val="20"/>
          <w:szCs w:val="20"/>
          <w:color w:val="auto"/>
        </w:rPr>
      </w:pPr>
      <w:r>
        <w:rPr>
          <w:rFonts w:ascii="Courier New" w:cs="Courier New" w:eastAsia="Courier New" w:hAnsi="Courier New"/>
          <w:sz w:val="18"/>
          <w:szCs w:val="18"/>
          <w:color w:val="auto"/>
        </w:rPr>
        <w:t>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767" w:gutter="0" w:footer="0" w:header="0"/>
        </w:sectPr>
      </w:pPr>
    </w:p>
    <w:bookmarkStart w:id="33" w:name="page34"/>
    <w:bookmarkEnd w:id="33"/>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34" w:name="page35"/>
    <w:bookmarkEnd w:id="34"/>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35" w:name="page36"/>
    <w:bookmarkEnd w:id="35"/>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IN THIS PROSPECTUS SUPPLEMENT OR THE PRO-SPECTUS, AND, IF GIVEN OR MADE, SUCH INFORMATION OR REPRESENTATIONS MUST NOT BE RELIED UPON AS HAVING BEEN AUTHORIZED. THIS PROSPECTUS SUPPLEMENT AND THE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OR THE PROSPECTUS NOR ANY SALE MADE HEREUNDER OR THEREUNDER SHALL, UNDER ANY CIRCUMSTANCES, CREATE ANY IMPLI-CATION THAT THERE HAS BEEN NO CHANGE IN THE AFFAIRS OF THE TRUST SINCE THE DATE HEREOF OR THAT THE INFORMATION CONTAINED HEREIN OR THEREIN IS CORRECT AS OF ANY TIME SUBSEQUENT TO THE DATE OF SUCH INFORMATION.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jc w:val="right"/>
              <w:ind w:right="313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r>
      <w:tr>
        <w:trPr>
          <w:trHeight w:val="405"/>
        </w:trPr>
        <w:tc>
          <w:tcPr>
            <w:tcW w:w="796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6"/>
              </w:rPr>
              <w:t>TABLE OF CONTENTS</w:t>
            </w:r>
          </w:p>
        </w:tc>
        <w:tc>
          <w:tcPr>
            <w:tcW w:w="480" w:type="dxa"/>
            <w:vAlign w:val="bottom"/>
          </w:tcPr>
          <w:p>
            <w:pPr>
              <w:spacing w:after="0"/>
              <w:rPr>
                <w:sz w:val="24"/>
                <w:szCs w:val="24"/>
                <w:color w:val="auto"/>
              </w:rPr>
            </w:pPr>
          </w:p>
        </w:tc>
      </w:tr>
      <w:tr>
        <w:trPr>
          <w:trHeight w:val="810"/>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6"/>
              </w:rPr>
              <w:t>PROSPECTUS SUPPLEMENT</w:t>
            </w:r>
          </w:p>
        </w:tc>
        <w:tc>
          <w:tcPr>
            <w:tcW w:w="480" w:type="dxa"/>
            <w:vAlign w:val="bottom"/>
          </w:tcPr>
          <w:p>
            <w:pPr>
              <w:spacing w:after="0"/>
              <w:rPr>
                <w:sz w:val="24"/>
                <w:szCs w:val="24"/>
                <w:color w:val="auto"/>
              </w:rPr>
            </w:pPr>
          </w:p>
        </w:tc>
      </w:tr>
      <w:tr>
        <w:trPr>
          <w:trHeight w:val="203"/>
        </w:trPr>
        <w:tc>
          <w:tcPr>
            <w:tcW w:w="7960" w:type="dxa"/>
            <w:vAlign w:val="bottom"/>
          </w:tcPr>
          <w:p>
            <w:pPr>
              <w:spacing w:after="0"/>
              <w:rPr>
                <w:sz w:val="17"/>
                <w:szCs w:val="17"/>
                <w:color w:val="auto"/>
              </w:rPr>
            </w:pP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PAGE</w:t>
            </w:r>
          </w:p>
        </w:tc>
      </w:tr>
      <w:tr>
        <w:trPr>
          <w:trHeight w:val="203"/>
        </w:trPr>
        <w:tc>
          <w:tcPr>
            <w:tcW w:w="7960" w:type="dxa"/>
            <w:vAlign w:val="bottom"/>
          </w:tcPr>
          <w:p>
            <w:pPr>
              <w:spacing w:after="0"/>
              <w:rPr>
                <w:sz w:val="17"/>
                <w:szCs w:val="17"/>
                <w:color w:val="auto"/>
              </w:rPr>
            </w:pP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7960" w:type="dxa"/>
            <w:vAlign w:val="bottom"/>
          </w:tcPr>
          <w:p>
            <w:pPr>
              <w:jc w:val="center"/>
              <w:spacing w:after="0"/>
              <w:rPr>
                <w:sz w:val="20"/>
                <w:szCs w:val="20"/>
                <w:color w:val="auto"/>
              </w:rPr>
            </w:pPr>
            <w:r>
              <w:rPr>
                <w:rFonts w:ascii="Courier New" w:cs="Courier New" w:eastAsia="Courier New" w:hAnsi="Courier New"/>
                <w:sz w:val="18"/>
                <w:szCs w:val="18"/>
                <w:color w:val="auto"/>
                <w:w w:val="97"/>
              </w:rPr>
              <w:t>The Trust..................................................................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S-2</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Description of Debentures..................................................</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S-3</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Underwriting...............................................................</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S-9</w:t>
            </w:r>
          </w:p>
        </w:tc>
      </w:tr>
      <w:tr>
        <w:trPr>
          <w:trHeight w:val="203"/>
        </w:trPr>
        <w:tc>
          <w:tcPr>
            <w:tcW w:w="7960" w:type="dxa"/>
            <w:vAlign w:val="bottom"/>
          </w:tcPr>
          <w:p>
            <w:pPr>
              <w:ind w:left="3380"/>
              <w:spacing w:after="0" w:line="203" w:lineRule="exact"/>
              <w:rPr>
                <w:sz w:val="20"/>
                <w:szCs w:val="20"/>
                <w:color w:val="auto"/>
              </w:rPr>
            </w:pPr>
            <w:r>
              <w:rPr>
                <w:rFonts w:ascii="Courier New" w:cs="Courier New" w:eastAsia="Courier New" w:hAnsi="Courier New"/>
                <w:sz w:val="18"/>
                <w:szCs w:val="18"/>
                <w:color w:val="auto"/>
              </w:rPr>
              <w:t>PROSPECTUS</w:t>
            </w:r>
          </w:p>
        </w:tc>
        <w:tc>
          <w:tcPr>
            <w:tcW w:w="480" w:type="dxa"/>
            <w:vAlign w:val="bottom"/>
          </w:tcPr>
          <w:p>
            <w:pPr>
              <w:spacing w:after="0"/>
              <w:rPr>
                <w:sz w:val="17"/>
                <w:szCs w:val="17"/>
                <w:color w:val="auto"/>
              </w:rPr>
            </w:pP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Available Information......................................................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Incorporation of Certain Documents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Ratios of Earnings to Fixed Charges........................................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Description of Debt Securities.............................................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Description of Preferred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Description of Common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Legal Opinions.............................................................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7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FEDERAL REALTY INVESTMENT TRUST APPEARS HERE]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7.48% DEBENTURES DUE</w:t>
      </w:r>
    </w:p>
    <w:p>
      <w:pPr>
        <w:ind w:left="3380"/>
        <w:spacing w:after="0" w:line="238" w:lineRule="auto"/>
        <w:rPr>
          <w:sz w:val="20"/>
          <w:szCs w:val="20"/>
          <w:color w:val="auto"/>
        </w:rPr>
      </w:pPr>
      <w:r>
        <w:rPr>
          <w:rFonts w:ascii="Courier New" w:cs="Courier New" w:eastAsia="Courier New" w:hAnsi="Courier New"/>
          <w:sz w:val="18"/>
          <w:szCs w:val="18"/>
          <w:color w:val="auto"/>
        </w:rPr>
        <w:t>AUGUST 15, 2026</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lowerRoman"/>
      <w:start w:val="1"/>
    </w:lvl>
  </w:abstractNum>
  <w:abstractNum w:abstractNumId="2">
    <w:nsid w:val="7FDCC233"/>
    <w:multiLevelType w:val="hybridMultilevel"/>
    <w:lvl w:ilvl="0">
      <w:lvlJc w:val="left"/>
      <w:lvlText w:val="(%1)"/>
      <w:numFmt w:val="lowerRoman"/>
      <w:start w:val="2"/>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1)"/>
      <w:numFmt w:val="lowerRoman"/>
      <w:start w:val="3"/>
    </w:lvl>
  </w:abstractNum>
  <w:abstractNum w:abstractNumId="5">
    <w:nsid w:val="6B68079A"/>
    <w:multiLevelType w:val="hybridMultilevel"/>
    <w:lvl w:ilvl="0">
      <w:lvlJc w:val="left"/>
      <w:lvlText w:val="(%1)"/>
      <w:numFmt w:val="lowerRoman"/>
      <w:start w:val="2"/>
    </w:lvl>
  </w:abstractNum>
  <w:abstractNum w:abstractNumId="6">
    <w:nsid w:val="4E6AFB66"/>
    <w:multiLevelType w:val="hybridMultilevel"/>
    <w:lvl w:ilvl="0">
      <w:lvlJc w:val="left"/>
      <w:lvlText w:val="(%1)"/>
      <w:numFmt w:val="lowerRoman"/>
      <w:start w:val="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0"/>
    </w:lvl>
  </w:abstractNum>
  <w:abstractNum w:abstractNumId="10">
    <w:nsid w:val="3F2DBA31"/>
    <w:multiLevelType w:val="hybridMultilevel"/>
    <w:lvl w:ilvl="0">
      <w:lvlJc w:val="left"/>
      <w:lvlText w:val="(%1)"/>
      <w:numFmt w:val="lowerRoman"/>
      <w:start w:val="2"/>
    </w:lvl>
  </w:abstractNum>
  <w:abstractNum w:abstractNumId="11">
    <w:nsid w:val="7C83E458"/>
    <w:multiLevelType w:val="hybridMultilevel"/>
    <w:lvl w:ilvl="0">
      <w:lvlJc w:val="left"/>
      <w:lvlText w:val="(%1)"/>
      <w:numFmt w:val="lowerRoman"/>
      <w:start w:val="10"/>
    </w:lvl>
  </w:abstractNum>
  <w:abstractNum w:abstractNumId="12">
    <w:nsid w:val="257130A3"/>
    <w:multiLevelType w:val="hybridMultilevel"/>
    <w:lvl w:ilvl="0">
      <w:lvlJc w:val="left"/>
      <w:lvlText w:val="(%1)"/>
      <w:numFmt w:val="lowerRoman"/>
      <w:start w:val="3"/>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4"/>
    </w:lvl>
  </w:abstractNum>
  <w:abstractNum w:abstractNumId="15">
    <w:nsid w:val="628C895D"/>
    <w:multiLevelType w:val="hybridMultilevel"/>
    <w:lvl w:ilvl="0">
      <w:lvlJc w:val="left"/>
      <w:lvlText w:val="(%1)"/>
      <w:numFmt w:val="lowerLetter"/>
      <w:start w:val="6"/>
    </w:lvl>
  </w:abstractNum>
  <w:abstractNum w:abstractNumId="16">
    <w:nsid w:val="333AB105"/>
    <w:multiLevelType w:val="hybridMultilevel"/>
    <w:lvl w:ilvl="0">
      <w:lvlJc w:val="left"/>
      <w:lvlText w:val="(%1)"/>
      <w:numFmt w:val="decimal"/>
      <w:start w:val="2"/>
    </w:lvl>
  </w:abstractNum>
  <w:abstractNum w:abstractNumId="17">
    <w:nsid w:val="721DA317"/>
    <w:multiLevelType w:val="hybridMultilevel"/>
    <w:lvl w:ilvl="0">
      <w:lvlJc w:val="left"/>
      <w:lvlText w:val="(%1)"/>
      <w:numFmt w:val="lowerRoman"/>
      <w:start w:val="3"/>
    </w:lvl>
  </w:abstractNum>
  <w:abstractNum w:abstractNumId="18">
    <w:nsid w:val="2443A858"/>
    <w:multiLevelType w:val="hybridMultilevel"/>
    <w:lvl w:ilvl="0">
      <w:lvlJc w:val="left"/>
      <w:lvlText w:val="(%1)"/>
      <w:numFmt w:val="lowerLetter"/>
      <w:start w:val="7"/>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0"/>
    </w:lvl>
  </w:abstractNum>
  <w:abstractNum w:abstractNumId="21">
    <w:nsid w:val="75A2A8D4"/>
    <w:multiLevelType w:val="hybridMultilevel"/>
    <w:lvl w:ilvl="0">
      <w:lvlJc w:val="left"/>
      <w:lvlText w:val="(%1)"/>
      <w:numFmt w:val="lowerRoman"/>
      <w:start w:val="5"/>
    </w:lvl>
  </w:abstractNum>
  <w:abstractNum w:abstractNumId="22">
    <w:nsid w:val="8EDBDAB"/>
    <w:multiLevelType w:val="hybridMultilevel"/>
    <w:lvl w:ilvl="0">
      <w:lvlJc w:val="left"/>
      <w:lvlText w:val="(%1)"/>
      <w:numFmt w:val="lowerRoman"/>
      <w:start w:val="10"/>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2019-12-13T00:57:35Z</dcterms:created>
  <dcterms:modified xsi:type="dcterms:W3CDTF">2019-12-13T00:57:35Z</dcterms:modified>
</cp:coreProperties>
</file>